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EFA" w:rsidRDefault="00E45EFA">
      <w:pPr>
        <w:pStyle w:val="1"/>
        <w:rPr>
          <w:rFonts w:ascii="Arial" w:hAnsi="Arial"/>
          <w:b w:val="0"/>
          <w:color w:val="000000"/>
          <w:sz w:val="31"/>
        </w:rPr>
      </w:pPr>
    </w:p>
    <w:p w:rsidR="00E45EFA" w:rsidRDefault="00E45EFA">
      <w:pPr>
        <w:pStyle w:val="1"/>
        <w:rPr>
          <w:rFonts w:ascii="Arial" w:hAnsi="Arial"/>
          <w:b w:val="0"/>
          <w:color w:val="000000"/>
          <w:sz w:val="31"/>
        </w:rPr>
      </w:pPr>
      <w:r>
        <w:rPr>
          <w:rFonts w:ascii="Arial" w:hAnsi="Arial"/>
          <w:b w:val="0"/>
          <w:color w:val="000000"/>
          <w:sz w:val="31"/>
        </w:rPr>
        <w:t>Футурология</w:t>
      </w:r>
    </w:p>
    <w:p w:rsidR="00E45EFA" w:rsidRDefault="0051197B">
      <w:pPr>
        <w:pStyle w:val="a1"/>
        <w:widowControl/>
        <w:spacing w:before="153"/>
        <w:rPr>
          <w:color w:val="8B4513"/>
          <w:sz w:val="17"/>
        </w:rPr>
      </w:pPr>
      <w:hyperlink r:id="rId5" w:history="1">
        <w:r w:rsidR="00E45EFA">
          <w:rPr>
            <w:rStyle w:val="a5"/>
          </w:rPr>
          <w:t>Перевод</w:t>
        </w:r>
      </w:hyperlink>
    </w:p>
    <w:p w:rsidR="00E45EFA" w:rsidRDefault="00E45EFA">
      <w:pPr>
        <w:pStyle w:val="a8"/>
        <w:widowControl/>
        <w:rPr>
          <w:color w:val="8B4513"/>
          <w:sz w:val="17"/>
        </w:rPr>
      </w:pPr>
      <w:r>
        <w:rPr>
          <w:color w:val="8B4513"/>
          <w:sz w:val="17"/>
        </w:rPr>
        <w:t>Футурология</w:t>
      </w:r>
    </w:p>
    <w:p w:rsidR="00E45EFA" w:rsidRDefault="00E45EFA">
      <w:pPr>
        <w:pStyle w:val="a9"/>
        <w:widowControl/>
        <w:ind w:left="0"/>
        <w:rPr>
          <w:color w:val="8B4513"/>
          <w:sz w:val="17"/>
        </w:rPr>
      </w:pPr>
      <w:r>
        <w:rPr>
          <w:color w:val="8B4513"/>
          <w:sz w:val="17"/>
        </w:rPr>
        <w:t>Футурология</w:t>
      </w:r>
    </w:p>
    <w:p w:rsidR="00E45EFA" w:rsidRDefault="00E45EFA">
      <w:pPr>
        <w:pStyle w:val="a9"/>
        <w:widowControl/>
        <w:rPr>
          <w:color w:val="000000"/>
          <w:sz w:val="17"/>
        </w:rPr>
      </w:pPr>
      <w:r>
        <w:rPr>
          <w:color w:val="000000"/>
          <w:sz w:val="17"/>
        </w:rPr>
        <w:t>(от лат. </w:t>
      </w:r>
      <w:r>
        <w:rPr>
          <w:color w:val="5F9EA0"/>
          <w:sz w:val="17"/>
        </w:rPr>
        <w:t>futurum</w:t>
      </w:r>
      <w:r>
        <w:rPr>
          <w:color w:val="000000"/>
          <w:sz w:val="17"/>
        </w:rPr>
        <w:t> - будущее) - междисциплинар</w:t>
      </w:r>
      <w:r>
        <w:rPr>
          <w:color w:val="000000"/>
          <w:sz w:val="17"/>
        </w:rPr>
        <w:softHyphen/>
        <w:t>ное направление в науке, основывающееся на данных общественных и естественных наук и ставящее целью предвидение будущего развития человечества и отдельных сфер жизни общества.</w:t>
      </w:r>
    </w:p>
    <w:p w:rsidR="00E45EFA" w:rsidRDefault="00E45EFA">
      <w:pPr>
        <w:pStyle w:val="a9"/>
        <w:widowControl/>
        <w:rPr>
          <w:color w:val="000000"/>
          <w:sz w:val="17"/>
        </w:rPr>
      </w:pPr>
      <w:r>
        <w:rPr>
          <w:color w:val="000000"/>
          <w:sz w:val="17"/>
        </w:rPr>
        <w:t>Футурология сегодня отчетливо осознает, что дальнейшие перспективы развития цивилизации непосредственным образом связаны с тем, насколько эффективно и своевременно будут решены стоящие перед человечеством глобальные проблемы: угроза мировой войны, экологические, экономические, демографические, бедности в развивающихся странах и т.д. Поэтому интерес к изуче</w:t>
      </w:r>
      <w:r>
        <w:rPr>
          <w:color w:val="000000"/>
          <w:sz w:val="17"/>
        </w:rPr>
        <w:softHyphen/>
        <w:t>нию альтернативных моделей грядущего, к анализу социальных, эко</w:t>
      </w:r>
      <w:r>
        <w:rPr>
          <w:color w:val="000000"/>
          <w:sz w:val="17"/>
        </w:rPr>
        <w:softHyphen/>
        <w:t>номических, культурных последствий технологической революции ока</w:t>
      </w:r>
      <w:r>
        <w:rPr>
          <w:color w:val="000000"/>
          <w:sz w:val="17"/>
        </w:rPr>
        <w:softHyphen/>
        <w:t>зался закономерным.</w:t>
      </w:r>
    </w:p>
    <w:p w:rsidR="00E45EFA" w:rsidRDefault="00E45EFA">
      <w:pPr>
        <w:pStyle w:val="a9"/>
        <w:widowControl/>
        <w:rPr>
          <w:color w:val="000000"/>
          <w:sz w:val="17"/>
        </w:rPr>
      </w:pPr>
      <w:r>
        <w:rPr>
          <w:color w:val="000000"/>
          <w:sz w:val="17"/>
        </w:rPr>
        <w:t>Изучение "альтернативных миров", "желаемых образов будуще</w:t>
      </w:r>
      <w:r>
        <w:rPr>
          <w:color w:val="000000"/>
          <w:sz w:val="17"/>
        </w:rPr>
        <w:softHyphen/>
        <w:t>го" стала важнейшей задачей крупнейших футурологических центров, возникших в 60-е годы ХХ столетия, преимущественно в США. Стэн</w:t>
      </w:r>
      <w:r>
        <w:rPr>
          <w:color w:val="000000"/>
          <w:sz w:val="17"/>
        </w:rPr>
        <w:softHyphen/>
        <w:t>фордский и Гудзоновский институты, центры изучения будущего при Портлендском, Принстонском и Южно-калифорнийском университетах, Институт будущего в Менло-Парк, институт мирового порядка в Нью-Йорке, Общество мирового будущего в Вашингтоне и др.</w:t>
      </w:r>
    </w:p>
    <w:p w:rsidR="00E45EFA" w:rsidRDefault="00E45EFA">
      <w:pPr>
        <w:pStyle w:val="a9"/>
        <w:widowControl/>
        <w:rPr>
          <w:color w:val="000000"/>
          <w:sz w:val="17"/>
        </w:rPr>
      </w:pPr>
      <w:r>
        <w:rPr>
          <w:color w:val="000000"/>
          <w:sz w:val="17"/>
        </w:rPr>
        <w:t>К последней четверти XX века число книг, брошюр, докладов и статей на футуро</w:t>
      </w:r>
      <w:r>
        <w:rPr>
          <w:color w:val="000000"/>
          <w:sz w:val="17"/>
        </w:rPr>
        <w:softHyphen/>
        <w:t>логические темы достигло двух тысяч наименований в год. Четыре темы являются заглавными: 1). Оценка перспектив гонки вооружений; 2). Проблемы роста населения, ресурсов и окружающей среды; 3).Ми</w:t>
      </w:r>
      <w:r>
        <w:rPr>
          <w:color w:val="000000"/>
          <w:sz w:val="17"/>
        </w:rPr>
        <w:softHyphen/>
        <w:t>ровое экономические развитие; 4). Социальные аспекты развития че</w:t>
      </w:r>
      <w:r>
        <w:rPr>
          <w:color w:val="000000"/>
          <w:sz w:val="17"/>
        </w:rPr>
        <w:softHyphen/>
        <w:t>ловечества.</w:t>
      </w:r>
    </w:p>
    <w:p w:rsidR="00E45EFA" w:rsidRDefault="00E45EFA">
      <w:pPr>
        <w:pStyle w:val="a9"/>
        <w:widowControl/>
        <w:rPr>
          <w:color w:val="000000"/>
          <w:sz w:val="17"/>
        </w:rPr>
      </w:pPr>
      <w:r>
        <w:rPr>
          <w:color w:val="000000"/>
          <w:sz w:val="17"/>
        </w:rPr>
        <w:t>Самыми типичными прогнозами являются программы на 10-15 лет. Многие проекты имеют финальной точкой прогноза 2000 год. Именно вопрос "Каким будет ХХI век?" вызывает основные дебаты, представляет осевую линию спора футурологов.</w:t>
      </w:r>
    </w:p>
    <w:p w:rsidR="00E45EFA" w:rsidRDefault="00E45EFA">
      <w:pPr>
        <w:pStyle w:val="a9"/>
        <w:widowControl/>
        <w:rPr>
          <w:color w:val="000000"/>
          <w:sz w:val="17"/>
        </w:rPr>
      </w:pPr>
      <w:r>
        <w:rPr>
          <w:color w:val="000000"/>
          <w:sz w:val="17"/>
        </w:rPr>
        <w:t>Образцом футурологических прогнозов могут послужить работы ведущих диагностиков тенденций мирового развития Дж.Несбитта и О.Тоффлера. Так, прогноз Несбитта, сделанный им в 1982 году, во многом оказался правильным. Основополагающими для 80-х годов про</w:t>
      </w:r>
      <w:r>
        <w:rPr>
          <w:color w:val="000000"/>
          <w:sz w:val="17"/>
        </w:rPr>
        <w:softHyphen/>
        <w:t>цессами были названы следующие: от индустриального общества – к информационному; от форсированного технологического развития - к передовым технологиям; от национальных экономик - к мировой эко</w:t>
      </w:r>
      <w:r>
        <w:rPr>
          <w:color w:val="000000"/>
          <w:sz w:val="17"/>
        </w:rPr>
        <w:softHyphen/>
        <w:t>номике; от краткосрочных тенденций - к долгосрочным; от централи</w:t>
      </w:r>
      <w:r>
        <w:rPr>
          <w:color w:val="000000"/>
          <w:sz w:val="17"/>
        </w:rPr>
        <w:softHyphen/>
        <w:t>зации - к децентрализации; от институциональной помощи - к опоре на свои силы; от представительной демократии - к демократии соучас</w:t>
      </w:r>
      <w:r>
        <w:rPr>
          <w:color w:val="000000"/>
          <w:sz w:val="17"/>
        </w:rPr>
        <w:softHyphen/>
        <w:t>тия; от иерархических структур - к сетевым структурам; от безус</w:t>
      </w:r>
      <w:r>
        <w:rPr>
          <w:color w:val="000000"/>
          <w:sz w:val="17"/>
        </w:rPr>
        <w:softHyphen/>
        <w:t>ловного примата Севера (развитые страны) - к выравниванию Юга; от узкого выбора из двух возможностей (либо - либо) - к множественному выбору.</w:t>
      </w:r>
    </w:p>
    <w:p w:rsidR="00E45EFA" w:rsidRDefault="00E45EFA">
      <w:pPr>
        <w:pStyle w:val="a9"/>
        <w:widowControl/>
        <w:rPr>
          <w:color w:val="000000"/>
          <w:sz w:val="17"/>
        </w:rPr>
      </w:pPr>
      <w:r>
        <w:rPr>
          <w:color w:val="000000"/>
          <w:sz w:val="17"/>
        </w:rPr>
        <w:t>Большой интерес вызвала и другая работа Дж.Несбитта, П.Эбурдин - "Мегатенденции: Год 2000. Десять новых направлений на 90-е годы". Наиболее важными основными тенденциями, на их взгляд, представля</w:t>
      </w:r>
      <w:r>
        <w:rPr>
          <w:color w:val="000000"/>
          <w:sz w:val="17"/>
        </w:rPr>
        <w:softHyphen/>
        <w:t>ются такие: 1. Глобальный экономический бум 90-х годов; 2. Возрождение искусств; 3. Возникновение социализма со свободными рыночными отношениями; 4. Универсальный образ жизни и культурный национализм; 5. Приватизация государства благосостояния; 6. Подъем тихоокеанского региона; 7. Десятилетие прихода женщин на руководящие посты; 8. Расцвет биологии; 9. Религиозное возрождение нового тысячелетия; 10. Триумф Античности.</w:t>
      </w:r>
    </w:p>
    <w:p w:rsidR="00E45EFA" w:rsidRDefault="00E45EFA">
      <w:pPr>
        <w:pStyle w:val="a9"/>
        <w:widowControl/>
        <w:rPr>
          <w:color w:val="000000"/>
          <w:sz w:val="17"/>
        </w:rPr>
      </w:pPr>
      <w:r>
        <w:rPr>
          <w:color w:val="000000"/>
          <w:sz w:val="17"/>
        </w:rPr>
        <w:t>Глобальное понимание перспектив роста и развития человечества раскрывается через призму как непосредственно человека (напри</w:t>
      </w:r>
      <w:r>
        <w:rPr>
          <w:color w:val="000000"/>
          <w:sz w:val="17"/>
        </w:rPr>
        <w:softHyphen/>
        <w:t>мер, тенденция изменения характера и условий труда, изменение от</w:t>
      </w:r>
      <w:r>
        <w:rPr>
          <w:color w:val="000000"/>
          <w:sz w:val="17"/>
        </w:rPr>
        <w:softHyphen/>
        <w:t>носительной ценности специальностей), так и человечества в целом (изменение политического и экономического баланса различных ре</w:t>
      </w:r>
      <w:r>
        <w:rPr>
          <w:color w:val="000000"/>
          <w:sz w:val="17"/>
        </w:rPr>
        <w:softHyphen/>
        <w:t>гионов и др.).</w:t>
      </w:r>
    </w:p>
    <w:p w:rsidR="00E45EFA" w:rsidRDefault="00E45EFA">
      <w:pPr>
        <w:pStyle w:val="a9"/>
        <w:widowControl/>
        <w:rPr>
          <w:color w:val="000000"/>
          <w:sz w:val="17"/>
        </w:rPr>
      </w:pPr>
      <w:r>
        <w:rPr>
          <w:color w:val="000000"/>
          <w:sz w:val="17"/>
        </w:rPr>
        <w:t>Глобализация общественного развития просматривает</w:t>
      </w:r>
      <w:r>
        <w:rPr>
          <w:color w:val="000000"/>
          <w:sz w:val="17"/>
        </w:rPr>
        <w:softHyphen/>
        <w:t>ся, таким образом, через возрастание значения индивида, личности, что свидетельствует об общей тенденции усиления гуманистического начала в современной футурологии.</w:t>
      </w:r>
    </w:p>
    <w:p w:rsidR="00E45EFA" w:rsidRDefault="00E45EFA">
      <w:pPr>
        <w:pStyle w:val="a9"/>
        <w:widowControl/>
        <w:rPr>
          <w:rStyle w:val="a6"/>
          <w:i w:val="0"/>
          <w:color w:val="000000"/>
          <w:sz w:val="17"/>
        </w:rPr>
      </w:pPr>
      <w:r>
        <w:rPr>
          <w:rStyle w:val="a6"/>
          <w:i w:val="0"/>
          <w:color w:val="000000"/>
          <w:sz w:val="17"/>
        </w:rPr>
        <w:t>Коновалов В.Н</w:t>
      </w:r>
    </w:p>
    <w:p w:rsidR="00E45EFA" w:rsidRDefault="00E45EFA">
      <w:bookmarkStart w:id="0" w:name="_GoBack"/>
      <w:bookmarkEnd w:id="0"/>
    </w:p>
    <w:sectPr w:rsidR="00E45EFA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8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markup="0"/>
  <w:doNotTrackMoves/>
  <w:doNotTrackFormatting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5EFA"/>
    <w:rsid w:val="0051197B"/>
    <w:rsid w:val="00C404DE"/>
    <w:rsid w:val="00E4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CE7FA17-15C8-44EF-A2CD-B0A06EE95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Arial" w:eastAsia="Arial" w:hAnsi="Arial" w:cs="Arial"/>
      <w:kern w:val="1"/>
      <w:szCs w:val="24"/>
      <w:lang w:eastAsia="hi-IN" w:bidi="hi-IN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rFonts w:ascii="Liberation Serif" w:hAnsi="Liberation Serif"/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Pr>
      <w:color w:val="000080"/>
      <w:u w:val="single"/>
    </w:rPr>
  </w:style>
  <w:style w:type="character" w:styleId="a6">
    <w:name w:val="Emphasis"/>
    <w:qFormat/>
    <w:rPr>
      <w:i/>
      <w:iCs/>
    </w:rPr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7">
    <w:name w:val="List"/>
    <w:basedOn w:val="a1"/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a8">
    <w:name w:val="Заголовок списка"/>
    <w:basedOn w:val="a"/>
    <w:next w:val="a9"/>
  </w:style>
  <w:style w:type="paragraph" w:customStyle="1" w:styleId="a9">
    <w:name w:val="Содержимое списка"/>
    <w:basedOn w:val="a"/>
    <w:pPr>
      <w:ind w:lef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ic.academic.ru/searchall.php?SWord=&#1060;&#1091;&#1090;&#1091;&#1088;&#1086;&#1083;&#1086;&#1075;&#1080;&#1103;&amp;stype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3878</CharactersWithSpaces>
  <SharedDoc>false</SharedDoc>
  <HLinks>
    <vt:vector size="6" baseType="variant">
      <vt:variant>
        <vt:i4>2098287</vt:i4>
      </vt:variant>
      <vt:variant>
        <vt:i4>0</vt:i4>
      </vt:variant>
      <vt:variant>
        <vt:i4>0</vt:i4>
      </vt:variant>
      <vt:variant>
        <vt:i4>5</vt:i4>
      </vt:variant>
      <vt:variant>
        <vt:lpwstr>http://dic.academic.ru/searchall.php?SWord=Футурология&amp;stype=1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2014-05-27T10:27:00Z</dcterms:created>
  <dcterms:modified xsi:type="dcterms:W3CDTF">2014-05-27T10:27:00Z</dcterms:modified>
</cp:coreProperties>
</file>