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2D" w:rsidRPr="003F24BB" w:rsidRDefault="007F062D" w:rsidP="007F062D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 xml:space="preserve">Генетический эффект, индуцированный сульфатом никеля </w:t>
      </w:r>
    </w:p>
    <w:p w:rsidR="007F062D" w:rsidRPr="003F24BB" w:rsidRDefault="007F062D" w:rsidP="007F062D">
      <w:pPr>
        <w:spacing w:before="120"/>
        <w:jc w:val="center"/>
        <w:rPr>
          <w:sz w:val="28"/>
        </w:rPr>
      </w:pPr>
      <w:r w:rsidRPr="003F24BB">
        <w:rPr>
          <w:sz w:val="28"/>
        </w:rPr>
        <w:t xml:space="preserve">Ирина Иванова, Анна Русинова, ученицы гимназии № </w:t>
      </w:r>
      <w:smartTag w:uri="urn:schemas-microsoft-com:office:smarttags" w:element="metricconverter">
        <w:smartTagPr>
          <w:attr w:name="ProductID" w:val="14, г"/>
        </w:smartTagPr>
        <w:r w:rsidRPr="003F24BB">
          <w:rPr>
            <w:sz w:val="28"/>
          </w:rPr>
          <w:t>14, г</w:t>
        </w:r>
      </w:smartTag>
      <w:r w:rsidRPr="003F24BB">
        <w:rPr>
          <w:sz w:val="28"/>
        </w:rPr>
        <w:t>. Одинцово, Моск. обл.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В настоящее время внимание ученых обращено на опасность загрязнения окружающей среды тяжелыми металлами</w:t>
      </w:r>
      <w:r>
        <w:t xml:space="preserve">, </w:t>
      </w:r>
      <w:r w:rsidRPr="003F24BB">
        <w:t>в том числе соединениями никеля. Особенно тяжелая экологическая ситуация складывается в районах добычи и переработки никелевых руд. Известно</w:t>
      </w:r>
      <w:r>
        <w:t xml:space="preserve">, </w:t>
      </w:r>
      <w:r w:rsidRPr="003F24BB">
        <w:t>что никель в высоких дозах может вызвать у человека генетический эффект. Но для предупреждения развития неблагоприятных эффектов очень важно определить опасность его воздействия в малых дозах</w:t>
      </w:r>
      <w:r>
        <w:t xml:space="preserve">, </w:t>
      </w:r>
      <w:r w:rsidRPr="003F24BB">
        <w:t>которым реально может подвергаться человек</w:t>
      </w:r>
      <w:r>
        <w:t xml:space="preserve">, </w:t>
      </w:r>
      <w:r w:rsidRPr="003F24BB">
        <w:t>и рассчитать генетический риск – вероятность развития неблагоприятного генетического действия. Не менее важно определить и частоту возникновения доминантных летальных мутаций (ДЛМ – мутации</w:t>
      </w:r>
      <w:r>
        <w:t xml:space="preserve">, </w:t>
      </w:r>
      <w:r w:rsidRPr="003F24BB">
        <w:t>вызывающие внутриутробную гибель) в половых клетках на разных стадиях сперматогенеза</w:t>
      </w:r>
      <w:r>
        <w:t xml:space="preserve">, </w:t>
      </w:r>
      <w:r w:rsidRPr="003F24BB">
        <w:t xml:space="preserve">поскольку генетические изменения в них могут сохраняться в течение всего репродуктивного периода.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С этой целью в лаборатории токсикологии ГУ НИИ медицины труда РАМН были проведены исследования генетической чувствительности половых клеток мышей WR к действию никеля. В работе принимали участие ученицы Одинцовской гимназии (подсадка самок к самцам в опытной и контрольной группах; вскрытие умерщвленных самок</w:t>
      </w:r>
      <w:r>
        <w:t xml:space="preserve">, </w:t>
      </w:r>
      <w:r w:rsidRPr="003F24BB">
        <w:t xml:space="preserve">извлечение матки и подсчет число живых и погибших эмбрионов; математическая и статистическая обработка полученных данных; изучение литературы).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В качестве тест-вещества использовали сульфат никеля</w:t>
      </w:r>
      <w:r>
        <w:t xml:space="preserve">, </w:t>
      </w:r>
      <w:r w:rsidRPr="003F24BB">
        <w:t>который вводили в желудок мышам-самцам в дозах 5</w:t>
      </w:r>
      <w:r>
        <w:t xml:space="preserve">, </w:t>
      </w:r>
      <w:r w:rsidRPr="003F24BB">
        <w:t>0 и 1</w:t>
      </w:r>
      <w:r>
        <w:t xml:space="preserve">, </w:t>
      </w:r>
      <w:r w:rsidRPr="003F24BB">
        <w:t xml:space="preserve">0 мг/кг (при введении в желудок это соединение вызывает наиболее выраженный токсический эффект).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Для определения частоты возникновения ДМЛ на протяжении всего цикла сперматогенеза сразу после воздействия к самцам подсаживали необработанных самок. Частоту ДЛМ определяли на 18-й день беременности по постимплантационной гибели эмбрионов (отношение числа погибших эмбрионов к числу мест имплантаций) и индуцированной гибели (отношение постимплантационной гибели в опыте к постимплантационной гибели в контроле). Этот показатель отсекает «естественный фон» – гибель эмбрионов в контрольной группе</w:t>
      </w:r>
      <w:r>
        <w:t xml:space="preserve">, </w:t>
      </w:r>
      <w:r w:rsidRPr="003F24BB">
        <w:t>что позволяет анализировать частоту ДЛМ</w:t>
      </w:r>
      <w:r>
        <w:t xml:space="preserve">, </w:t>
      </w:r>
      <w:r w:rsidRPr="003F24BB">
        <w:t xml:space="preserve">индуцированную именно действием тестируемого мутагена.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Воздействие сульфата никеля в дозе 5</w:t>
      </w:r>
      <w:r>
        <w:t xml:space="preserve">, </w:t>
      </w:r>
      <w:r w:rsidRPr="003F24BB">
        <w:t>0 мг/кг (1/20 ДЛ50) индуцировало выраженный мутагенный эффект – увеличение частоты ДЛМ в половых клетках на всех стадиях сперматогенеза; а в дозе 1</w:t>
      </w:r>
      <w:r>
        <w:t xml:space="preserve">, </w:t>
      </w:r>
      <w:r w:rsidRPr="003F24BB">
        <w:t>0 мг/кг (1/100 ДЛ50)– только в сперматозоидах</w:t>
      </w:r>
      <w:r>
        <w:t xml:space="preserve">, </w:t>
      </w:r>
      <w:r w:rsidRPr="003F24BB">
        <w:t>ранних сперматидах</w:t>
      </w:r>
      <w:r>
        <w:t xml:space="preserve">, </w:t>
      </w:r>
      <w:r w:rsidRPr="003F24BB">
        <w:t>поздних сперматоцитах и стволовых сперматогониях. Особое внимание следует обратить на увеличение частоты возникновения ДЛМ в стволовых сперматогониях</w:t>
      </w:r>
      <w:r>
        <w:t xml:space="preserve">, </w:t>
      </w:r>
      <w:r w:rsidRPr="003F24BB">
        <w:t>поскольку за счет деления этих клеток происходит восстановление цикла сперматогенеза</w:t>
      </w:r>
      <w:r>
        <w:t xml:space="preserve">, </w:t>
      </w:r>
      <w:r w:rsidRPr="003F24BB">
        <w:t>и значит увеличение частоты мутаций в них может сохраняться в течение всего репродуктивного периода. Воздействие соли никеля в дозе 0</w:t>
      </w:r>
      <w:r>
        <w:t xml:space="preserve">, </w:t>
      </w:r>
      <w:r w:rsidRPr="003F24BB">
        <w:t>5мг/кг (1/200 ДЛ50) не увеличивало частоту ДЛМ в половых клетках ни на одной из стадий сперматогенеза – недействующий уровень.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Подобные результаты получены и при переходе сульфата никеля через плаценту по частоте генных мутаций (Wу) в соматических клетках гетерозиготных мышей WR первого поколения: недействующий уровень – 1/200 ДЛ50</w:t>
      </w:r>
      <w:r>
        <w:t xml:space="preserve">, </w:t>
      </w:r>
      <w:r w:rsidRPr="003F24BB">
        <w:t>пороговый уровень – 1/100 ДЛ50. То есть</w:t>
      </w:r>
      <w:r>
        <w:t xml:space="preserve">, </w:t>
      </w:r>
      <w:r w:rsidRPr="003F24BB">
        <w:t>установлена одинаковая генетическая чувствительность половых и соматических клеток к действию сульфата никеля в интервале доз от 0</w:t>
      </w:r>
      <w:r>
        <w:t xml:space="preserve">, </w:t>
      </w:r>
      <w:r w:rsidRPr="003F24BB">
        <w:t>5 до 5</w:t>
      </w:r>
      <w:r>
        <w:t xml:space="preserve">, </w:t>
      </w:r>
      <w:r w:rsidRPr="003F24BB">
        <w:t xml:space="preserve">0 мг/кг.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Ориентировочно количественная оценка генетического риска по частоте ДЛМ на одну клетку на уровне 1/100 ДЛ50 (пороговый уровень) составила на стадии сперматозоидов 6</w:t>
      </w:r>
      <w:r>
        <w:t xml:space="preserve">, </w:t>
      </w:r>
      <w:r w:rsidRPr="003F24BB">
        <w:t>6х10-2</w:t>
      </w:r>
      <w:r>
        <w:t xml:space="preserve">, </w:t>
      </w:r>
      <w:r w:rsidRPr="003F24BB">
        <w:t>ранних сперматид</w:t>
      </w:r>
      <w:r>
        <w:t xml:space="preserve"> - </w:t>
      </w:r>
      <w:r w:rsidRPr="003F24BB">
        <w:t>7</w:t>
      </w:r>
      <w:r>
        <w:t xml:space="preserve">, </w:t>
      </w:r>
      <w:r w:rsidRPr="003F24BB">
        <w:t>0х10-2</w:t>
      </w:r>
      <w:r>
        <w:t xml:space="preserve">, </w:t>
      </w:r>
      <w:r w:rsidRPr="003F24BB">
        <w:t>поздних сперматоцитов</w:t>
      </w:r>
      <w:r>
        <w:t xml:space="preserve"> - </w:t>
      </w:r>
      <w:r w:rsidRPr="003F24BB">
        <w:t>12</w:t>
      </w:r>
      <w:r>
        <w:t xml:space="preserve">, </w:t>
      </w:r>
      <w:r w:rsidRPr="003F24BB">
        <w:t>7х10-2 и стволовых сперматогониев – 5</w:t>
      </w:r>
      <w:r>
        <w:t xml:space="preserve">, </w:t>
      </w:r>
      <w:r w:rsidRPr="003F24BB">
        <w:t xml:space="preserve">5х10-2.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Таким образом</w:t>
      </w:r>
      <w:r>
        <w:t xml:space="preserve">, </w:t>
      </w:r>
      <w:r w:rsidRPr="003F24BB">
        <w:t>следует обратить внимание на возможную генетическую опасность для лиц</w:t>
      </w:r>
      <w:r>
        <w:t xml:space="preserve">, </w:t>
      </w:r>
      <w:r w:rsidRPr="003F24BB">
        <w:t>подвергающихся профессиональному воздействию сульфата никеля даже в относительно низких дозах.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Известно</w:t>
      </w:r>
      <w:r>
        <w:t xml:space="preserve">, </w:t>
      </w:r>
      <w:r w:rsidRPr="003F24BB">
        <w:t>одной из «фундаментальных реакций» клетки на последовательное воздействие малых и больших доз химических соединений является адаптивный ответ. Ученые предполагают</w:t>
      </w:r>
      <w:r>
        <w:t xml:space="preserve">, </w:t>
      </w:r>
      <w:r w:rsidRPr="003F24BB">
        <w:t xml:space="preserve">что действие в малой дозе переводит клетку в состояние «готовности» к репарации.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Для проверки этого предположения самкам мышей WR на десятый день беременности вводили сульфат никеля в недействующей дозе 0</w:t>
      </w:r>
      <w:r>
        <w:t xml:space="preserve">, </w:t>
      </w:r>
      <w:r w:rsidRPr="003F24BB">
        <w:t>5 мг/кг</w:t>
      </w:r>
      <w:r>
        <w:t xml:space="preserve">, </w:t>
      </w:r>
      <w:r w:rsidRPr="003F24BB">
        <w:t>а затем самцам первого поколения в двухмесячном возрасте вводили эту соль в дозах 0</w:t>
      </w:r>
      <w:r>
        <w:t xml:space="preserve">, </w:t>
      </w:r>
      <w:r w:rsidRPr="003F24BB">
        <w:t>5; 1</w:t>
      </w:r>
      <w:r>
        <w:t xml:space="preserve">, </w:t>
      </w:r>
      <w:r w:rsidRPr="003F24BB">
        <w:t>0 и 5</w:t>
      </w:r>
      <w:r>
        <w:t xml:space="preserve">, </w:t>
      </w:r>
      <w:r w:rsidRPr="003F24BB">
        <w:t xml:space="preserve">0 мг/кг. 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Введение сульфата никеля в недействующей дозе – 0</w:t>
      </w:r>
      <w:r>
        <w:t xml:space="preserve">, </w:t>
      </w:r>
      <w:r w:rsidRPr="003F24BB">
        <w:t>5 мг/кг вызывало адаптивный ответ: не индуцировало увеличения частоты ДЛМ в половых клетках на всех стадиях сперматогенеза при последующем введении в дозах 0</w:t>
      </w:r>
      <w:r>
        <w:t xml:space="preserve">, </w:t>
      </w:r>
      <w:r w:rsidRPr="003F24BB">
        <w:t>5</w:t>
      </w:r>
      <w:r>
        <w:t xml:space="preserve">, </w:t>
      </w:r>
      <w:r w:rsidRPr="003F24BB">
        <w:t>1</w:t>
      </w:r>
      <w:r>
        <w:t xml:space="preserve">, </w:t>
      </w:r>
      <w:r w:rsidRPr="003F24BB">
        <w:t>0 и 5</w:t>
      </w:r>
      <w:r>
        <w:t xml:space="preserve">, </w:t>
      </w:r>
      <w:r w:rsidRPr="003F24BB">
        <w:t>0 мг/кг. Полученные результаты</w:t>
      </w:r>
      <w:r>
        <w:t xml:space="preserve">, </w:t>
      </w:r>
      <w:r w:rsidRPr="003F24BB">
        <w:t>возможно</w:t>
      </w:r>
      <w:r>
        <w:t xml:space="preserve">, </w:t>
      </w:r>
      <w:r w:rsidRPr="003F24BB">
        <w:t>объясняются тем</w:t>
      </w:r>
      <w:r>
        <w:t xml:space="preserve">, </w:t>
      </w:r>
      <w:r w:rsidRPr="003F24BB">
        <w:t>что на 10-й день эмбрионального развития мышей происходит развитие органов</w:t>
      </w:r>
      <w:r>
        <w:t xml:space="preserve">, </w:t>
      </w:r>
      <w:r w:rsidRPr="003F24BB">
        <w:t>включая нервную систему. По-видимому</w:t>
      </w:r>
      <w:r>
        <w:t xml:space="preserve">, </w:t>
      </w:r>
      <w:r w:rsidRPr="003F24BB">
        <w:t>воздействие агента в этот критический период переводит клетки развивающегося эмбриона в состояние «готовности». Это и приводит к адаптивному ответу при последующем воздействии никеля на половозрелый организм.</w:t>
      </w:r>
    </w:p>
    <w:p w:rsidR="007F062D" w:rsidRPr="003F24BB" w:rsidRDefault="007F062D" w:rsidP="007F062D">
      <w:pPr>
        <w:spacing w:before="120"/>
        <w:ind w:firstLine="567"/>
        <w:jc w:val="both"/>
      </w:pPr>
      <w:r w:rsidRPr="003F24BB">
        <w:t>Таким образом</w:t>
      </w:r>
      <w:r>
        <w:t xml:space="preserve">, </w:t>
      </w:r>
      <w:r w:rsidRPr="003F24BB">
        <w:t>предварительное воздействие в дозе</w:t>
      </w:r>
      <w:r>
        <w:t xml:space="preserve">, </w:t>
      </w:r>
      <w:r w:rsidRPr="003F24BB">
        <w:t>не индуцирующей генетический эффект</w:t>
      </w:r>
      <w:r>
        <w:t xml:space="preserve">, </w:t>
      </w:r>
      <w:r w:rsidRPr="003F24BB">
        <w:t xml:space="preserve">вызывает защитный эффект при последующим действии в больших дозах. </w:t>
      </w:r>
    </w:p>
    <w:p w:rsidR="007F062D" w:rsidRDefault="007F062D" w:rsidP="007F062D">
      <w:pPr>
        <w:spacing w:before="120"/>
        <w:ind w:firstLine="567"/>
        <w:jc w:val="both"/>
      </w:pPr>
      <w:r w:rsidRPr="003F24BB">
        <w:t>Для подтверждения полученных результатов</w:t>
      </w:r>
      <w:r>
        <w:t xml:space="preserve">, </w:t>
      </w:r>
      <w:r w:rsidRPr="003F24BB">
        <w:t>представляющих важное значение для рабочих промышленных предприятий</w:t>
      </w:r>
      <w:r>
        <w:t xml:space="preserve">, </w:t>
      </w:r>
      <w:r w:rsidRPr="003F24BB">
        <w:t>необходимо продолжить начатые исследования.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62D"/>
    <w:rsid w:val="001A35F6"/>
    <w:rsid w:val="003F24BB"/>
    <w:rsid w:val="00636705"/>
    <w:rsid w:val="007F062D"/>
    <w:rsid w:val="00811DD4"/>
    <w:rsid w:val="00BE547B"/>
    <w:rsid w:val="00F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F89BDE-95CF-4140-AEA6-234A272A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062D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7F062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Генетический эффект, индуцированный сульфатом никеля </vt:lpstr>
    </vt:vector>
  </TitlesOfParts>
  <Company>Home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Генетический эффект, индуцированный сульфатом никеля </dc:title>
  <dc:subject/>
  <dc:creator>User</dc:creator>
  <cp:keywords/>
  <dc:description/>
  <cp:lastModifiedBy>admin</cp:lastModifiedBy>
  <cp:revision>2</cp:revision>
  <dcterms:created xsi:type="dcterms:W3CDTF">2014-03-28T14:15:00Z</dcterms:created>
  <dcterms:modified xsi:type="dcterms:W3CDTF">2014-03-28T14:15:00Z</dcterms:modified>
</cp:coreProperties>
</file>