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C03" w:rsidRPr="001352F9" w:rsidRDefault="00114C03" w:rsidP="001352F9">
      <w:pPr>
        <w:spacing w:line="360" w:lineRule="auto"/>
        <w:jc w:val="center"/>
        <w:rPr>
          <w:sz w:val="28"/>
          <w:szCs w:val="28"/>
        </w:rPr>
      </w:pPr>
      <w:r w:rsidRPr="001352F9">
        <w:rPr>
          <w:sz w:val="28"/>
          <w:szCs w:val="28"/>
        </w:rPr>
        <w:t>Донецкий национальный технический университет</w:t>
      </w:r>
    </w:p>
    <w:p w:rsidR="00114C03" w:rsidRPr="001352F9" w:rsidRDefault="00114C03" w:rsidP="001352F9">
      <w:pPr>
        <w:spacing w:line="360" w:lineRule="auto"/>
        <w:jc w:val="center"/>
        <w:rPr>
          <w:sz w:val="28"/>
          <w:szCs w:val="28"/>
        </w:rPr>
      </w:pPr>
      <w:r w:rsidRPr="001352F9">
        <w:rPr>
          <w:sz w:val="28"/>
          <w:szCs w:val="28"/>
        </w:rPr>
        <w:t>Факультет менеджмента и инноваций</w:t>
      </w:r>
    </w:p>
    <w:p w:rsidR="00114C03" w:rsidRPr="001352F9" w:rsidRDefault="00114C03" w:rsidP="001352F9">
      <w:pPr>
        <w:spacing w:line="360" w:lineRule="auto"/>
        <w:jc w:val="center"/>
        <w:rPr>
          <w:sz w:val="28"/>
          <w:szCs w:val="28"/>
        </w:rPr>
      </w:pPr>
    </w:p>
    <w:p w:rsidR="00114C03" w:rsidRPr="001352F9" w:rsidRDefault="00114C03" w:rsidP="001352F9">
      <w:pPr>
        <w:spacing w:line="360" w:lineRule="auto"/>
        <w:jc w:val="center"/>
        <w:rPr>
          <w:sz w:val="28"/>
          <w:szCs w:val="28"/>
        </w:rPr>
      </w:pPr>
    </w:p>
    <w:p w:rsidR="00114C03" w:rsidRDefault="00114C03" w:rsidP="001352F9">
      <w:pPr>
        <w:spacing w:line="360" w:lineRule="auto"/>
        <w:jc w:val="center"/>
        <w:rPr>
          <w:sz w:val="28"/>
          <w:szCs w:val="28"/>
        </w:rPr>
      </w:pPr>
    </w:p>
    <w:p w:rsidR="001352F9" w:rsidRDefault="001352F9" w:rsidP="001352F9">
      <w:pPr>
        <w:spacing w:line="360" w:lineRule="auto"/>
        <w:jc w:val="center"/>
        <w:rPr>
          <w:sz w:val="28"/>
          <w:szCs w:val="28"/>
        </w:rPr>
      </w:pPr>
    </w:p>
    <w:p w:rsidR="001352F9" w:rsidRDefault="001352F9" w:rsidP="001352F9">
      <w:pPr>
        <w:spacing w:line="360" w:lineRule="auto"/>
        <w:jc w:val="center"/>
        <w:rPr>
          <w:sz w:val="28"/>
          <w:szCs w:val="28"/>
        </w:rPr>
      </w:pPr>
    </w:p>
    <w:p w:rsidR="001352F9" w:rsidRDefault="001352F9" w:rsidP="001352F9">
      <w:pPr>
        <w:spacing w:line="360" w:lineRule="auto"/>
        <w:jc w:val="center"/>
        <w:rPr>
          <w:sz w:val="28"/>
          <w:szCs w:val="28"/>
        </w:rPr>
      </w:pPr>
    </w:p>
    <w:p w:rsidR="001352F9" w:rsidRDefault="001352F9" w:rsidP="001352F9">
      <w:pPr>
        <w:spacing w:line="360" w:lineRule="auto"/>
        <w:jc w:val="center"/>
        <w:rPr>
          <w:sz w:val="28"/>
          <w:szCs w:val="28"/>
        </w:rPr>
      </w:pPr>
    </w:p>
    <w:p w:rsidR="001352F9" w:rsidRPr="001352F9" w:rsidRDefault="001352F9" w:rsidP="001352F9">
      <w:pPr>
        <w:spacing w:line="360" w:lineRule="auto"/>
        <w:jc w:val="center"/>
        <w:rPr>
          <w:sz w:val="28"/>
          <w:szCs w:val="28"/>
        </w:rPr>
      </w:pPr>
    </w:p>
    <w:p w:rsidR="00114C03" w:rsidRPr="001352F9" w:rsidRDefault="00114C03" w:rsidP="001352F9">
      <w:pPr>
        <w:spacing w:line="360" w:lineRule="auto"/>
        <w:jc w:val="center"/>
        <w:rPr>
          <w:sz w:val="28"/>
          <w:szCs w:val="28"/>
        </w:rPr>
      </w:pPr>
    </w:p>
    <w:p w:rsidR="00114C03" w:rsidRPr="001352F9" w:rsidRDefault="00114C03" w:rsidP="001352F9">
      <w:pPr>
        <w:spacing w:line="360" w:lineRule="auto"/>
        <w:jc w:val="center"/>
        <w:rPr>
          <w:sz w:val="28"/>
          <w:szCs w:val="28"/>
        </w:rPr>
      </w:pPr>
    </w:p>
    <w:p w:rsidR="00114C03" w:rsidRPr="001352F9" w:rsidRDefault="00114C03" w:rsidP="001352F9">
      <w:pPr>
        <w:spacing w:line="360" w:lineRule="auto"/>
        <w:jc w:val="center"/>
        <w:rPr>
          <w:sz w:val="28"/>
          <w:szCs w:val="28"/>
        </w:rPr>
      </w:pPr>
    </w:p>
    <w:p w:rsidR="00114C03" w:rsidRPr="001352F9" w:rsidRDefault="00114C03" w:rsidP="001352F9">
      <w:pPr>
        <w:spacing w:line="360" w:lineRule="auto"/>
        <w:jc w:val="center"/>
        <w:rPr>
          <w:sz w:val="28"/>
          <w:szCs w:val="28"/>
        </w:rPr>
      </w:pPr>
    </w:p>
    <w:p w:rsidR="00114C03" w:rsidRPr="001352F9" w:rsidRDefault="00D90426" w:rsidP="001352F9">
      <w:pPr>
        <w:spacing w:line="360" w:lineRule="auto"/>
        <w:jc w:val="center"/>
        <w:rPr>
          <w:sz w:val="28"/>
          <w:szCs w:val="28"/>
          <w:lang w:val="uk-UA"/>
        </w:rPr>
      </w:pPr>
      <w:r w:rsidRPr="00FB7EA3">
        <w:rPr>
          <w:sz w:val="28"/>
          <w:szCs w:val="28"/>
        </w:rPr>
        <w:t>Контрольная работа</w:t>
      </w:r>
    </w:p>
    <w:p w:rsidR="00114C03" w:rsidRPr="001352F9" w:rsidRDefault="00114C03" w:rsidP="001352F9">
      <w:pPr>
        <w:spacing w:line="360" w:lineRule="auto"/>
        <w:jc w:val="center"/>
        <w:rPr>
          <w:sz w:val="28"/>
          <w:szCs w:val="28"/>
        </w:rPr>
      </w:pPr>
      <w:r w:rsidRPr="001352F9">
        <w:rPr>
          <w:sz w:val="28"/>
          <w:szCs w:val="28"/>
        </w:rPr>
        <w:t>по дисциплине: «Финансы»</w:t>
      </w:r>
    </w:p>
    <w:p w:rsidR="00114C03" w:rsidRPr="001352F9" w:rsidRDefault="00114C03" w:rsidP="001352F9">
      <w:pPr>
        <w:spacing w:line="360" w:lineRule="auto"/>
        <w:jc w:val="center"/>
        <w:rPr>
          <w:sz w:val="28"/>
          <w:szCs w:val="28"/>
        </w:rPr>
      </w:pPr>
      <w:r w:rsidRPr="001352F9">
        <w:rPr>
          <w:sz w:val="28"/>
          <w:szCs w:val="28"/>
        </w:rPr>
        <w:t xml:space="preserve">на тему: </w:t>
      </w:r>
      <w:r w:rsidRPr="001352F9">
        <w:rPr>
          <w:b/>
          <w:sz w:val="28"/>
          <w:szCs w:val="28"/>
        </w:rPr>
        <w:t>«Дефолт государства»</w:t>
      </w:r>
    </w:p>
    <w:p w:rsidR="003C661E" w:rsidRPr="001352F9" w:rsidRDefault="003C661E" w:rsidP="001352F9">
      <w:pPr>
        <w:spacing w:line="360" w:lineRule="auto"/>
        <w:jc w:val="center"/>
        <w:rPr>
          <w:sz w:val="28"/>
          <w:szCs w:val="28"/>
        </w:rPr>
      </w:pPr>
    </w:p>
    <w:p w:rsidR="003C661E" w:rsidRPr="001352F9" w:rsidRDefault="003C661E" w:rsidP="001352F9">
      <w:pPr>
        <w:spacing w:line="360" w:lineRule="auto"/>
        <w:jc w:val="center"/>
        <w:rPr>
          <w:sz w:val="28"/>
          <w:szCs w:val="28"/>
        </w:rPr>
      </w:pPr>
    </w:p>
    <w:p w:rsidR="003C661E" w:rsidRPr="001352F9" w:rsidRDefault="003C661E" w:rsidP="001352F9">
      <w:pPr>
        <w:spacing w:line="360" w:lineRule="auto"/>
        <w:jc w:val="center"/>
        <w:rPr>
          <w:sz w:val="28"/>
          <w:szCs w:val="28"/>
        </w:rPr>
      </w:pPr>
    </w:p>
    <w:p w:rsidR="00D90426" w:rsidRPr="001352F9" w:rsidRDefault="00D90426" w:rsidP="001352F9">
      <w:pPr>
        <w:spacing w:line="360" w:lineRule="auto"/>
        <w:jc w:val="center"/>
        <w:rPr>
          <w:sz w:val="28"/>
          <w:szCs w:val="28"/>
          <w:lang w:val="uk-UA"/>
        </w:rPr>
      </w:pPr>
    </w:p>
    <w:p w:rsidR="00D90426" w:rsidRPr="001352F9" w:rsidRDefault="00D90426" w:rsidP="001352F9">
      <w:pPr>
        <w:spacing w:line="360" w:lineRule="auto"/>
        <w:jc w:val="center"/>
        <w:rPr>
          <w:sz w:val="28"/>
          <w:szCs w:val="28"/>
          <w:lang w:val="uk-UA"/>
        </w:rPr>
      </w:pPr>
    </w:p>
    <w:p w:rsidR="00D90426" w:rsidRPr="001352F9" w:rsidRDefault="00D90426" w:rsidP="001352F9">
      <w:pPr>
        <w:spacing w:line="360" w:lineRule="auto"/>
        <w:jc w:val="center"/>
        <w:rPr>
          <w:sz w:val="28"/>
          <w:szCs w:val="28"/>
          <w:lang w:val="uk-UA"/>
        </w:rPr>
      </w:pPr>
    </w:p>
    <w:p w:rsidR="00D90426" w:rsidRPr="001352F9" w:rsidRDefault="00D90426" w:rsidP="001352F9">
      <w:pPr>
        <w:spacing w:line="360" w:lineRule="auto"/>
        <w:jc w:val="center"/>
        <w:rPr>
          <w:sz w:val="28"/>
          <w:szCs w:val="28"/>
          <w:lang w:val="uk-UA"/>
        </w:rPr>
      </w:pPr>
    </w:p>
    <w:p w:rsidR="00D90426" w:rsidRDefault="00D90426" w:rsidP="001352F9">
      <w:pPr>
        <w:spacing w:line="360" w:lineRule="auto"/>
        <w:jc w:val="center"/>
        <w:rPr>
          <w:sz w:val="28"/>
          <w:szCs w:val="28"/>
          <w:lang w:val="uk-UA"/>
        </w:rPr>
      </w:pPr>
    </w:p>
    <w:p w:rsidR="001352F9" w:rsidRDefault="001352F9" w:rsidP="001352F9">
      <w:pPr>
        <w:spacing w:line="360" w:lineRule="auto"/>
        <w:jc w:val="center"/>
        <w:rPr>
          <w:sz w:val="28"/>
          <w:szCs w:val="28"/>
          <w:lang w:val="uk-UA"/>
        </w:rPr>
      </w:pPr>
    </w:p>
    <w:p w:rsidR="00FB7EA3" w:rsidRDefault="00FB7EA3" w:rsidP="001352F9">
      <w:pPr>
        <w:spacing w:line="360" w:lineRule="auto"/>
        <w:jc w:val="center"/>
        <w:rPr>
          <w:sz w:val="28"/>
          <w:szCs w:val="28"/>
          <w:lang w:val="uk-UA"/>
        </w:rPr>
      </w:pPr>
    </w:p>
    <w:p w:rsidR="001352F9" w:rsidRDefault="001352F9" w:rsidP="001352F9">
      <w:pPr>
        <w:spacing w:line="360" w:lineRule="auto"/>
        <w:jc w:val="center"/>
        <w:rPr>
          <w:sz w:val="28"/>
          <w:szCs w:val="28"/>
          <w:lang w:val="uk-UA"/>
        </w:rPr>
      </w:pPr>
    </w:p>
    <w:p w:rsidR="001352F9" w:rsidRDefault="00896B52" w:rsidP="001352F9">
      <w:pPr>
        <w:spacing w:line="360" w:lineRule="auto"/>
        <w:jc w:val="center"/>
        <w:rPr>
          <w:sz w:val="28"/>
          <w:szCs w:val="28"/>
          <w:lang w:val="uk-UA"/>
        </w:rPr>
      </w:pPr>
      <w:r w:rsidRPr="001352F9">
        <w:rPr>
          <w:sz w:val="28"/>
          <w:szCs w:val="28"/>
        </w:rPr>
        <w:t>Донецк, 200</w:t>
      </w:r>
      <w:r w:rsidR="00D90426" w:rsidRPr="001352F9">
        <w:rPr>
          <w:sz w:val="28"/>
          <w:szCs w:val="28"/>
          <w:lang w:val="uk-UA"/>
        </w:rPr>
        <w:t>9</w:t>
      </w:r>
    </w:p>
    <w:p w:rsidR="00D94092" w:rsidRPr="001352F9" w:rsidRDefault="00114C03" w:rsidP="001352F9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  <w:r w:rsidRPr="001352F9">
        <w:rPr>
          <w:b/>
          <w:i/>
          <w:sz w:val="28"/>
          <w:szCs w:val="28"/>
        </w:rPr>
        <w:br w:type="page"/>
      </w:r>
      <w:r w:rsidR="00D94092" w:rsidRPr="001352F9">
        <w:rPr>
          <w:b/>
          <w:i/>
          <w:sz w:val="28"/>
          <w:szCs w:val="28"/>
        </w:rPr>
        <w:t>Понятие дефолта</w:t>
      </w:r>
    </w:p>
    <w:p w:rsidR="00D90426" w:rsidRPr="001352F9" w:rsidRDefault="00D90426" w:rsidP="001352F9">
      <w:pPr>
        <w:spacing w:line="360" w:lineRule="auto"/>
        <w:ind w:firstLine="709"/>
        <w:jc w:val="both"/>
        <w:rPr>
          <w:b/>
          <w:i/>
          <w:sz w:val="28"/>
          <w:szCs w:val="28"/>
          <w:lang w:val="uk-UA"/>
        </w:rPr>
      </w:pPr>
    </w:p>
    <w:p w:rsidR="00490168" w:rsidRPr="001352F9" w:rsidRDefault="00C74B3E" w:rsidP="001352F9">
      <w:pPr>
        <w:spacing w:line="360" w:lineRule="auto"/>
        <w:ind w:firstLine="709"/>
        <w:jc w:val="both"/>
        <w:rPr>
          <w:sz w:val="28"/>
          <w:szCs w:val="28"/>
        </w:rPr>
      </w:pPr>
      <w:r w:rsidRPr="001352F9">
        <w:rPr>
          <w:b/>
          <w:sz w:val="28"/>
          <w:szCs w:val="28"/>
        </w:rPr>
        <w:t>Дефолт</w:t>
      </w:r>
      <w:r w:rsidRPr="001352F9">
        <w:rPr>
          <w:sz w:val="28"/>
          <w:szCs w:val="28"/>
        </w:rPr>
        <w:t xml:space="preserve"> – </w:t>
      </w:r>
      <w:r w:rsidR="00152518" w:rsidRPr="001352F9">
        <w:rPr>
          <w:sz w:val="28"/>
          <w:szCs w:val="28"/>
        </w:rPr>
        <w:t>нарушение платежных обязательств заемщика перед кредитором, неспособность производить своевременные выплаты по долговым обязательствам или выполнять иные условия договора займа. В широком смысле слова этим термином обозначают любые виды отказа от дол</w:t>
      </w:r>
      <w:r w:rsidR="001F33BB" w:rsidRPr="001352F9">
        <w:rPr>
          <w:sz w:val="28"/>
          <w:szCs w:val="28"/>
        </w:rPr>
        <w:t xml:space="preserve">говых обязательств </w:t>
      </w:r>
      <w:r w:rsidR="00152518" w:rsidRPr="001352F9">
        <w:rPr>
          <w:sz w:val="28"/>
          <w:szCs w:val="28"/>
        </w:rPr>
        <w:t xml:space="preserve">(т.е. он является синонимом понятию «банкротство»), </w:t>
      </w:r>
      <w:r w:rsidR="00D94092" w:rsidRPr="001352F9">
        <w:rPr>
          <w:sz w:val="28"/>
          <w:szCs w:val="28"/>
        </w:rPr>
        <w:t>но,</w:t>
      </w:r>
      <w:r w:rsidR="00152518" w:rsidRPr="001352F9">
        <w:rPr>
          <w:sz w:val="28"/>
          <w:szCs w:val="28"/>
        </w:rPr>
        <w:t xml:space="preserve"> как </w:t>
      </w:r>
      <w:r w:rsidR="00D94092" w:rsidRPr="001352F9">
        <w:rPr>
          <w:sz w:val="28"/>
          <w:szCs w:val="28"/>
        </w:rPr>
        <w:t>правило,</w:t>
      </w:r>
      <w:r w:rsidR="00152518" w:rsidRPr="001352F9">
        <w:rPr>
          <w:sz w:val="28"/>
          <w:szCs w:val="28"/>
        </w:rPr>
        <w:t xml:space="preserve"> ег</w:t>
      </w:r>
      <w:r w:rsidR="0058093A" w:rsidRPr="001352F9">
        <w:rPr>
          <w:sz w:val="28"/>
          <w:szCs w:val="28"/>
        </w:rPr>
        <w:t xml:space="preserve">о используют более узко, имея в </w:t>
      </w:r>
      <w:r w:rsidR="00152518" w:rsidRPr="001352F9">
        <w:rPr>
          <w:sz w:val="28"/>
          <w:szCs w:val="28"/>
        </w:rPr>
        <w:t>виду отказ центрального правитель</w:t>
      </w:r>
      <w:r w:rsidR="001F33BB" w:rsidRPr="001352F9">
        <w:rPr>
          <w:sz w:val="28"/>
          <w:szCs w:val="28"/>
        </w:rPr>
        <w:t xml:space="preserve">ства или муниципальных </w:t>
      </w:r>
      <w:r w:rsidR="00152518" w:rsidRPr="001352F9">
        <w:rPr>
          <w:sz w:val="28"/>
          <w:szCs w:val="28"/>
        </w:rPr>
        <w:t>властей от своих долгов</w:t>
      </w:r>
      <w:r w:rsidR="00730D46" w:rsidRPr="001352F9">
        <w:rPr>
          <w:sz w:val="28"/>
          <w:szCs w:val="28"/>
        </w:rPr>
        <w:t>.</w:t>
      </w:r>
    </w:p>
    <w:p w:rsidR="00136BB0" w:rsidRPr="001352F9" w:rsidRDefault="00490168" w:rsidP="001352F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352F9">
        <w:rPr>
          <w:sz w:val="28"/>
          <w:szCs w:val="28"/>
        </w:rPr>
        <w:t>Как известно, в случае банкротства частного или корпоративного заемщика кредитор получает право наложить арест на активы должника, компенсируя тем самым свои потери. В большинстве стран официальный процесс банкротства представляет собой централизованный процесс урегулирования всех требований к компании-банкроту, который сводится к аресту имущества</w:t>
      </w:r>
      <w:r w:rsidR="00136BB0" w:rsidRPr="001352F9">
        <w:rPr>
          <w:sz w:val="28"/>
          <w:szCs w:val="28"/>
        </w:rPr>
        <w:t xml:space="preserve"> </w:t>
      </w:r>
      <w:r w:rsidRPr="001352F9">
        <w:rPr>
          <w:sz w:val="28"/>
          <w:szCs w:val="28"/>
        </w:rPr>
        <w:t>должника по распоряжению суда, объединению активов в конкурсную массу и распределению этих активов между кредиторами в соответствии с установленной законом очередностью.</w:t>
      </w:r>
      <w:r w:rsidR="00730D46" w:rsidRPr="001352F9">
        <w:rPr>
          <w:sz w:val="28"/>
          <w:szCs w:val="28"/>
        </w:rPr>
        <w:t xml:space="preserve"> </w:t>
      </w:r>
      <w:r w:rsidR="0058093A" w:rsidRPr="001352F9">
        <w:rPr>
          <w:sz w:val="28"/>
          <w:szCs w:val="28"/>
        </w:rPr>
        <w:t>Процесс банкротства подобного рода неприемлем в случае объявления дефолта государством, так как арест имущества страны-должника, находящейся на своей территории, практически невозможен. В лучшем случае кредиторы могут добиться наложения ареста на государственные активы, размещенные за рубежом, включая недвижимость и денежные средства в иностранных банках. Все это делает возможным объявление правительством дефолта по внешнему долгу не только из-за фактической невозможности выполнить свои обязательства, но и из-за нежелания делать это. Отсюда, в частности, следует, что уровень возмещения по государственному долгу должен быть ниже уровня возмеще</w:t>
      </w:r>
      <w:r w:rsidR="00455E52" w:rsidRPr="001352F9">
        <w:rPr>
          <w:sz w:val="28"/>
          <w:szCs w:val="28"/>
        </w:rPr>
        <w:t>ния корпоративной задолженности</w:t>
      </w:r>
      <w:r w:rsidR="00136BB0" w:rsidRPr="001352F9">
        <w:rPr>
          <w:sz w:val="28"/>
          <w:szCs w:val="28"/>
        </w:rPr>
        <w:t xml:space="preserve"> [</w:t>
      </w:r>
      <w:r w:rsidR="00455E52" w:rsidRPr="001352F9">
        <w:rPr>
          <w:sz w:val="28"/>
          <w:szCs w:val="28"/>
        </w:rPr>
        <w:t>5, с. 388</w:t>
      </w:r>
      <w:r w:rsidR="00136BB0" w:rsidRPr="001352F9">
        <w:rPr>
          <w:sz w:val="28"/>
          <w:szCs w:val="28"/>
        </w:rPr>
        <w:t>]</w:t>
      </w:r>
      <w:r w:rsidR="00455E52" w:rsidRPr="001352F9">
        <w:rPr>
          <w:sz w:val="28"/>
          <w:szCs w:val="28"/>
        </w:rPr>
        <w:t>.</w:t>
      </w:r>
    </w:p>
    <w:p w:rsidR="009C09CF" w:rsidRDefault="009C09CF" w:rsidP="001352F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B5F94" w:rsidRPr="001352F9" w:rsidRDefault="001352F9" w:rsidP="001352F9">
      <w:pPr>
        <w:spacing w:line="360" w:lineRule="auto"/>
        <w:ind w:firstLine="709"/>
        <w:jc w:val="center"/>
        <w:rPr>
          <w:b/>
          <w:bCs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bookmarkStart w:id="0" w:name="1011221-L-103"/>
      <w:bookmarkEnd w:id="0"/>
      <w:r w:rsidR="00152518" w:rsidRPr="001352F9">
        <w:rPr>
          <w:b/>
          <w:bCs/>
          <w:i/>
          <w:sz w:val="28"/>
          <w:szCs w:val="28"/>
        </w:rPr>
        <w:t>Виды и механиз</w:t>
      </w:r>
      <w:r w:rsidR="000B5F94" w:rsidRPr="001352F9">
        <w:rPr>
          <w:b/>
          <w:bCs/>
          <w:i/>
          <w:sz w:val="28"/>
          <w:szCs w:val="28"/>
        </w:rPr>
        <w:t>м дефолт</w:t>
      </w:r>
      <w:r w:rsidR="00152518" w:rsidRPr="001352F9">
        <w:rPr>
          <w:b/>
          <w:bCs/>
          <w:i/>
          <w:sz w:val="28"/>
          <w:szCs w:val="28"/>
        </w:rPr>
        <w:t>ов</w:t>
      </w:r>
    </w:p>
    <w:p w:rsidR="009C09CF" w:rsidRPr="001352F9" w:rsidRDefault="009C09CF" w:rsidP="001352F9">
      <w:pPr>
        <w:spacing w:line="360" w:lineRule="auto"/>
        <w:ind w:firstLine="709"/>
        <w:jc w:val="both"/>
        <w:rPr>
          <w:b/>
          <w:bCs/>
          <w:i/>
          <w:sz w:val="28"/>
          <w:szCs w:val="28"/>
          <w:lang w:val="uk-UA"/>
        </w:rPr>
      </w:pPr>
    </w:p>
    <w:p w:rsidR="00152518" w:rsidRPr="001352F9" w:rsidRDefault="00152518" w:rsidP="001352F9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352F9">
        <w:rPr>
          <w:sz w:val="28"/>
          <w:szCs w:val="28"/>
        </w:rPr>
        <w:t>Вы</w:t>
      </w:r>
      <w:r w:rsidR="00A47E65" w:rsidRPr="001352F9">
        <w:rPr>
          <w:sz w:val="28"/>
          <w:szCs w:val="28"/>
        </w:rPr>
        <w:t>деляют следующие три вид</w:t>
      </w:r>
      <w:r w:rsidR="00A47E65" w:rsidRPr="001352F9">
        <w:rPr>
          <w:sz w:val="28"/>
          <w:szCs w:val="28"/>
          <w:lang w:val="uk-UA"/>
        </w:rPr>
        <w:t>а</w:t>
      </w:r>
      <w:r w:rsidR="00B163B7" w:rsidRPr="001352F9">
        <w:rPr>
          <w:sz w:val="28"/>
          <w:szCs w:val="28"/>
        </w:rPr>
        <w:t xml:space="preserve"> дефолт</w:t>
      </w:r>
      <w:r w:rsidRPr="001352F9">
        <w:rPr>
          <w:sz w:val="28"/>
          <w:szCs w:val="28"/>
        </w:rPr>
        <w:t>ов:</w:t>
      </w:r>
      <w:r w:rsidR="00B163B7" w:rsidRPr="001352F9">
        <w:rPr>
          <w:sz w:val="28"/>
          <w:szCs w:val="28"/>
        </w:rPr>
        <w:t xml:space="preserve"> </w:t>
      </w:r>
      <w:r w:rsidRPr="001352F9">
        <w:rPr>
          <w:sz w:val="28"/>
          <w:szCs w:val="28"/>
        </w:rPr>
        <w:t>по банковским дол</w:t>
      </w:r>
      <w:r w:rsidR="00B163B7" w:rsidRPr="001352F9">
        <w:rPr>
          <w:sz w:val="28"/>
          <w:szCs w:val="28"/>
        </w:rPr>
        <w:t>гам;</w:t>
      </w:r>
      <w:r w:rsidR="00131F73" w:rsidRPr="001352F9">
        <w:rPr>
          <w:sz w:val="28"/>
          <w:szCs w:val="28"/>
        </w:rPr>
        <w:t xml:space="preserve"> </w:t>
      </w:r>
      <w:r w:rsidRPr="001352F9">
        <w:rPr>
          <w:sz w:val="28"/>
          <w:szCs w:val="28"/>
        </w:rPr>
        <w:t>по обязательствам в национальной валю</w:t>
      </w:r>
      <w:r w:rsidR="00B163B7" w:rsidRPr="001352F9">
        <w:rPr>
          <w:sz w:val="28"/>
          <w:szCs w:val="28"/>
        </w:rPr>
        <w:t xml:space="preserve">те; </w:t>
      </w:r>
      <w:r w:rsidRPr="001352F9">
        <w:rPr>
          <w:sz w:val="28"/>
          <w:szCs w:val="28"/>
        </w:rPr>
        <w:t>по обязательствам в иностранной валюте.</w:t>
      </w:r>
      <w:r w:rsidRPr="001352F9">
        <w:rPr>
          <w:bCs/>
          <w:sz w:val="28"/>
          <w:szCs w:val="28"/>
        </w:rPr>
        <w:t xml:space="preserve"> </w:t>
      </w:r>
    </w:p>
    <w:p w:rsidR="00B163B7" w:rsidRPr="001352F9" w:rsidRDefault="00B163B7" w:rsidP="001352F9">
      <w:pPr>
        <w:spacing w:line="360" w:lineRule="auto"/>
        <w:ind w:firstLine="709"/>
        <w:jc w:val="both"/>
        <w:rPr>
          <w:sz w:val="28"/>
          <w:szCs w:val="28"/>
        </w:rPr>
      </w:pPr>
      <w:r w:rsidRPr="001352F9">
        <w:rPr>
          <w:sz w:val="28"/>
          <w:szCs w:val="28"/>
        </w:rPr>
        <w:t>Дефолт</w:t>
      </w:r>
      <w:r w:rsidR="00152518" w:rsidRPr="001352F9">
        <w:rPr>
          <w:sz w:val="28"/>
          <w:szCs w:val="28"/>
        </w:rPr>
        <w:t xml:space="preserve"> по долгу в национальной валюте объявляется значительно реже, чем по внешним займам, поскольку правительство имеет возможность погасить внутренний долг посредством выпуска новых денег (при помощи «печатного станка»). </w:t>
      </w:r>
    </w:p>
    <w:p w:rsidR="00152518" w:rsidRPr="001352F9" w:rsidRDefault="00152518" w:rsidP="001352F9">
      <w:pPr>
        <w:spacing w:line="360" w:lineRule="auto"/>
        <w:ind w:firstLine="709"/>
        <w:jc w:val="both"/>
        <w:rPr>
          <w:sz w:val="28"/>
          <w:szCs w:val="28"/>
        </w:rPr>
      </w:pPr>
      <w:r w:rsidRPr="001352F9">
        <w:rPr>
          <w:sz w:val="28"/>
          <w:szCs w:val="28"/>
        </w:rPr>
        <w:t>Сам механизм, приводящий государство-должника в состояние</w:t>
      </w:r>
      <w:r w:rsidR="00B163B7" w:rsidRPr="001352F9">
        <w:rPr>
          <w:sz w:val="28"/>
          <w:szCs w:val="28"/>
        </w:rPr>
        <w:t xml:space="preserve"> дефолта,</w:t>
      </w:r>
      <w:r w:rsidRPr="001352F9">
        <w:rPr>
          <w:sz w:val="28"/>
          <w:szCs w:val="28"/>
        </w:rPr>
        <w:t xml:space="preserve"> </w:t>
      </w:r>
      <w:r w:rsidR="00B163B7" w:rsidRPr="001352F9">
        <w:rPr>
          <w:sz w:val="28"/>
          <w:szCs w:val="28"/>
        </w:rPr>
        <w:t xml:space="preserve">можно представить циклически. </w:t>
      </w:r>
      <w:r w:rsidRPr="001352F9">
        <w:rPr>
          <w:sz w:val="28"/>
          <w:szCs w:val="28"/>
        </w:rPr>
        <w:t>На первом этапе цикла правительство</w:t>
      </w:r>
      <w:r w:rsidR="00B163B7" w:rsidRPr="001352F9">
        <w:rPr>
          <w:sz w:val="28"/>
          <w:szCs w:val="28"/>
        </w:rPr>
        <w:t xml:space="preserve"> государства</w:t>
      </w:r>
      <w:r w:rsidRPr="001352F9">
        <w:rPr>
          <w:sz w:val="28"/>
          <w:szCs w:val="28"/>
        </w:rPr>
        <w:t>-заемщика получает сравнительно легкий доступ к мировым финансовым источникам в лице Международного валютного фонда (МВФ), Всемирного банка,</w:t>
      </w:r>
      <w:r w:rsidRPr="001352F9">
        <w:rPr>
          <w:bCs/>
          <w:sz w:val="28"/>
          <w:szCs w:val="28"/>
        </w:rPr>
        <w:t xml:space="preserve"> </w:t>
      </w:r>
      <w:r w:rsidRPr="001352F9">
        <w:rPr>
          <w:sz w:val="28"/>
          <w:szCs w:val="28"/>
        </w:rPr>
        <w:t xml:space="preserve">Парижского клуба и крупных частных банков развитых стран. Эксперты МВФ рекомендуют нуждающимся странам для привлечения инвесторов обещать им высокий процент за кредит. Ожидание большой прибыли действительно привлекает «горячие» деньги – капиталы международных </w:t>
      </w:r>
      <w:r w:rsidR="00D53822" w:rsidRPr="001352F9">
        <w:rPr>
          <w:sz w:val="28"/>
          <w:szCs w:val="28"/>
          <w:lang w:val="uk-UA"/>
        </w:rPr>
        <w:t>кредиторов</w:t>
      </w:r>
      <w:r w:rsidRPr="001352F9">
        <w:rPr>
          <w:sz w:val="28"/>
          <w:szCs w:val="28"/>
        </w:rPr>
        <w:t xml:space="preserve">, легко переводящих деньги по всему миру в поисках наиболее доходных краткосрочных вложений. Они начинают охотно покупать государственные ценные бумаги, выпускаемые правительствами этих стран. Вливание огромных средств в экономику отстающих стран, как правило, дает краткосрочные позитивные результаты, убеждающие национальную элиту в том, что она на правильном пути. </w:t>
      </w:r>
      <w:r w:rsidR="00D53822" w:rsidRPr="001352F9">
        <w:rPr>
          <w:sz w:val="28"/>
          <w:szCs w:val="28"/>
          <w:lang w:val="uk-UA"/>
        </w:rPr>
        <w:t xml:space="preserve">При </w:t>
      </w:r>
      <w:r w:rsidR="00D53822" w:rsidRPr="001352F9">
        <w:rPr>
          <w:sz w:val="28"/>
          <w:szCs w:val="28"/>
        </w:rPr>
        <w:t>этом во многих слу</w:t>
      </w:r>
      <w:r w:rsidRPr="001352F9">
        <w:rPr>
          <w:sz w:val="28"/>
          <w:szCs w:val="28"/>
        </w:rPr>
        <w:t>чаях ощутимая часть заемных средств, так и не дойдя до реальной экономики, оседает на частных банковских счетах гос</w:t>
      </w:r>
      <w:r w:rsidR="00E85C78" w:rsidRPr="001352F9">
        <w:rPr>
          <w:sz w:val="28"/>
          <w:szCs w:val="28"/>
        </w:rPr>
        <w:t xml:space="preserve">ударственных </w:t>
      </w:r>
      <w:r w:rsidRPr="001352F9">
        <w:rPr>
          <w:sz w:val="28"/>
          <w:szCs w:val="28"/>
        </w:rPr>
        <w:t xml:space="preserve">чиновников. </w:t>
      </w:r>
    </w:p>
    <w:p w:rsidR="00152518" w:rsidRPr="001352F9" w:rsidRDefault="00152518" w:rsidP="001352F9">
      <w:pPr>
        <w:spacing w:line="360" w:lineRule="auto"/>
        <w:ind w:firstLine="709"/>
        <w:jc w:val="both"/>
        <w:rPr>
          <w:sz w:val="28"/>
          <w:szCs w:val="28"/>
        </w:rPr>
      </w:pPr>
      <w:r w:rsidRPr="001352F9">
        <w:rPr>
          <w:sz w:val="28"/>
          <w:szCs w:val="28"/>
        </w:rPr>
        <w:t xml:space="preserve">Когда приходит время расплачиваться по текущим долгам, то государство только частично может сделать это за счет собственных средств. Оно вынуждено опять привлекать деньги на внутреннем и внешнем рынках. Лишь немногим странам удается в этом процессе стабилизировать или уменьшить свою задолженность, но чаще всего государственный долг начинает увеличиваться. </w:t>
      </w:r>
    </w:p>
    <w:p w:rsidR="00152518" w:rsidRPr="001352F9" w:rsidRDefault="00152518" w:rsidP="001352F9">
      <w:pPr>
        <w:spacing w:line="360" w:lineRule="auto"/>
        <w:ind w:firstLine="709"/>
        <w:jc w:val="both"/>
        <w:rPr>
          <w:sz w:val="28"/>
          <w:szCs w:val="28"/>
        </w:rPr>
      </w:pPr>
      <w:r w:rsidRPr="001352F9">
        <w:rPr>
          <w:sz w:val="28"/>
          <w:szCs w:val="28"/>
        </w:rPr>
        <w:t xml:space="preserve">Пока экономика страны растет </w:t>
      </w:r>
      <w:r w:rsidR="00373B9F" w:rsidRPr="001352F9">
        <w:rPr>
          <w:sz w:val="28"/>
          <w:szCs w:val="28"/>
        </w:rPr>
        <w:t>хорошими</w:t>
      </w:r>
      <w:r w:rsidRPr="001352F9">
        <w:rPr>
          <w:sz w:val="28"/>
          <w:szCs w:val="28"/>
        </w:rPr>
        <w:t xml:space="preserve"> темпами, указывая на реальный источник возврата денег, кредиторы предоставляют государству все новые и новые кредиты. Однако при появлении первых признаков экономической или политической нестабильности </w:t>
      </w:r>
      <w:r w:rsidR="00E85C78" w:rsidRPr="001352F9">
        <w:rPr>
          <w:sz w:val="28"/>
          <w:szCs w:val="28"/>
        </w:rPr>
        <w:t>ж</w:t>
      </w:r>
      <w:r w:rsidRPr="001352F9">
        <w:rPr>
          <w:sz w:val="28"/>
          <w:szCs w:val="28"/>
        </w:rPr>
        <w:t xml:space="preserve">елающих ссудить деньги становится все меньше, а процент по кредитам – все больше. Долги начинают расти </w:t>
      </w:r>
      <w:r w:rsidR="00373B9F" w:rsidRPr="001352F9">
        <w:rPr>
          <w:sz w:val="28"/>
          <w:szCs w:val="28"/>
        </w:rPr>
        <w:t>быстрыми темпами</w:t>
      </w:r>
      <w:r w:rsidRPr="001352F9">
        <w:rPr>
          <w:sz w:val="28"/>
          <w:szCs w:val="28"/>
        </w:rPr>
        <w:t xml:space="preserve">. Фактически достижение состояния неплатежеспособности для страны становится лишь вопросом времени. </w:t>
      </w:r>
    </w:p>
    <w:p w:rsidR="00373B9F" w:rsidRPr="001352F9" w:rsidRDefault="00152518" w:rsidP="001352F9">
      <w:pPr>
        <w:spacing w:line="360" w:lineRule="auto"/>
        <w:ind w:firstLine="709"/>
        <w:jc w:val="both"/>
        <w:rPr>
          <w:sz w:val="28"/>
          <w:szCs w:val="28"/>
        </w:rPr>
      </w:pPr>
      <w:r w:rsidRPr="001352F9">
        <w:rPr>
          <w:sz w:val="28"/>
          <w:szCs w:val="28"/>
        </w:rPr>
        <w:t>Предоставляемая в таких случаях экстренная финансовая помощь со стороны МВФ спасает лишь на время. Кроме реальной помощи заемщику, с целью предотвратить кризис, МВФ своими действиями дает вр</w:t>
      </w:r>
      <w:r w:rsidR="00373B9F" w:rsidRPr="001352F9">
        <w:rPr>
          <w:sz w:val="28"/>
          <w:szCs w:val="28"/>
        </w:rPr>
        <w:t xml:space="preserve">емя крупному частному капиталу </w:t>
      </w:r>
      <w:r w:rsidRPr="001352F9">
        <w:rPr>
          <w:sz w:val="28"/>
          <w:szCs w:val="28"/>
        </w:rPr>
        <w:t xml:space="preserve">уйти с проблемного рынка. Таким образом, </w:t>
      </w:r>
      <w:r w:rsidR="00183C9A" w:rsidRPr="001352F9">
        <w:rPr>
          <w:sz w:val="28"/>
          <w:szCs w:val="28"/>
        </w:rPr>
        <w:t>кредитор</w:t>
      </w:r>
      <w:r w:rsidRPr="001352F9">
        <w:rPr>
          <w:sz w:val="28"/>
          <w:szCs w:val="28"/>
        </w:rPr>
        <w:t>, выведя вовремя основные средства с опасного рынка, даже в случае наступления</w:t>
      </w:r>
      <w:r w:rsidR="00373B9F" w:rsidRPr="001352F9">
        <w:rPr>
          <w:sz w:val="28"/>
          <w:szCs w:val="28"/>
        </w:rPr>
        <w:t xml:space="preserve"> дефолта</w:t>
      </w:r>
      <w:r w:rsidRPr="001352F9">
        <w:rPr>
          <w:sz w:val="28"/>
          <w:szCs w:val="28"/>
        </w:rPr>
        <w:t xml:space="preserve"> остается в выигрыше. Он успевает заработать прибыль за счет полученных процентных платежей и перепродаж долговых обязательств. </w:t>
      </w:r>
      <w:r w:rsidR="008827BA" w:rsidRPr="001352F9">
        <w:rPr>
          <w:sz w:val="28"/>
          <w:szCs w:val="28"/>
        </w:rPr>
        <w:t>В конце концов, н</w:t>
      </w:r>
      <w:r w:rsidRPr="001352F9">
        <w:rPr>
          <w:sz w:val="28"/>
          <w:szCs w:val="28"/>
        </w:rPr>
        <w:t>аступает момент, когда никто уже не хочет ссужать данное государство, даже под сверхвысокие проценты. И поскольку у него нет текущих средств для рефинансирования долга, правительство объявляет</w:t>
      </w:r>
      <w:r w:rsidR="00373B9F" w:rsidRPr="001352F9">
        <w:rPr>
          <w:sz w:val="28"/>
          <w:szCs w:val="28"/>
        </w:rPr>
        <w:t xml:space="preserve"> дефолт. </w:t>
      </w:r>
    </w:p>
    <w:p w:rsidR="00152518" w:rsidRPr="001352F9" w:rsidRDefault="00152518" w:rsidP="001352F9">
      <w:pPr>
        <w:spacing w:line="360" w:lineRule="auto"/>
        <w:ind w:firstLine="709"/>
        <w:jc w:val="both"/>
        <w:rPr>
          <w:sz w:val="28"/>
          <w:szCs w:val="28"/>
        </w:rPr>
      </w:pPr>
      <w:r w:rsidRPr="001352F9">
        <w:rPr>
          <w:sz w:val="28"/>
          <w:szCs w:val="28"/>
        </w:rPr>
        <w:t xml:space="preserve">Следующая за </w:t>
      </w:r>
      <w:r w:rsidR="00373B9F" w:rsidRPr="001352F9">
        <w:rPr>
          <w:sz w:val="28"/>
          <w:szCs w:val="28"/>
        </w:rPr>
        <w:t>дефолтом</w:t>
      </w:r>
      <w:r w:rsidRPr="001352F9">
        <w:rPr>
          <w:sz w:val="28"/>
          <w:szCs w:val="28"/>
        </w:rPr>
        <w:t xml:space="preserve"> реструктуризация долгов обычно приводит к их частичному списанию, а, следовательно, к крупным потерям для тех, кто покупал эти обязательства по высоким ценам и не успел их вовремя перепродать. На этом </w:t>
      </w:r>
      <w:r w:rsidR="00E47BD5" w:rsidRPr="001352F9">
        <w:rPr>
          <w:sz w:val="28"/>
          <w:szCs w:val="28"/>
        </w:rPr>
        <w:t>спираль</w:t>
      </w:r>
      <w:r w:rsidR="00373B9F" w:rsidRPr="001352F9">
        <w:rPr>
          <w:sz w:val="28"/>
          <w:szCs w:val="28"/>
        </w:rPr>
        <w:t xml:space="preserve"> дефолта</w:t>
      </w:r>
      <w:r w:rsidRPr="001352F9">
        <w:rPr>
          <w:sz w:val="28"/>
          <w:szCs w:val="28"/>
        </w:rPr>
        <w:t xml:space="preserve"> заканчивается. Подобные циклы</w:t>
      </w:r>
      <w:r w:rsidR="009F33D6" w:rsidRPr="001352F9">
        <w:rPr>
          <w:sz w:val="28"/>
          <w:szCs w:val="28"/>
        </w:rPr>
        <w:t xml:space="preserve"> дефолта</w:t>
      </w:r>
      <w:r w:rsidRPr="001352F9">
        <w:rPr>
          <w:sz w:val="28"/>
          <w:szCs w:val="28"/>
        </w:rPr>
        <w:t xml:space="preserve"> могут повторяться несколько раз. Поскольку при выдаче займов государству, которое ранее объявляло</w:t>
      </w:r>
      <w:r w:rsidR="009F33D6" w:rsidRPr="001352F9">
        <w:rPr>
          <w:sz w:val="28"/>
          <w:szCs w:val="28"/>
        </w:rPr>
        <w:t xml:space="preserve"> дефолт</w:t>
      </w:r>
      <w:r w:rsidRPr="001352F9">
        <w:rPr>
          <w:sz w:val="28"/>
          <w:szCs w:val="28"/>
        </w:rPr>
        <w:t>, кредиторы требуют платы за риск (более высокий процент), то повторение</w:t>
      </w:r>
      <w:r w:rsidR="009F33D6" w:rsidRPr="001352F9">
        <w:rPr>
          <w:sz w:val="28"/>
          <w:szCs w:val="28"/>
        </w:rPr>
        <w:t xml:space="preserve"> дефолтов</w:t>
      </w:r>
      <w:r w:rsidRPr="001352F9">
        <w:rPr>
          <w:sz w:val="28"/>
          <w:szCs w:val="28"/>
        </w:rPr>
        <w:t xml:space="preserve"> ведет к ухуд</w:t>
      </w:r>
      <w:r w:rsidR="009F33D6" w:rsidRPr="001352F9">
        <w:rPr>
          <w:sz w:val="28"/>
          <w:szCs w:val="28"/>
        </w:rPr>
        <w:t xml:space="preserve">шению репутации государства </w:t>
      </w:r>
      <w:r w:rsidRPr="001352F9">
        <w:rPr>
          <w:sz w:val="28"/>
          <w:szCs w:val="28"/>
        </w:rPr>
        <w:t xml:space="preserve">в мировом хозяйстве и к снижению эффективности займов. </w:t>
      </w:r>
    </w:p>
    <w:p w:rsidR="00152518" w:rsidRPr="001352F9" w:rsidRDefault="00152518" w:rsidP="001352F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352F9">
        <w:rPr>
          <w:sz w:val="28"/>
          <w:szCs w:val="28"/>
        </w:rPr>
        <w:t>Кроме описанного полномасштабного</w:t>
      </w:r>
      <w:r w:rsidR="009F33D6" w:rsidRPr="001352F9">
        <w:rPr>
          <w:sz w:val="28"/>
          <w:szCs w:val="28"/>
        </w:rPr>
        <w:t xml:space="preserve"> дефолт</w:t>
      </w:r>
      <w:r w:rsidRPr="001352F9">
        <w:rPr>
          <w:sz w:val="28"/>
          <w:szCs w:val="28"/>
        </w:rPr>
        <w:t>а,</w:t>
      </w:r>
      <w:r w:rsidR="009F33D6" w:rsidRPr="001352F9">
        <w:rPr>
          <w:sz w:val="28"/>
          <w:szCs w:val="28"/>
        </w:rPr>
        <w:t xml:space="preserve"> государства</w:t>
      </w:r>
      <w:r w:rsidRPr="001352F9">
        <w:rPr>
          <w:sz w:val="28"/>
          <w:szCs w:val="28"/>
        </w:rPr>
        <w:t xml:space="preserve">-должники (особенно обремененные большими внутренними долгами) часто вместо отказа обслуживать долг прибегают к </w:t>
      </w:r>
      <w:r w:rsidRPr="001352F9">
        <w:rPr>
          <w:iCs/>
          <w:sz w:val="28"/>
          <w:szCs w:val="28"/>
        </w:rPr>
        <w:t>девальвации</w:t>
      </w:r>
      <w:r w:rsidRPr="001352F9">
        <w:rPr>
          <w:sz w:val="28"/>
          <w:szCs w:val="28"/>
        </w:rPr>
        <w:t xml:space="preserve"> национальной валюты. Эта мера фактически аналогична «частичному</w:t>
      </w:r>
      <w:r w:rsidR="00325343" w:rsidRPr="001352F9">
        <w:rPr>
          <w:sz w:val="28"/>
          <w:szCs w:val="28"/>
        </w:rPr>
        <w:t xml:space="preserve"> дефолт</w:t>
      </w:r>
      <w:r w:rsidRPr="001352F9">
        <w:rPr>
          <w:sz w:val="28"/>
          <w:szCs w:val="28"/>
        </w:rPr>
        <w:t xml:space="preserve">у» по внутреннему долгу. </w:t>
      </w:r>
      <w:r w:rsidR="00325343" w:rsidRPr="001352F9">
        <w:rPr>
          <w:sz w:val="28"/>
          <w:szCs w:val="28"/>
        </w:rPr>
        <w:t xml:space="preserve">Нередки и случаи одновременного дефолта </w:t>
      </w:r>
      <w:r w:rsidRPr="001352F9">
        <w:rPr>
          <w:sz w:val="28"/>
          <w:szCs w:val="28"/>
        </w:rPr>
        <w:t>и девальвации</w:t>
      </w:r>
      <w:r w:rsidR="00450494" w:rsidRPr="00FB7EA3">
        <w:rPr>
          <w:sz w:val="28"/>
          <w:szCs w:val="28"/>
        </w:rPr>
        <w:t xml:space="preserve"> [4]</w:t>
      </w:r>
      <w:r w:rsidRPr="001352F9">
        <w:rPr>
          <w:sz w:val="28"/>
          <w:szCs w:val="28"/>
        </w:rPr>
        <w:t xml:space="preserve">. </w:t>
      </w:r>
    </w:p>
    <w:p w:rsidR="009C09CF" w:rsidRPr="001352F9" w:rsidRDefault="009C09CF" w:rsidP="001352F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6164A" w:rsidRPr="001352F9" w:rsidRDefault="00B3794F" w:rsidP="001352F9">
      <w:pPr>
        <w:spacing w:line="360" w:lineRule="auto"/>
        <w:ind w:firstLine="709"/>
        <w:jc w:val="center"/>
        <w:rPr>
          <w:b/>
          <w:bCs/>
          <w:i/>
          <w:sz w:val="28"/>
          <w:szCs w:val="28"/>
          <w:lang w:val="uk-UA"/>
        </w:rPr>
      </w:pPr>
      <w:bookmarkStart w:id="1" w:name="1011221-L-104"/>
      <w:bookmarkEnd w:id="1"/>
      <w:r w:rsidRPr="001352F9">
        <w:rPr>
          <w:b/>
          <w:bCs/>
          <w:i/>
          <w:sz w:val="28"/>
          <w:szCs w:val="28"/>
        </w:rPr>
        <w:t>Оценка вероятности</w:t>
      </w:r>
      <w:r w:rsidR="00A6164A" w:rsidRPr="001352F9">
        <w:rPr>
          <w:b/>
          <w:bCs/>
          <w:i/>
          <w:sz w:val="28"/>
          <w:szCs w:val="28"/>
        </w:rPr>
        <w:t xml:space="preserve"> дефолта</w:t>
      </w:r>
    </w:p>
    <w:p w:rsidR="009C09CF" w:rsidRPr="001352F9" w:rsidRDefault="009C09CF" w:rsidP="001352F9">
      <w:pPr>
        <w:spacing w:line="360" w:lineRule="auto"/>
        <w:ind w:firstLine="709"/>
        <w:jc w:val="both"/>
        <w:rPr>
          <w:b/>
          <w:bCs/>
          <w:i/>
          <w:sz w:val="28"/>
          <w:szCs w:val="28"/>
          <w:lang w:val="uk-UA"/>
        </w:rPr>
      </w:pPr>
    </w:p>
    <w:p w:rsidR="00C2658F" w:rsidRPr="001352F9" w:rsidRDefault="00C2658F" w:rsidP="001352F9">
      <w:pPr>
        <w:spacing w:line="360" w:lineRule="auto"/>
        <w:ind w:firstLine="709"/>
        <w:jc w:val="both"/>
        <w:rPr>
          <w:sz w:val="28"/>
          <w:szCs w:val="28"/>
        </w:rPr>
      </w:pPr>
      <w:r w:rsidRPr="001352F9">
        <w:rPr>
          <w:sz w:val="28"/>
          <w:szCs w:val="28"/>
        </w:rPr>
        <w:t xml:space="preserve">В отличие от предприятий, у государства нет «финансовой отчетности» в общепринятом понимании, которую можно было бы использовать для прогнозирования дефолта. В этом случае необходимо проводить полноценный фундаментальный анализ экономики страны, обращая при этом особое внимание на соотношение обязательств в национальной и иностранной валютах, отношение суммы долга (и отдельно процентных платежей) к сумме годового экспорта, срочную структуру задолженности по срокам погашения, а также на такие базовые макроэкономические индикаторы, как рост или снижение ВВП, темп инфляции и уровень золотовалютных резервов. При проведении такого анализа проблема достоверности официальных статистических данных стоит еще более остро, чем при анализе бухгалтерской отчетности корпоративных заемщиков, что особенно ярко проявляется в отношении стран с развивающейся и переходной экономикой. Ввиду этих факторов оценка кредитного риска страны обычно признается более субъективной по сравнению с оценкой риска корпоративных обязательств, а кредитный рейтинг страны представляет собой менее надежный показатель по сравнению с корпоративным рейтингом. В то же время для оценки риска дефолта государства можно использовать рыночный подход, основанный на анализе спрэдов доходности по государственным облигациям данной страны и развитых стран [5, </w:t>
      </w:r>
      <w:r w:rsidRPr="001352F9">
        <w:rPr>
          <w:sz w:val="28"/>
          <w:szCs w:val="28"/>
          <w:lang w:val="en-US"/>
        </w:rPr>
        <w:t>c</w:t>
      </w:r>
      <w:r w:rsidRPr="001352F9">
        <w:rPr>
          <w:sz w:val="28"/>
          <w:szCs w:val="28"/>
        </w:rPr>
        <w:t>. 388].</w:t>
      </w:r>
    </w:p>
    <w:p w:rsidR="00F056D0" w:rsidRPr="001352F9" w:rsidRDefault="00F056D0" w:rsidP="001352F9">
      <w:pPr>
        <w:spacing w:line="360" w:lineRule="auto"/>
        <w:ind w:firstLine="709"/>
        <w:jc w:val="both"/>
        <w:rPr>
          <w:sz w:val="28"/>
          <w:szCs w:val="28"/>
        </w:rPr>
      </w:pPr>
      <w:r w:rsidRPr="001352F9">
        <w:rPr>
          <w:sz w:val="28"/>
          <w:szCs w:val="28"/>
        </w:rPr>
        <w:t>Все способы оценки риска дефолта можно подразделить на две группы:</w:t>
      </w:r>
      <w:r w:rsidR="00CD689C" w:rsidRPr="001352F9">
        <w:rPr>
          <w:sz w:val="28"/>
          <w:szCs w:val="28"/>
        </w:rPr>
        <w:t xml:space="preserve"> </w:t>
      </w:r>
      <w:r w:rsidRPr="001352F9">
        <w:rPr>
          <w:sz w:val="28"/>
          <w:szCs w:val="28"/>
        </w:rPr>
        <w:t>1) актуарные методы, позволяющие рассчитать объективную (в отличие от нейтральной к риску) оценку вероятности наступления дефолта на основе статистических данных по дефолтам;</w:t>
      </w:r>
      <w:r w:rsidR="00CD689C" w:rsidRPr="001352F9">
        <w:rPr>
          <w:sz w:val="28"/>
          <w:szCs w:val="28"/>
        </w:rPr>
        <w:t xml:space="preserve"> </w:t>
      </w:r>
      <w:r w:rsidRPr="001352F9">
        <w:rPr>
          <w:sz w:val="28"/>
          <w:szCs w:val="28"/>
        </w:rPr>
        <w:t>2) методы на основе рыночной стоимости акций, облигаций или производных финансовых инструментов, с помощью которых определяют нейтральную к риску оценку риска дефолта и премию за риск</w:t>
      </w:r>
      <w:r w:rsidR="003337B7" w:rsidRPr="001352F9">
        <w:rPr>
          <w:sz w:val="28"/>
          <w:szCs w:val="28"/>
        </w:rPr>
        <w:t xml:space="preserve"> [5, </w:t>
      </w:r>
      <w:r w:rsidR="003337B7" w:rsidRPr="001352F9">
        <w:rPr>
          <w:sz w:val="28"/>
          <w:szCs w:val="28"/>
          <w:lang w:val="en-US"/>
        </w:rPr>
        <w:t>c</w:t>
      </w:r>
      <w:r w:rsidR="003337B7" w:rsidRPr="001352F9">
        <w:rPr>
          <w:sz w:val="28"/>
          <w:szCs w:val="28"/>
        </w:rPr>
        <w:t>. 389]</w:t>
      </w:r>
      <w:r w:rsidRPr="001352F9">
        <w:rPr>
          <w:sz w:val="28"/>
          <w:szCs w:val="28"/>
        </w:rPr>
        <w:t>.</w:t>
      </w:r>
    </w:p>
    <w:p w:rsidR="00B3794F" w:rsidRPr="001352F9" w:rsidRDefault="00F056D0" w:rsidP="001352F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352F9">
        <w:rPr>
          <w:sz w:val="28"/>
          <w:szCs w:val="28"/>
        </w:rPr>
        <w:t xml:space="preserve">Актуарные оценки вероятности дефолта рассчитываются рейтинговыми агентствами, которые классифицируют предприятия и их долговые обязательства по вероятности дефолта путем присвоения им различных кредитных рейтингов. </w:t>
      </w:r>
      <w:r w:rsidR="00B3794F" w:rsidRPr="001352F9">
        <w:rPr>
          <w:sz w:val="28"/>
          <w:szCs w:val="28"/>
        </w:rPr>
        <w:t>Оценкой стабильности государственных финансов занимаются с 1970-х</w:t>
      </w:r>
      <w:r w:rsidR="003937AA" w:rsidRPr="001352F9">
        <w:rPr>
          <w:sz w:val="28"/>
          <w:szCs w:val="28"/>
        </w:rPr>
        <w:t xml:space="preserve"> гг.</w:t>
      </w:r>
      <w:r w:rsidR="00B3794F" w:rsidRPr="001352F9">
        <w:rPr>
          <w:sz w:val="28"/>
          <w:szCs w:val="28"/>
        </w:rPr>
        <w:t xml:space="preserve"> такие известные международные рейтинговые агентства как Moody's, Standard &amp; Poor's (S&amp;P) и Fitch-IBCA, определяющие кредитные рейтинги суверенных государств</w:t>
      </w:r>
      <w:r w:rsidR="00C928E7" w:rsidRPr="001352F9">
        <w:rPr>
          <w:sz w:val="28"/>
          <w:szCs w:val="28"/>
        </w:rPr>
        <w:t xml:space="preserve"> (табл. 1)</w:t>
      </w:r>
      <w:r w:rsidR="00B3794F" w:rsidRPr="001352F9">
        <w:rPr>
          <w:sz w:val="28"/>
          <w:szCs w:val="28"/>
        </w:rPr>
        <w:t xml:space="preserve">. </w:t>
      </w:r>
    </w:p>
    <w:p w:rsidR="00E73A54" w:rsidRPr="001352F9" w:rsidRDefault="00E73A54" w:rsidP="001352F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F5E92" w:rsidRPr="001352F9" w:rsidRDefault="008F5E92" w:rsidP="001352F9">
      <w:pPr>
        <w:spacing w:line="360" w:lineRule="auto"/>
        <w:ind w:firstLine="709"/>
        <w:jc w:val="both"/>
        <w:rPr>
          <w:sz w:val="28"/>
          <w:szCs w:val="28"/>
        </w:rPr>
      </w:pPr>
      <w:r w:rsidRPr="001352F9">
        <w:rPr>
          <w:bCs/>
          <w:sz w:val="28"/>
          <w:szCs w:val="28"/>
        </w:rPr>
        <w:t xml:space="preserve">Таблица 1. </w:t>
      </w:r>
      <w:r w:rsidR="00BD6FDB" w:rsidRPr="001352F9">
        <w:rPr>
          <w:bCs/>
          <w:sz w:val="28"/>
          <w:szCs w:val="28"/>
        </w:rPr>
        <w:t>Рейтинги, используемые для оценки риска дефолта</w:t>
      </w:r>
      <w:r w:rsidR="00C57A84" w:rsidRPr="001352F9">
        <w:rPr>
          <w:bCs/>
          <w:sz w:val="28"/>
          <w:szCs w:val="28"/>
        </w:rPr>
        <w:t xml:space="preserve"> [1]</w:t>
      </w:r>
    </w:p>
    <w:tbl>
      <w:tblPr>
        <w:tblW w:w="490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23"/>
        <w:gridCol w:w="841"/>
        <w:gridCol w:w="851"/>
        <w:gridCol w:w="845"/>
        <w:gridCol w:w="785"/>
        <w:gridCol w:w="790"/>
        <w:gridCol w:w="790"/>
        <w:gridCol w:w="790"/>
        <w:gridCol w:w="668"/>
        <w:gridCol w:w="851"/>
        <w:gridCol w:w="740"/>
      </w:tblGrid>
      <w:tr w:rsidR="001352F9" w:rsidRPr="00782EED" w:rsidTr="00782EED">
        <w:tc>
          <w:tcPr>
            <w:tcW w:w="765" w:type="pct"/>
            <w:gridSpan w:val="2"/>
            <w:shd w:val="clear" w:color="auto" w:fill="auto"/>
          </w:tcPr>
          <w:p w:rsidR="0065126A" w:rsidRPr="00782EED" w:rsidRDefault="00B3794F" w:rsidP="00782EED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782EED">
              <w:rPr>
                <w:bCs/>
                <w:sz w:val="20"/>
                <w:szCs w:val="20"/>
              </w:rPr>
              <w:t xml:space="preserve">Типы </w:t>
            </w:r>
          </w:p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bCs/>
                <w:sz w:val="20"/>
                <w:szCs w:val="20"/>
              </w:rPr>
              <w:t>рейтингов</w:t>
            </w:r>
          </w:p>
        </w:tc>
        <w:tc>
          <w:tcPr>
            <w:tcW w:w="4235" w:type="pct"/>
            <w:gridSpan w:val="10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782EED">
              <w:rPr>
                <w:bCs/>
                <w:sz w:val="20"/>
                <w:szCs w:val="20"/>
              </w:rPr>
              <w:t>Число лет</w:t>
            </w:r>
          </w:p>
        </w:tc>
      </w:tr>
      <w:tr w:rsidR="001352F9" w:rsidRPr="00782EED" w:rsidTr="00782EED">
        <w:tc>
          <w:tcPr>
            <w:tcW w:w="38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Moody's</w:t>
            </w:r>
          </w:p>
        </w:tc>
        <w:tc>
          <w:tcPr>
            <w:tcW w:w="385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S&amp;P</w:t>
            </w:r>
          </w:p>
        </w:tc>
        <w:tc>
          <w:tcPr>
            <w:tcW w:w="44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2</w:t>
            </w:r>
          </w:p>
        </w:tc>
        <w:tc>
          <w:tcPr>
            <w:tcW w:w="45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3</w:t>
            </w:r>
          </w:p>
        </w:tc>
        <w:tc>
          <w:tcPr>
            <w:tcW w:w="41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4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5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6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7</w:t>
            </w:r>
          </w:p>
        </w:tc>
        <w:tc>
          <w:tcPr>
            <w:tcW w:w="356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8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9</w:t>
            </w:r>
          </w:p>
        </w:tc>
        <w:tc>
          <w:tcPr>
            <w:tcW w:w="394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10</w:t>
            </w:r>
          </w:p>
        </w:tc>
      </w:tr>
      <w:tr w:rsidR="001352F9" w:rsidRPr="00782EED" w:rsidTr="00782EED">
        <w:tc>
          <w:tcPr>
            <w:tcW w:w="38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Aaa</w:t>
            </w:r>
          </w:p>
        </w:tc>
        <w:tc>
          <w:tcPr>
            <w:tcW w:w="385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AAA</w:t>
            </w:r>
          </w:p>
        </w:tc>
        <w:tc>
          <w:tcPr>
            <w:tcW w:w="44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0,00%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0,00%</w:t>
            </w:r>
          </w:p>
        </w:tc>
        <w:tc>
          <w:tcPr>
            <w:tcW w:w="45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0,00%</w:t>
            </w:r>
          </w:p>
        </w:tc>
        <w:tc>
          <w:tcPr>
            <w:tcW w:w="41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0,00%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0,00%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0,00%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0,01%</w:t>
            </w:r>
          </w:p>
        </w:tc>
        <w:tc>
          <w:tcPr>
            <w:tcW w:w="356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0,01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0,01%</w:t>
            </w:r>
          </w:p>
        </w:tc>
        <w:tc>
          <w:tcPr>
            <w:tcW w:w="394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0,01%</w:t>
            </w:r>
          </w:p>
        </w:tc>
      </w:tr>
      <w:tr w:rsidR="001352F9" w:rsidRPr="00782EED" w:rsidTr="00782EED">
        <w:tc>
          <w:tcPr>
            <w:tcW w:w="38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Aa1</w:t>
            </w:r>
          </w:p>
        </w:tc>
        <w:tc>
          <w:tcPr>
            <w:tcW w:w="385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AA+</w:t>
            </w:r>
          </w:p>
        </w:tc>
        <w:tc>
          <w:tcPr>
            <w:tcW w:w="44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0,00%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0,00%</w:t>
            </w:r>
          </w:p>
        </w:tc>
        <w:tc>
          <w:tcPr>
            <w:tcW w:w="45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0,01%</w:t>
            </w:r>
          </w:p>
        </w:tc>
        <w:tc>
          <w:tcPr>
            <w:tcW w:w="41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0,02%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0,03%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0,04%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0,05%</w:t>
            </w:r>
          </w:p>
        </w:tc>
        <w:tc>
          <w:tcPr>
            <w:tcW w:w="356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0,07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0,08%</w:t>
            </w:r>
          </w:p>
        </w:tc>
        <w:tc>
          <w:tcPr>
            <w:tcW w:w="394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0,10%</w:t>
            </w:r>
          </w:p>
        </w:tc>
      </w:tr>
      <w:tr w:rsidR="001352F9" w:rsidRPr="00782EED" w:rsidTr="00782EED">
        <w:tc>
          <w:tcPr>
            <w:tcW w:w="38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Aa2</w:t>
            </w:r>
          </w:p>
        </w:tc>
        <w:tc>
          <w:tcPr>
            <w:tcW w:w="385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AA</w:t>
            </w:r>
          </w:p>
        </w:tc>
        <w:tc>
          <w:tcPr>
            <w:tcW w:w="44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0,00%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0,01%</w:t>
            </w:r>
          </w:p>
        </w:tc>
        <w:tc>
          <w:tcPr>
            <w:tcW w:w="45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0,03%</w:t>
            </w:r>
          </w:p>
        </w:tc>
        <w:tc>
          <w:tcPr>
            <w:tcW w:w="41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0,05%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0,07%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0,09%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0,11%</w:t>
            </w:r>
          </w:p>
        </w:tc>
        <w:tc>
          <w:tcPr>
            <w:tcW w:w="356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0,14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0,16%</w:t>
            </w:r>
          </w:p>
        </w:tc>
        <w:tc>
          <w:tcPr>
            <w:tcW w:w="394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0,20%</w:t>
            </w:r>
          </w:p>
        </w:tc>
      </w:tr>
      <w:tr w:rsidR="001352F9" w:rsidRPr="00782EED" w:rsidTr="00782EED">
        <w:tc>
          <w:tcPr>
            <w:tcW w:w="38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Aa3</w:t>
            </w:r>
          </w:p>
        </w:tc>
        <w:tc>
          <w:tcPr>
            <w:tcW w:w="385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AA-</w:t>
            </w:r>
          </w:p>
        </w:tc>
        <w:tc>
          <w:tcPr>
            <w:tcW w:w="44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0,00%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0,02%</w:t>
            </w:r>
          </w:p>
        </w:tc>
        <w:tc>
          <w:tcPr>
            <w:tcW w:w="45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0,06%</w:t>
            </w:r>
          </w:p>
        </w:tc>
        <w:tc>
          <w:tcPr>
            <w:tcW w:w="41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0,10%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0,14%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0,18%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0,23%</w:t>
            </w:r>
          </w:p>
        </w:tc>
        <w:tc>
          <w:tcPr>
            <w:tcW w:w="356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0,27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0,33%</w:t>
            </w:r>
          </w:p>
        </w:tc>
        <w:tc>
          <w:tcPr>
            <w:tcW w:w="394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0,40%</w:t>
            </w:r>
          </w:p>
        </w:tc>
      </w:tr>
      <w:tr w:rsidR="001352F9" w:rsidRPr="00782EED" w:rsidTr="00782EED">
        <w:tc>
          <w:tcPr>
            <w:tcW w:w="38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A1</w:t>
            </w:r>
          </w:p>
        </w:tc>
        <w:tc>
          <w:tcPr>
            <w:tcW w:w="385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A+</w:t>
            </w:r>
          </w:p>
        </w:tc>
        <w:tc>
          <w:tcPr>
            <w:tcW w:w="44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0,01%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0,04%</w:t>
            </w:r>
          </w:p>
        </w:tc>
        <w:tc>
          <w:tcPr>
            <w:tcW w:w="45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0,12%</w:t>
            </w:r>
          </w:p>
        </w:tc>
        <w:tc>
          <w:tcPr>
            <w:tcW w:w="41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0,19%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0,26%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0,33%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0,41%</w:t>
            </w:r>
          </w:p>
        </w:tc>
        <w:tc>
          <w:tcPr>
            <w:tcW w:w="356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0,48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0,57%</w:t>
            </w:r>
          </w:p>
        </w:tc>
        <w:tc>
          <w:tcPr>
            <w:tcW w:w="394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0,70%</w:t>
            </w:r>
          </w:p>
        </w:tc>
      </w:tr>
      <w:tr w:rsidR="001352F9" w:rsidRPr="00782EED" w:rsidTr="00782EED">
        <w:tc>
          <w:tcPr>
            <w:tcW w:w="38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A2</w:t>
            </w:r>
          </w:p>
        </w:tc>
        <w:tc>
          <w:tcPr>
            <w:tcW w:w="385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A</w:t>
            </w:r>
          </w:p>
        </w:tc>
        <w:tc>
          <w:tcPr>
            <w:tcW w:w="44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0,01%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0,07%</w:t>
            </w:r>
          </w:p>
        </w:tc>
        <w:tc>
          <w:tcPr>
            <w:tcW w:w="45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0,22%</w:t>
            </w:r>
          </w:p>
        </w:tc>
        <w:tc>
          <w:tcPr>
            <w:tcW w:w="41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0,35%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0,47%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0,58%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0,71%</w:t>
            </w:r>
          </w:p>
        </w:tc>
        <w:tc>
          <w:tcPr>
            <w:tcW w:w="356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0,83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0,98%</w:t>
            </w:r>
          </w:p>
        </w:tc>
        <w:tc>
          <w:tcPr>
            <w:tcW w:w="394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1,20%</w:t>
            </w:r>
          </w:p>
        </w:tc>
      </w:tr>
      <w:tr w:rsidR="001352F9" w:rsidRPr="00782EED" w:rsidTr="00782EED">
        <w:tc>
          <w:tcPr>
            <w:tcW w:w="38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A3</w:t>
            </w:r>
          </w:p>
        </w:tc>
        <w:tc>
          <w:tcPr>
            <w:tcW w:w="385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A-</w:t>
            </w:r>
          </w:p>
        </w:tc>
        <w:tc>
          <w:tcPr>
            <w:tcW w:w="44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0,04%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0,15%</w:t>
            </w:r>
          </w:p>
        </w:tc>
        <w:tc>
          <w:tcPr>
            <w:tcW w:w="45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0,36%</w:t>
            </w:r>
          </w:p>
        </w:tc>
        <w:tc>
          <w:tcPr>
            <w:tcW w:w="41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0,54%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0,73%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0,91%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1,11%</w:t>
            </w:r>
          </w:p>
        </w:tc>
        <w:tc>
          <w:tcPr>
            <w:tcW w:w="356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1,30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1,52%</w:t>
            </w:r>
          </w:p>
        </w:tc>
        <w:tc>
          <w:tcPr>
            <w:tcW w:w="394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1,80%</w:t>
            </w:r>
          </w:p>
        </w:tc>
      </w:tr>
      <w:tr w:rsidR="001352F9" w:rsidRPr="00782EED" w:rsidTr="00782EED">
        <w:tc>
          <w:tcPr>
            <w:tcW w:w="38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Baa1</w:t>
            </w:r>
          </w:p>
        </w:tc>
        <w:tc>
          <w:tcPr>
            <w:tcW w:w="385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BBB+</w:t>
            </w:r>
          </w:p>
        </w:tc>
        <w:tc>
          <w:tcPr>
            <w:tcW w:w="44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0,09%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0,28%</w:t>
            </w:r>
          </w:p>
        </w:tc>
        <w:tc>
          <w:tcPr>
            <w:tcW w:w="45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0,56%</w:t>
            </w:r>
          </w:p>
        </w:tc>
        <w:tc>
          <w:tcPr>
            <w:tcW w:w="41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0,83%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1,10%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1,37%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1,67%</w:t>
            </w:r>
          </w:p>
        </w:tc>
        <w:tc>
          <w:tcPr>
            <w:tcW w:w="356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1,97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2,27%</w:t>
            </w:r>
          </w:p>
        </w:tc>
        <w:tc>
          <w:tcPr>
            <w:tcW w:w="394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2,60%</w:t>
            </w:r>
          </w:p>
        </w:tc>
      </w:tr>
      <w:tr w:rsidR="001352F9" w:rsidRPr="00782EED" w:rsidTr="00782EED">
        <w:tc>
          <w:tcPr>
            <w:tcW w:w="38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Baa2</w:t>
            </w:r>
          </w:p>
        </w:tc>
        <w:tc>
          <w:tcPr>
            <w:tcW w:w="385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BBB</w:t>
            </w:r>
          </w:p>
        </w:tc>
        <w:tc>
          <w:tcPr>
            <w:tcW w:w="44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0,17%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0,47%</w:t>
            </w:r>
          </w:p>
        </w:tc>
        <w:tc>
          <w:tcPr>
            <w:tcW w:w="45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0,83%</w:t>
            </w:r>
          </w:p>
        </w:tc>
        <w:tc>
          <w:tcPr>
            <w:tcW w:w="41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1,20%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1,58%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1,97%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2,41%</w:t>
            </w:r>
          </w:p>
        </w:tc>
        <w:tc>
          <w:tcPr>
            <w:tcW w:w="356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2,85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3,24%</w:t>
            </w:r>
          </w:p>
        </w:tc>
        <w:tc>
          <w:tcPr>
            <w:tcW w:w="394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3,60%</w:t>
            </w:r>
          </w:p>
        </w:tc>
      </w:tr>
      <w:tr w:rsidR="001352F9" w:rsidRPr="00782EED" w:rsidTr="00782EED">
        <w:tc>
          <w:tcPr>
            <w:tcW w:w="38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Baa3</w:t>
            </w:r>
          </w:p>
        </w:tc>
        <w:tc>
          <w:tcPr>
            <w:tcW w:w="385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BBB-</w:t>
            </w:r>
          </w:p>
        </w:tc>
        <w:tc>
          <w:tcPr>
            <w:tcW w:w="44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0,42%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1,05%</w:t>
            </w:r>
          </w:p>
        </w:tc>
        <w:tc>
          <w:tcPr>
            <w:tcW w:w="45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1,71%</w:t>
            </w:r>
          </w:p>
        </w:tc>
        <w:tc>
          <w:tcPr>
            <w:tcW w:w="41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2,38%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3,05%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3,70%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4,33%</w:t>
            </w:r>
          </w:p>
        </w:tc>
        <w:tc>
          <w:tcPr>
            <w:tcW w:w="356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4,97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5,57%</w:t>
            </w:r>
          </w:p>
        </w:tc>
        <w:tc>
          <w:tcPr>
            <w:tcW w:w="394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6,10%</w:t>
            </w:r>
          </w:p>
        </w:tc>
      </w:tr>
      <w:tr w:rsidR="001352F9" w:rsidRPr="00782EED" w:rsidTr="00782EED">
        <w:tc>
          <w:tcPr>
            <w:tcW w:w="38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Ba1</w:t>
            </w:r>
          </w:p>
        </w:tc>
        <w:tc>
          <w:tcPr>
            <w:tcW w:w="385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BB+</w:t>
            </w:r>
          </w:p>
        </w:tc>
        <w:tc>
          <w:tcPr>
            <w:tcW w:w="44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0,87%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2,02%</w:t>
            </w:r>
          </w:p>
        </w:tc>
        <w:tc>
          <w:tcPr>
            <w:tcW w:w="45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3,13%</w:t>
            </w:r>
          </w:p>
        </w:tc>
        <w:tc>
          <w:tcPr>
            <w:tcW w:w="41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4,20%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5,28%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6,25%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7,06%</w:t>
            </w:r>
          </w:p>
        </w:tc>
        <w:tc>
          <w:tcPr>
            <w:tcW w:w="356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7,89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8,69%</w:t>
            </w:r>
          </w:p>
        </w:tc>
        <w:tc>
          <w:tcPr>
            <w:tcW w:w="394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9,40%</w:t>
            </w:r>
          </w:p>
        </w:tc>
      </w:tr>
      <w:tr w:rsidR="001352F9" w:rsidRPr="00782EED" w:rsidTr="00782EED">
        <w:tc>
          <w:tcPr>
            <w:tcW w:w="38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Ba2</w:t>
            </w:r>
          </w:p>
        </w:tc>
        <w:tc>
          <w:tcPr>
            <w:tcW w:w="385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BB</w:t>
            </w:r>
          </w:p>
        </w:tc>
        <w:tc>
          <w:tcPr>
            <w:tcW w:w="44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1,56%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3,47%</w:t>
            </w:r>
          </w:p>
        </w:tc>
        <w:tc>
          <w:tcPr>
            <w:tcW w:w="45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5,18%</w:t>
            </w:r>
          </w:p>
        </w:tc>
        <w:tc>
          <w:tcPr>
            <w:tcW w:w="41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6,80%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8,41%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9,77%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10,70</w:t>
            </w:r>
          </w:p>
        </w:tc>
        <w:tc>
          <w:tcPr>
            <w:tcW w:w="356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11,66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12,65%</w:t>
            </w:r>
          </w:p>
        </w:tc>
        <w:tc>
          <w:tcPr>
            <w:tcW w:w="394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13,50%</w:t>
            </w:r>
          </w:p>
        </w:tc>
      </w:tr>
      <w:tr w:rsidR="001352F9" w:rsidRPr="00782EED" w:rsidTr="00782EED">
        <w:tc>
          <w:tcPr>
            <w:tcW w:w="38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Ba3</w:t>
            </w:r>
          </w:p>
        </w:tc>
        <w:tc>
          <w:tcPr>
            <w:tcW w:w="385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BB-</w:t>
            </w:r>
          </w:p>
        </w:tc>
        <w:tc>
          <w:tcPr>
            <w:tcW w:w="44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2,81%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5,51%</w:t>
            </w:r>
          </w:p>
        </w:tc>
        <w:tc>
          <w:tcPr>
            <w:tcW w:w="45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7,87%</w:t>
            </w:r>
          </w:p>
        </w:tc>
        <w:tc>
          <w:tcPr>
            <w:tcW w:w="41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9,79%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11,86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13,49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14,62</w:t>
            </w:r>
          </w:p>
        </w:tc>
        <w:tc>
          <w:tcPr>
            <w:tcW w:w="356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15,71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16,71%</w:t>
            </w:r>
          </w:p>
        </w:tc>
        <w:tc>
          <w:tcPr>
            <w:tcW w:w="394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17,80</w:t>
            </w:r>
          </w:p>
        </w:tc>
      </w:tr>
      <w:tr w:rsidR="001352F9" w:rsidRPr="00782EED" w:rsidTr="00782EED">
        <w:tc>
          <w:tcPr>
            <w:tcW w:w="38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B1</w:t>
            </w:r>
          </w:p>
        </w:tc>
        <w:tc>
          <w:tcPr>
            <w:tcW w:w="385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B+</w:t>
            </w:r>
          </w:p>
        </w:tc>
        <w:tc>
          <w:tcPr>
            <w:tcW w:w="44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4,68%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8,38%</w:t>
            </w:r>
          </w:p>
        </w:tc>
        <w:tc>
          <w:tcPr>
            <w:tcW w:w="45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11,58%</w:t>
            </w:r>
          </w:p>
        </w:tc>
        <w:tc>
          <w:tcPr>
            <w:tcW w:w="41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13,85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16,12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17,89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19,13</w:t>
            </w:r>
          </w:p>
        </w:tc>
        <w:tc>
          <w:tcPr>
            <w:tcW w:w="356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20,23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21,24%</w:t>
            </w:r>
          </w:p>
        </w:tc>
        <w:tc>
          <w:tcPr>
            <w:tcW w:w="394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22,20</w:t>
            </w:r>
          </w:p>
        </w:tc>
      </w:tr>
      <w:tr w:rsidR="001352F9" w:rsidRPr="00782EED" w:rsidTr="00782EED">
        <w:tc>
          <w:tcPr>
            <w:tcW w:w="38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B2</w:t>
            </w:r>
          </w:p>
        </w:tc>
        <w:tc>
          <w:tcPr>
            <w:tcW w:w="385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B</w:t>
            </w:r>
          </w:p>
        </w:tc>
        <w:tc>
          <w:tcPr>
            <w:tcW w:w="44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7,16%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11,67%</w:t>
            </w:r>
          </w:p>
        </w:tc>
        <w:tc>
          <w:tcPr>
            <w:tcW w:w="45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15,55%</w:t>
            </w:r>
          </w:p>
        </w:tc>
        <w:tc>
          <w:tcPr>
            <w:tcW w:w="41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18,13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20,71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22,65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24,01</w:t>
            </w:r>
          </w:p>
        </w:tc>
        <w:tc>
          <w:tcPr>
            <w:tcW w:w="356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25,15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26,22%</w:t>
            </w:r>
          </w:p>
        </w:tc>
        <w:tc>
          <w:tcPr>
            <w:tcW w:w="394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27,20</w:t>
            </w:r>
          </w:p>
        </w:tc>
      </w:tr>
      <w:tr w:rsidR="001352F9" w:rsidRPr="00782EED" w:rsidTr="00782EED">
        <w:tc>
          <w:tcPr>
            <w:tcW w:w="38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B3</w:t>
            </w:r>
          </w:p>
        </w:tc>
        <w:tc>
          <w:tcPr>
            <w:tcW w:w="385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B-</w:t>
            </w:r>
          </w:p>
        </w:tc>
        <w:tc>
          <w:tcPr>
            <w:tcW w:w="44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11,62%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16,61%</w:t>
            </w:r>
          </w:p>
        </w:tc>
        <w:tc>
          <w:tcPr>
            <w:tcW w:w="45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21,03%</w:t>
            </w:r>
          </w:p>
        </w:tc>
        <w:tc>
          <w:tcPr>
            <w:tcW w:w="41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24,04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27,05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29,20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31,00</w:t>
            </w:r>
          </w:p>
        </w:tc>
        <w:tc>
          <w:tcPr>
            <w:tcW w:w="356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32,58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33,78%</w:t>
            </w:r>
          </w:p>
        </w:tc>
        <w:tc>
          <w:tcPr>
            <w:tcW w:w="394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34,90</w:t>
            </w:r>
          </w:p>
        </w:tc>
      </w:tr>
      <w:tr w:rsidR="001352F9" w:rsidRPr="00782EED" w:rsidTr="00782EED">
        <w:tc>
          <w:tcPr>
            <w:tcW w:w="38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Caa</w:t>
            </w:r>
          </w:p>
        </w:tc>
        <w:tc>
          <w:tcPr>
            <w:tcW w:w="385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CCC+</w:t>
            </w:r>
          </w:p>
        </w:tc>
        <w:tc>
          <w:tcPr>
            <w:tcW w:w="44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26,00%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32,50%</w:t>
            </w:r>
          </w:p>
        </w:tc>
        <w:tc>
          <w:tcPr>
            <w:tcW w:w="450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39,00%</w:t>
            </w:r>
          </w:p>
        </w:tc>
        <w:tc>
          <w:tcPr>
            <w:tcW w:w="418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43,88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48,75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52,00</w:t>
            </w:r>
          </w:p>
        </w:tc>
        <w:tc>
          <w:tcPr>
            <w:tcW w:w="421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55,25</w:t>
            </w:r>
          </w:p>
        </w:tc>
        <w:tc>
          <w:tcPr>
            <w:tcW w:w="356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58,50</w:t>
            </w:r>
          </w:p>
        </w:tc>
        <w:tc>
          <w:tcPr>
            <w:tcW w:w="453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61,75%</w:t>
            </w:r>
          </w:p>
        </w:tc>
        <w:tc>
          <w:tcPr>
            <w:tcW w:w="394" w:type="pct"/>
            <w:shd w:val="clear" w:color="auto" w:fill="auto"/>
          </w:tcPr>
          <w:p w:rsidR="00B3794F" w:rsidRPr="00782EED" w:rsidRDefault="00B3794F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65,00</w:t>
            </w:r>
          </w:p>
        </w:tc>
      </w:tr>
    </w:tbl>
    <w:p w:rsidR="00C57A84" w:rsidRPr="001352F9" w:rsidRDefault="00C57A84" w:rsidP="001352F9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964BE" w:rsidRPr="00FB7EA3" w:rsidRDefault="00B3794F" w:rsidP="001352F9">
      <w:pPr>
        <w:spacing w:line="360" w:lineRule="auto"/>
        <w:ind w:firstLine="709"/>
        <w:jc w:val="both"/>
        <w:rPr>
          <w:sz w:val="28"/>
          <w:szCs w:val="28"/>
        </w:rPr>
      </w:pPr>
      <w:r w:rsidRPr="001352F9">
        <w:rPr>
          <w:sz w:val="28"/>
          <w:szCs w:val="28"/>
        </w:rPr>
        <w:t>Оценка риска определяет вероятность финансовых потерь, которые могут возникать у иностранных кредиторов при кредитовании правительства какой-либо страны. Чем выше выставленный государству рейтинг, тем менее вероятно объявление им</w:t>
      </w:r>
      <w:r w:rsidR="009448CD" w:rsidRPr="001352F9">
        <w:rPr>
          <w:sz w:val="28"/>
          <w:szCs w:val="28"/>
        </w:rPr>
        <w:t xml:space="preserve"> дефолта. В</w:t>
      </w:r>
      <w:r w:rsidRPr="001352F9">
        <w:rPr>
          <w:sz w:val="28"/>
          <w:szCs w:val="28"/>
        </w:rPr>
        <w:t xml:space="preserve"> </w:t>
      </w:r>
      <w:r w:rsidR="009448CD" w:rsidRPr="001352F9">
        <w:rPr>
          <w:sz w:val="28"/>
          <w:szCs w:val="28"/>
        </w:rPr>
        <w:t>таблице</w:t>
      </w:r>
      <w:r w:rsidRPr="001352F9">
        <w:rPr>
          <w:sz w:val="28"/>
          <w:szCs w:val="28"/>
        </w:rPr>
        <w:t xml:space="preserve"> 1 указана вероятность</w:t>
      </w:r>
      <w:r w:rsidR="009448CD" w:rsidRPr="001352F9">
        <w:rPr>
          <w:sz w:val="28"/>
          <w:szCs w:val="28"/>
        </w:rPr>
        <w:t xml:space="preserve"> дефолта</w:t>
      </w:r>
      <w:r w:rsidRPr="001352F9">
        <w:rPr>
          <w:sz w:val="28"/>
          <w:szCs w:val="28"/>
        </w:rPr>
        <w:t xml:space="preserve"> за пери</w:t>
      </w:r>
      <w:r w:rsidR="008964BE" w:rsidRPr="001352F9">
        <w:rPr>
          <w:sz w:val="28"/>
          <w:szCs w:val="28"/>
        </w:rPr>
        <w:t xml:space="preserve">од от 1 года до 10 лет. </w:t>
      </w:r>
      <w:r w:rsidRPr="001352F9">
        <w:rPr>
          <w:sz w:val="28"/>
          <w:szCs w:val="28"/>
        </w:rPr>
        <w:t xml:space="preserve"> </w:t>
      </w:r>
      <w:r w:rsidR="008964BE" w:rsidRPr="001352F9">
        <w:rPr>
          <w:sz w:val="28"/>
          <w:szCs w:val="28"/>
        </w:rPr>
        <w:t>К</w:t>
      </w:r>
      <w:r w:rsidRPr="001352F9">
        <w:rPr>
          <w:sz w:val="28"/>
          <w:szCs w:val="28"/>
        </w:rPr>
        <w:t>ачественная интерпретация рейтингов</w:t>
      </w:r>
      <w:r w:rsidR="008964BE" w:rsidRPr="001352F9">
        <w:rPr>
          <w:sz w:val="28"/>
          <w:szCs w:val="28"/>
        </w:rPr>
        <w:t xml:space="preserve"> </w:t>
      </w:r>
      <w:r w:rsidR="00A521B1" w:rsidRPr="001352F9">
        <w:rPr>
          <w:sz w:val="28"/>
          <w:szCs w:val="28"/>
        </w:rPr>
        <w:t>представлена</w:t>
      </w:r>
      <w:r w:rsidR="008964BE" w:rsidRPr="001352F9">
        <w:rPr>
          <w:sz w:val="28"/>
          <w:szCs w:val="28"/>
        </w:rPr>
        <w:t xml:space="preserve"> в таблице 2</w:t>
      </w:r>
      <w:r w:rsidR="00C57A84" w:rsidRPr="00FB7EA3">
        <w:rPr>
          <w:sz w:val="28"/>
          <w:szCs w:val="28"/>
        </w:rPr>
        <w:t>:</w:t>
      </w:r>
      <w:r w:rsidRPr="001352F9">
        <w:rPr>
          <w:sz w:val="28"/>
          <w:szCs w:val="28"/>
        </w:rPr>
        <w:t xml:space="preserve"> </w:t>
      </w:r>
    </w:p>
    <w:p w:rsidR="00C57A84" w:rsidRPr="001352F9" w:rsidRDefault="00C57A84" w:rsidP="001352F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56B98" w:rsidRPr="001352F9" w:rsidRDefault="00656B98" w:rsidP="001352F9">
      <w:pPr>
        <w:spacing w:line="360" w:lineRule="auto"/>
        <w:ind w:firstLine="709"/>
        <w:jc w:val="both"/>
        <w:rPr>
          <w:sz w:val="28"/>
          <w:szCs w:val="28"/>
        </w:rPr>
      </w:pPr>
      <w:r w:rsidRPr="001352F9">
        <w:rPr>
          <w:sz w:val="28"/>
          <w:szCs w:val="28"/>
        </w:rPr>
        <w:t>Таблица 2. Качественная интерпретация индексов надежности долгосрочных долговых обязательств, используемая рейтинговыми агентствами</w:t>
      </w:r>
      <w:r w:rsidR="00C57A84" w:rsidRPr="001352F9">
        <w:rPr>
          <w:sz w:val="28"/>
          <w:szCs w:val="28"/>
        </w:rPr>
        <w:t xml:space="preserve"> [2]</w:t>
      </w:r>
    </w:p>
    <w:tbl>
      <w:tblPr>
        <w:tblW w:w="48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20"/>
        <w:gridCol w:w="1683"/>
        <w:gridCol w:w="5668"/>
      </w:tblGrid>
      <w:tr w:rsidR="008964BE" w:rsidRPr="00782EED" w:rsidTr="00782EED">
        <w:tc>
          <w:tcPr>
            <w:tcW w:w="1976" w:type="pct"/>
            <w:gridSpan w:val="2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bCs/>
                <w:sz w:val="20"/>
                <w:szCs w:val="20"/>
              </w:rPr>
              <w:t>Рейтинговые символы (по нисходящей шкале)</w:t>
            </w:r>
          </w:p>
        </w:tc>
        <w:tc>
          <w:tcPr>
            <w:tcW w:w="3024" w:type="pct"/>
            <w:vMerge w:val="restar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Интерпретация рейтинга</w:t>
            </w:r>
          </w:p>
        </w:tc>
      </w:tr>
      <w:tr w:rsidR="008964BE" w:rsidRPr="00782EED" w:rsidTr="00782EED">
        <w:tc>
          <w:tcPr>
            <w:tcW w:w="1078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bCs/>
                <w:sz w:val="20"/>
                <w:szCs w:val="20"/>
              </w:rPr>
              <w:t>Standard&amp;Poor’s</w:t>
            </w:r>
          </w:p>
        </w:tc>
        <w:tc>
          <w:tcPr>
            <w:tcW w:w="898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bCs/>
                <w:sz w:val="20"/>
                <w:szCs w:val="20"/>
              </w:rPr>
              <w:t>Moody’s</w:t>
            </w:r>
          </w:p>
        </w:tc>
        <w:tc>
          <w:tcPr>
            <w:tcW w:w="3024" w:type="pct"/>
            <w:vMerge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964BE" w:rsidRPr="00782EED" w:rsidTr="00782EED">
        <w:tc>
          <w:tcPr>
            <w:tcW w:w="5000" w:type="pct"/>
            <w:gridSpan w:val="3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Ценные бумаги инвестиционного уровня</w:t>
            </w:r>
          </w:p>
        </w:tc>
      </w:tr>
      <w:tr w:rsidR="008964BE" w:rsidRPr="00782EED" w:rsidTr="00782EED">
        <w:tc>
          <w:tcPr>
            <w:tcW w:w="1078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ААА</w:t>
            </w:r>
          </w:p>
        </w:tc>
        <w:tc>
          <w:tcPr>
            <w:tcW w:w="898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Ааа</w:t>
            </w:r>
          </w:p>
        </w:tc>
        <w:tc>
          <w:tcPr>
            <w:tcW w:w="3024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Высшая надежность. Вероятность выплаты процентов и основной суммы долга исключительно высока.</w:t>
            </w:r>
          </w:p>
        </w:tc>
      </w:tr>
      <w:tr w:rsidR="008964BE" w:rsidRPr="00782EED" w:rsidTr="00782EED">
        <w:tc>
          <w:tcPr>
            <w:tcW w:w="1078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АА+АААА-</w:t>
            </w:r>
          </w:p>
        </w:tc>
        <w:tc>
          <w:tcPr>
            <w:tcW w:w="898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Аа1Аа2Аа3</w:t>
            </w:r>
          </w:p>
        </w:tc>
        <w:tc>
          <w:tcPr>
            <w:tcW w:w="3024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Высокая надежность. Вероятность выплаты процентов и основной суммы долга весьма высока.</w:t>
            </w:r>
          </w:p>
        </w:tc>
      </w:tr>
      <w:tr w:rsidR="008964BE" w:rsidRPr="00782EED" w:rsidTr="00782EED">
        <w:tc>
          <w:tcPr>
            <w:tcW w:w="1078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А+АА-</w:t>
            </w:r>
          </w:p>
        </w:tc>
        <w:tc>
          <w:tcPr>
            <w:tcW w:w="898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А1А2А3</w:t>
            </w:r>
          </w:p>
        </w:tc>
        <w:tc>
          <w:tcPr>
            <w:tcW w:w="3024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Надежность выше среднего. Возможности эмитента по выплате долга и процентов достаточно велики, но зависят от стабильности внутриэкономической ситуации.</w:t>
            </w:r>
          </w:p>
        </w:tc>
      </w:tr>
      <w:tr w:rsidR="008964BE" w:rsidRPr="00782EED" w:rsidTr="00782EED">
        <w:tc>
          <w:tcPr>
            <w:tcW w:w="1078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ВВВ+ВВВВВВ-</w:t>
            </w:r>
          </w:p>
        </w:tc>
        <w:tc>
          <w:tcPr>
            <w:tcW w:w="898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Ваа1Ваа2Ваа3</w:t>
            </w:r>
          </w:p>
        </w:tc>
        <w:tc>
          <w:tcPr>
            <w:tcW w:w="3024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 xml:space="preserve">Приемлемый уровень надежности. Возможности эмитента по выплате долга и процентов зависят от состояний внутриэкономической ситуации на момент погашения. </w:t>
            </w:r>
          </w:p>
        </w:tc>
      </w:tr>
      <w:tr w:rsidR="008964BE" w:rsidRPr="00782EED" w:rsidTr="00782EED">
        <w:tc>
          <w:tcPr>
            <w:tcW w:w="5000" w:type="pct"/>
            <w:gridSpan w:val="3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Ценные бумаги неинвестиционного (спекулятивного) уровня</w:t>
            </w:r>
          </w:p>
        </w:tc>
      </w:tr>
      <w:tr w:rsidR="008964BE" w:rsidRPr="00782EED" w:rsidTr="00782EED">
        <w:tc>
          <w:tcPr>
            <w:tcW w:w="1078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ВВ+ВВВВ-</w:t>
            </w:r>
          </w:p>
        </w:tc>
        <w:tc>
          <w:tcPr>
            <w:tcW w:w="898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Ва1Ва2Ва3</w:t>
            </w:r>
          </w:p>
        </w:tc>
        <w:tc>
          <w:tcPr>
            <w:tcW w:w="3024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 xml:space="preserve">Обязательства скорее надежны, чем ненадежны, но существует постоянная угроза неплатежа из-за нестабильности внутриэкономической ситуации. </w:t>
            </w:r>
          </w:p>
        </w:tc>
      </w:tr>
      <w:tr w:rsidR="008964BE" w:rsidRPr="00782EED" w:rsidTr="00782EED">
        <w:tc>
          <w:tcPr>
            <w:tcW w:w="1078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В+ВВ-</w:t>
            </w:r>
          </w:p>
        </w:tc>
        <w:tc>
          <w:tcPr>
            <w:tcW w:w="898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В1В2В3</w:t>
            </w:r>
          </w:p>
        </w:tc>
        <w:tc>
          <w:tcPr>
            <w:tcW w:w="3024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Высокий риск неплатежа. Платежеспособность эмитента ограничена, но соответствует текущему объему выпущенных обязательств.</w:t>
            </w:r>
          </w:p>
        </w:tc>
      </w:tr>
      <w:tr w:rsidR="008964BE" w:rsidRPr="00782EED" w:rsidTr="00782EED">
        <w:tc>
          <w:tcPr>
            <w:tcW w:w="1078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ССС+СССССС-</w:t>
            </w:r>
          </w:p>
        </w:tc>
        <w:tc>
          <w:tcPr>
            <w:tcW w:w="898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Саа</w:t>
            </w:r>
          </w:p>
        </w:tc>
        <w:tc>
          <w:tcPr>
            <w:tcW w:w="3024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Обязательства с сомнительной оплатой либо уже неоплачиваемые. Платежеспособность эмитента подорвана фундаментальной нестабильностью внутриэкономической ситуации.</w:t>
            </w:r>
          </w:p>
        </w:tc>
      </w:tr>
      <w:tr w:rsidR="008964BE" w:rsidRPr="00782EED" w:rsidTr="00782EED">
        <w:tc>
          <w:tcPr>
            <w:tcW w:w="1078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СD</w:t>
            </w:r>
          </w:p>
        </w:tc>
        <w:tc>
          <w:tcPr>
            <w:tcW w:w="898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>СаD</w:t>
            </w:r>
          </w:p>
        </w:tc>
        <w:tc>
          <w:tcPr>
            <w:tcW w:w="3024" w:type="pct"/>
            <w:shd w:val="clear" w:color="auto" w:fill="auto"/>
          </w:tcPr>
          <w:p w:rsidR="008964BE" w:rsidRPr="00782EED" w:rsidRDefault="008964BE" w:rsidP="00782E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82EED">
              <w:rPr>
                <w:sz w:val="20"/>
                <w:szCs w:val="20"/>
              </w:rPr>
              <w:t xml:space="preserve">Невыполнение обязательств (отсрочка платежей или неплатежи). Эмитент уже является банкротом либо терпит убытки. </w:t>
            </w:r>
          </w:p>
        </w:tc>
      </w:tr>
    </w:tbl>
    <w:p w:rsidR="008964BE" w:rsidRPr="001352F9" w:rsidRDefault="008964BE" w:rsidP="001352F9">
      <w:pPr>
        <w:spacing w:line="360" w:lineRule="auto"/>
        <w:ind w:firstLine="709"/>
        <w:jc w:val="both"/>
        <w:rPr>
          <w:sz w:val="28"/>
          <w:szCs w:val="28"/>
        </w:rPr>
      </w:pPr>
    </w:p>
    <w:p w:rsidR="00B3794F" w:rsidRPr="001352F9" w:rsidRDefault="00B3794F" w:rsidP="001352F9">
      <w:pPr>
        <w:spacing w:line="360" w:lineRule="auto"/>
        <w:ind w:firstLine="709"/>
        <w:jc w:val="both"/>
        <w:rPr>
          <w:sz w:val="28"/>
          <w:szCs w:val="28"/>
        </w:rPr>
      </w:pPr>
      <w:r w:rsidRPr="001352F9">
        <w:rPr>
          <w:sz w:val="28"/>
          <w:szCs w:val="28"/>
        </w:rPr>
        <w:t>Например, рейтинг А (по классификации S&amp;P) означает, что с вероятностью примерно 1% страна, имеющая данный рейтинг, может объявить</w:t>
      </w:r>
      <w:r w:rsidR="00A521B1" w:rsidRPr="001352F9">
        <w:rPr>
          <w:sz w:val="28"/>
          <w:szCs w:val="28"/>
        </w:rPr>
        <w:t xml:space="preserve"> дефолт</w:t>
      </w:r>
      <w:r w:rsidRPr="001352F9">
        <w:rPr>
          <w:sz w:val="28"/>
          <w:szCs w:val="28"/>
        </w:rPr>
        <w:t xml:space="preserve"> по своим официальным кредитным обязательствам не ранее чем через 9</w:t>
      </w:r>
      <w:r w:rsidR="00A521B1" w:rsidRPr="001352F9">
        <w:rPr>
          <w:sz w:val="28"/>
          <w:szCs w:val="28"/>
        </w:rPr>
        <w:t>-</w:t>
      </w:r>
      <w:r w:rsidRPr="001352F9">
        <w:rPr>
          <w:sz w:val="28"/>
          <w:szCs w:val="28"/>
        </w:rPr>
        <w:t xml:space="preserve">10 лет – это степень надежности выше среднемирового уровня. Долговые обязательства, попавшие в категорию ААА, являются самыми надежными, а категория D не обеспечивает даже возврата номинальной стоимости. </w:t>
      </w:r>
    </w:p>
    <w:p w:rsidR="00B3794F" w:rsidRPr="001352F9" w:rsidRDefault="00B3794F" w:rsidP="001352F9">
      <w:pPr>
        <w:spacing w:line="360" w:lineRule="auto"/>
        <w:ind w:firstLine="709"/>
        <w:jc w:val="both"/>
        <w:rPr>
          <w:sz w:val="28"/>
          <w:szCs w:val="28"/>
        </w:rPr>
      </w:pPr>
      <w:r w:rsidRPr="001352F9">
        <w:rPr>
          <w:sz w:val="28"/>
          <w:szCs w:val="28"/>
        </w:rPr>
        <w:t xml:space="preserve">Эти оценки очень важны для международных инвесторов при выборе ими оптимальных направлений инвестирования. В оценочной шкале рейтинговых агентств имеется определенная разделительная черта, отделяющая бумаги инвестиционного уровня (то есть высокого инвестиционного качества) от бумаг неинвестиционного уровня, которые причисляют к классу спекулятивных. Большинство осторожных инвесторов стараются приобрести активы инвестиционного уровня и не накапливать в своих портфелях менее надежные спекулятивные активы. </w:t>
      </w:r>
    </w:p>
    <w:p w:rsidR="002463E1" w:rsidRPr="001352F9" w:rsidRDefault="00B3794F" w:rsidP="001352F9">
      <w:pPr>
        <w:spacing w:line="360" w:lineRule="auto"/>
        <w:ind w:firstLine="709"/>
        <w:jc w:val="both"/>
        <w:rPr>
          <w:sz w:val="28"/>
          <w:szCs w:val="28"/>
        </w:rPr>
      </w:pPr>
      <w:r w:rsidRPr="001352F9">
        <w:rPr>
          <w:sz w:val="28"/>
          <w:szCs w:val="28"/>
        </w:rPr>
        <w:t>При анализе кредитоспособности</w:t>
      </w:r>
      <w:r w:rsidR="002463E1" w:rsidRPr="001352F9">
        <w:rPr>
          <w:sz w:val="28"/>
          <w:szCs w:val="28"/>
        </w:rPr>
        <w:t xml:space="preserve"> государства </w:t>
      </w:r>
      <w:r w:rsidRPr="001352F9">
        <w:rPr>
          <w:sz w:val="28"/>
          <w:szCs w:val="28"/>
        </w:rPr>
        <w:t xml:space="preserve">одним из наиболее распространенных подходов является сравнение объема государственного долга с объемом ВВП. </w:t>
      </w:r>
      <w:r w:rsidR="002463E1" w:rsidRPr="001352F9">
        <w:rPr>
          <w:sz w:val="28"/>
          <w:szCs w:val="28"/>
        </w:rPr>
        <w:t>Ч</w:t>
      </w:r>
      <w:r w:rsidRPr="001352F9">
        <w:rPr>
          <w:sz w:val="28"/>
          <w:szCs w:val="28"/>
        </w:rPr>
        <w:t>ем меньше отношение гос</w:t>
      </w:r>
      <w:r w:rsidR="002463E1" w:rsidRPr="001352F9">
        <w:rPr>
          <w:sz w:val="28"/>
          <w:szCs w:val="28"/>
        </w:rPr>
        <w:t xml:space="preserve">ударственного </w:t>
      </w:r>
      <w:r w:rsidRPr="001352F9">
        <w:rPr>
          <w:sz w:val="28"/>
          <w:szCs w:val="28"/>
        </w:rPr>
        <w:t>долга к уровню ВВП, тем данная страна более надежна как заемщик и тем ниже вероятность</w:t>
      </w:r>
      <w:r w:rsidR="002463E1" w:rsidRPr="001352F9">
        <w:rPr>
          <w:sz w:val="28"/>
          <w:szCs w:val="28"/>
        </w:rPr>
        <w:t xml:space="preserve"> дефолта.</w:t>
      </w:r>
    </w:p>
    <w:p w:rsidR="00B35914" w:rsidRPr="001352F9" w:rsidRDefault="00B3794F" w:rsidP="001352F9">
      <w:pPr>
        <w:spacing w:line="360" w:lineRule="auto"/>
        <w:ind w:firstLine="709"/>
        <w:jc w:val="both"/>
        <w:rPr>
          <w:sz w:val="28"/>
          <w:szCs w:val="28"/>
        </w:rPr>
      </w:pPr>
      <w:r w:rsidRPr="001352F9">
        <w:rPr>
          <w:sz w:val="28"/>
          <w:szCs w:val="28"/>
        </w:rPr>
        <w:t xml:space="preserve">Существуют разные взгляды на оценку критичности уровня этого отношения. Так, для вновь принимаемых в Евросоюз стран долг не должен превышать 60% от годового объема ВВП страны. </w:t>
      </w:r>
      <w:r w:rsidR="003E7A16" w:rsidRPr="001352F9">
        <w:rPr>
          <w:sz w:val="28"/>
          <w:szCs w:val="28"/>
        </w:rPr>
        <w:t>И</w:t>
      </w:r>
      <w:r w:rsidRPr="001352F9">
        <w:rPr>
          <w:sz w:val="28"/>
          <w:szCs w:val="28"/>
        </w:rPr>
        <w:t>з самих стран ЕС этому условию соответствуют не все. Например, отношение гос</w:t>
      </w:r>
      <w:r w:rsidR="003E7A16" w:rsidRPr="001352F9">
        <w:rPr>
          <w:sz w:val="28"/>
          <w:szCs w:val="28"/>
        </w:rPr>
        <w:t xml:space="preserve">ударственного </w:t>
      </w:r>
      <w:r w:rsidRPr="001352F9">
        <w:rPr>
          <w:sz w:val="28"/>
          <w:szCs w:val="28"/>
        </w:rPr>
        <w:t>долга Италии к ВВП составляет более 100%. В основном</w:t>
      </w:r>
      <w:r w:rsidR="00B35914" w:rsidRPr="001352F9">
        <w:rPr>
          <w:sz w:val="28"/>
          <w:szCs w:val="28"/>
        </w:rPr>
        <w:t>,</w:t>
      </w:r>
      <w:r w:rsidRPr="001352F9">
        <w:rPr>
          <w:sz w:val="28"/>
          <w:szCs w:val="28"/>
        </w:rPr>
        <w:t xml:space="preserve"> в</w:t>
      </w:r>
      <w:r w:rsidR="00B35914" w:rsidRPr="001352F9">
        <w:rPr>
          <w:sz w:val="28"/>
          <w:szCs w:val="28"/>
        </w:rPr>
        <w:t>ы</w:t>
      </w:r>
      <w:r w:rsidRPr="001352F9">
        <w:rPr>
          <w:sz w:val="28"/>
          <w:szCs w:val="28"/>
        </w:rPr>
        <w:t>соки</w:t>
      </w:r>
      <w:r w:rsidR="00B35914" w:rsidRPr="001352F9">
        <w:rPr>
          <w:sz w:val="28"/>
          <w:szCs w:val="28"/>
        </w:rPr>
        <w:t>й</w:t>
      </w:r>
      <w:r w:rsidRPr="001352F9">
        <w:rPr>
          <w:sz w:val="28"/>
          <w:szCs w:val="28"/>
        </w:rPr>
        <w:t xml:space="preserve"> коэффициент отношения объема гос</w:t>
      </w:r>
      <w:r w:rsidR="00B35914" w:rsidRPr="001352F9">
        <w:rPr>
          <w:sz w:val="28"/>
          <w:szCs w:val="28"/>
        </w:rPr>
        <w:t xml:space="preserve">ударственного </w:t>
      </w:r>
      <w:r w:rsidRPr="001352F9">
        <w:rPr>
          <w:sz w:val="28"/>
          <w:szCs w:val="28"/>
        </w:rPr>
        <w:t xml:space="preserve">долга к ВВП </w:t>
      </w:r>
      <w:r w:rsidR="00B35914" w:rsidRPr="001352F9">
        <w:rPr>
          <w:sz w:val="28"/>
          <w:szCs w:val="28"/>
        </w:rPr>
        <w:t>имеют</w:t>
      </w:r>
      <w:r w:rsidRPr="001352F9">
        <w:rPr>
          <w:sz w:val="28"/>
          <w:szCs w:val="28"/>
        </w:rPr>
        <w:t xml:space="preserve"> развивающиеся страны, активно занимающие деньги на международном финансовом рынке. Но есть </w:t>
      </w:r>
      <w:r w:rsidR="00B35914" w:rsidRPr="001352F9">
        <w:rPr>
          <w:sz w:val="28"/>
          <w:szCs w:val="28"/>
        </w:rPr>
        <w:t>такие</w:t>
      </w:r>
      <w:r w:rsidRPr="001352F9">
        <w:rPr>
          <w:sz w:val="28"/>
          <w:szCs w:val="28"/>
        </w:rPr>
        <w:t xml:space="preserve"> страны и среди высокоразвитых государств. Например, японская экономика, являющаяся второй по величине в мире, имеет государственный долг, равный 140% от ВВП, что является самым высоким уровнем среди промышленно развитых стран. Для Америки этот показатель уже несколько превышает уровень в 60% и, </w:t>
      </w:r>
      <w:r w:rsidR="00BD67BB" w:rsidRPr="001352F9">
        <w:rPr>
          <w:sz w:val="28"/>
          <w:szCs w:val="28"/>
        </w:rPr>
        <w:t>по мнению специалистов</w:t>
      </w:r>
      <w:r w:rsidRPr="001352F9">
        <w:rPr>
          <w:sz w:val="28"/>
          <w:szCs w:val="28"/>
        </w:rPr>
        <w:t xml:space="preserve">, в ближайшее время будет расти. </w:t>
      </w:r>
    </w:p>
    <w:p w:rsidR="00B3794F" w:rsidRPr="001352F9" w:rsidRDefault="00B3794F" w:rsidP="001352F9">
      <w:pPr>
        <w:spacing w:line="360" w:lineRule="auto"/>
        <w:ind w:firstLine="709"/>
        <w:jc w:val="both"/>
        <w:rPr>
          <w:sz w:val="28"/>
          <w:szCs w:val="28"/>
        </w:rPr>
      </w:pPr>
      <w:r w:rsidRPr="001352F9">
        <w:rPr>
          <w:sz w:val="28"/>
          <w:szCs w:val="28"/>
        </w:rPr>
        <w:t>Методика оценки кредитоспособности</w:t>
      </w:r>
      <w:r w:rsidR="00B35914" w:rsidRPr="001352F9">
        <w:rPr>
          <w:sz w:val="28"/>
          <w:szCs w:val="28"/>
        </w:rPr>
        <w:t xml:space="preserve"> государства</w:t>
      </w:r>
      <w:r w:rsidRPr="001352F9">
        <w:rPr>
          <w:sz w:val="28"/>
          <w:szCs w:val="28"/>
        </w:rPr>
        <w:t xml:space="preserve"> с помощью отношения гос</w:t>
      </w:r>
      <w:r w:rsidR="00B35914" w:rsidRPr="001352F9">
        <w:rPr>
          <w:sz w:val="28"/>
          <w:szCs w:val="28"/>
        </w:rPr>
        <w:t xml:space="preserve">ударственного </w:t>
      </w:r>
      <w:r w:rsidRPr="001352F9">
        <w:rPr>
          <w:sz w:val="28"/>
          <w:szCs w:val="28"/>
        </w:rPr>
        <w:t>долга к ВВП не у всех вызывает недоверие. Во-первых, все расчеты при этом обычно ведутся в долларах. И если внешний долг часто действительно номинирован в этой валюте, то внутренний долг и объем создаваемого ВВП первоначально рассчитываются в национальной валюте. Это значит, что при значительных колебаниях курса национальной валюты к доллару реальная картина может существенно измениться, что говорит о не</w:t>
      </w:r>
      <w:r w:rsidR="00B10F5B" w:rsidRPr="001352F9">
        <w:rPr>
          <w:sz w:val="28"/>
          <w:szCs w:val="28"/>
        </w:rPr>
        <w:t xml:space="preserve">объективности  </w:t>
      </w:r>
      <w:r w:rsidRPr="001352F9">
        <w:rPr>
          <w:sz w:val="28"/>
          <w:szCs w:val="28"/>
        </w:rPr>
        <w:t>и ненадежности такой оценки. Во-вторых, деньги на погашение долгов государство берет не из валового продукта, а из государственного бюджета. Последний</w:t>
      </w:r>
      <w:r w:rsidR="00B10F5B" w:rsidRPr="001352F9">
        <w:rPr>
          <w:sz w:val="28"/>
          <w:szCs w:val="28"/>
        </w:rPr>
        <w:t>,</w:t>
      </w:r>
      <w:r w:rsidRPr="001352F9">
        <w:rPr>
          <w:sz w:val="28"/>
          <w:szCs w:val="28"/>
        </w:rPr>
        <w:t xml:space="preserve"> хотя и пропорционален ВВП, но для различных стран имеет разную структуру, </w:t>
      </w:r>
      <w:r w:rsidR="00D93195" w:rsidRPr="001352F9">
        <w:rPr>
          <w:sz w:val="28"/>
          <w:szCs w:val="28"/>
        </w:rPr>
        <w:t>а,</w:t>
      </w:r>
      <w:r w:rsidRPr="001352F9">
        <w:rPr>
          <w:sz w:val="28"/>
          <w:szCs w:val="28"/>
        </w:rPr>
        <w:t xml:space="preserve"> следовательно, разнится и та доля бюджета, которая может быть предназначена на обслуживание долга. </w:t>
      </w:r>
    </w:p>
    <w:p w:rsidR="00B3794F" w:rsidRPr="001352F9" w:rsidRDefault="00B3794F" w:rsidP="001352F9">
      <w:pPr>
        <w:spacing w:line="360" w:lineRule="auto"/>
        <w:ind w:firstLine="709"/>
        <w:jc w:val="both"/>
        <w:rPr>
          <w:sz w:val="28"/>
          <w:szCs w:val="28"/>
        </w:rPr>
      </w:pPr>
      <w:r w:rsidRPr="001352F9">
        <w:rPr>
          <w:sz w:val="28"/>
          <w:szCs w:val="28"/>
        </w:rPr>
        <w:t xml:space="preserve">Второй наиболее распространенный подход к анализу состояния государственного долга, а именно его внешней части, предлагает оценивать </w:t>
      </w:r>
      <w:r w:rsidRPr="001352F9">
        <w:rPr>
          <w:iCs/>
          <w:sz w:val="28"/>
          <w:szCs w:val="28"/>
        </w:rPr>
        <w:t>отношение объема экспорта</w:t>
      </w:r>
      <w:r w:rsidR="00B10F5B" w:rsidRPr="001352F9">
        <w:rPr>
          <w:iCs/>
          <w:sz w:val="28"/>
          <w:szCs w:val="28"/>
        </w:rPr>
        <w:t xml:space="preserve"> государства</w:t>
      </w:r>
      <w:r w:rsidRPr="001352F9">
        <w:rPr>
          <w:iCs/>
          <w:sz w:val="28"/>
          <w:szCs w:val="28"/>
        </w:rPr>
        <w:t xml:space="preserve"> к его внешнему долгу</w:t>
      </w:r>
      <w:r w:rsidRPr="001352F9">
        <w:rPr>
          <w:sz w:val="28"/>
          <w:szCs w:val="28"/>
        </w:rPr>
        <w:t xml:space="preserve">. Чем больше это отношение, тем легче должно быть заемщику при погашении внешнего долга. Здесь также существуют различные оценки критичности этого параметра, но в среднем считается приемлемым уровень в 20% и выше. Однако и этот показатель также не оптимален. Так, отношение внешнего долга к экспорту, равное 20%, означает, что за 5 лет государство в состоянии погасить внешний долг, посылая всю экспортную выручку на возврат внешних кредитов. Но так как в большинстве случаев речь идет о доходах частных фирм, то для выполнения этой задачи государству придется как минимум «экспроприировать» всю эту выручку. В такой ситуации вряд ли в течение 5 лет объемы экспорта сохранятся на указанном уровне. </w:t>
      </w:r>
      <w:r w:rsidR="00A51628" w:rsidRPr="001352F9">
        <w:rPr>
          <w:sz w:val="28"/>
          <w:szCs w:val="28"/>
        </w:rPr>
        <w:t>Невозможен</w:t>
      </w:r>
      <w:r w:rsidRPr="001352F9">
        <w:rPr>
          <w:sz w:val="28"/>
          <w:szCs w:val="28"/>
        </w:rPr>
        <w:t xml:space="preserve"> и полный выкуп выручки со стороны</w:t>
      </w:r>
      <w:r w:rsidR="00A51628" w:rsidRPr="001352F9">
        <w:rPr>
          <w:sz w:val="28"/>
          <w:szCs w:val="28"/>
        </w:rPr>
        <w:t xml:space="preserve"> государства</w:t>
      </w:r>
      <w:r w:rsidRPr="001352F9">
        <w:rPr>
          <w:sz w:val="28"/>
          <w:szCs w:val="28"/>
        </w:rPr>
        <w:t xml:space="preserve">, так как это нарушит систему экспортно-импортных и валютных операций. </w:t>
      </w:r>
    </w:p>
    <w:p w:rsidR="00B3794F" w:rsidRPr="001352F9" w:rsidRDefault="008827BA" w:rsidP="001352F9">
      <w:pPr>
        <w:spacing w:line="360" w:lineRule="auto"/>
        <w:ind w:firstLine="709"/>
        <w:jc w:val="both"/>
        <w:rPr>
          <w:sz w:val="28"/>
          <w:szCs w:val="28"/>
        </w:rPr>
      </w:pPr>
      <w:r w:rsidRPr="001352F9">
        <w:rPr>
          <w:sz w:val="28"/>
          <w:szCs w:val="28"/>
        </w:rPr>
        <w:t>П</w:t>
      </w:r>
      <w:r w:rsidR="00B3794F" w:rsidRPr="001352F9">
        <w:rPr>
          <w:sz w:val="28"/>
          <w:szCs w:val="28"/>
        </w:rPr>
        <w:t>ри анализе финансового положения</w:t>
      </w:r>
      <w:r w:rsidR="00A51628" w:rsidRPr="001352F9">
        <w:rPr>
          <w:sz w:val="28"/>
          <w:szCs w:val="28"/>
        </w:rPr>
        <w:t xml:space="preserve"> государства</w:t>
      </w:r>
      <w:r w:rsidR="00B3794F" w:rsidRPr="001352F9">
        <w:rPr>
          <w:sz w:val="28"/>
          <w:szCs w:val="28"/>
        </w:rPr>
        <w:t>-заемщика следует</w:t>
      </w:r>
      <w:r w:rsidR="00A51628" w:rsidRPr="001352F9">
        <w:rPr>
          <w:sz w:val="28"/>
          <w:szCs w:val="28"/>
        </w:rPr>
        <w:t>,</w:t>
      </w:r>
      <w:r w:rsidR="00B3794F" w:rsidRPr="001352F9">
        <w:rPr>
          <w:sz w:val="28"/>
          <w:szCs w:val="28"/>
        </w:rPr>
        <w:t xml:space="preserve"> в первую очередь</w:t>
      </w:r>
      <w:r w:rsidR="00A51628" w:rsidRPr="001352F9">
        <w:rPr>
          <w:sz w:val="28"/>
          <w:szCs w:val="28"/>
        </w:rPr>
        <w:t>,</w:t>
      </w:r>
      <w:r w:rsidR="00B3794F" w:rsidRPr="001352F9">
        <w:rPr>
          <w:sz w:val="28"/>
          <w:szCs w:val="28"/>
        </w:rPr>
        <w:t xml:space="preserve"> обратить внимание на его </w:t>
      </w:r>
      <w:r w:rsidR="00B3794F" w:rsidRPr="001352F9">
        <w:rPr>
          <w:iCs/>
          <w:sz w:val="28"/>
          <w:szCs w:val="28"/>
        </w:rPr>
        <w:t>бюджет, соотношение доходов гос</w:t>
      </w:r>
      <w:r w:rsidR="00A51628" w:rsidRPr="001352F9">
        <w:rPr>
          <w:iCs/>
          <w:sz w:val="28"/>
          <w:szCs w:val="28"/>
        </w:rPr>
        <w:t xml:space="preserve">ударственного </w:t>
      </w:r>
      <w:r w:rsidR="00B3794F" w:rsidRPr="001352F9">
        <w:rPr>
          <w:iCs/>
          <w:sz w:val="28"/>
          <w:szCs w:val="28"/>
        </w:rPr>
        <w:t>бюджета и государственного долга</w:t>
      </w:r>
      <w:r w:rsidR="00B3794F" w:rsidRPr="001352F9">
        <w:rPr>
          <w:sz w:val="28"/>
          <w:szCs w:val="28"/>
        </w:rPr>
        <w:t>. Важно определить, какую часть доходов бюджета это государство может выделить на обслуживание долга, не обостряя при этом социального и экономического положения. Так как доходы бюджета в том или ином виде являются «налогом с экономики», то для прогнозирования ситуации все равно придется анализировать экономическое положение данного</w:t>
      </w:r>
      <w:r w:rsidR="0017500D" w:rsidRPr="001352F9">
        <w:rPr>
          <w:sz w:val="28"/>
          <w:szCs w:val="28"/>
        </w:rPr>
        <w:t xml:space="preserve"> государства</w:t>
      </w:r>
      <w:r w:rsidR="00B3794F" w:rsidRPr="001352F9">
        <w:rPr>
          <w:sz w:val="28"/>
          <w:szCs w:val="28"/>
        </w:rPr>
        <w:t xml:space="preserve"> и его перспективы (включая ВВП, объем экспорта и другие важные показатели). Далее следует оценить разницу между полученной цифрой и объемом реальных выплат по обслуживанию долга в рассматриваемом периоде. Если разница будет в пользу выплат по долгам, то государству, естественно, придется прибегнуть к дополнительному заимствованию. </w:t>
      </w:r>
      <w:r w:rsidRPr="001352F9">
        <w:rPr>
          <w:sz w:val="28"/>
          <w:szCs w:val="28"/>
        </w:rPr>
        <w:t>Подобная</w:t>
      </w:r>
      <w:r w:rsidR="00B3794F" w:rsidRPr="001352F9">
        <w:rPr>
          <w:sz w:val="28"/>
          <w:szCs w:val="28"/>
        </w:rPr>
        <w:t xml:space="preserve"> ситуация, очевидно, чревата раскручиванием описанной выше спирали</w:t>
      </w:r>
      <w:r w:rsidR="007210DF" w:rsidRPr="001352F9">
        <w:rPr>
          <w:sz w:val="28"/>
          <w:szCs w:val="28"/>
        </w:rPr>
        <w:t xml:space="preserve"> дефолта</w:t>
      </w:r>
      <w:r w:rsidR="00B3794F" w:rsidRPr="001352F9">
        <w:rPr>
          <w:sz w:val="28"/>
          <w:szCs w:val="28"/>
        </w:rPr>
        <w:t xml:space="preserve">, </w:t>
      </w:r>
      <w:r w:rsidR="00124A15" w:rsidRPr="001352F9">
        <w:rPr>
          <w:sz w:val="28"/>
          <w:szCs w:val="28"/>
        </w:rPr>
        <w:t xml:space="preserve">поэтому </w:t>
      </w:r>
      <w:r w:rsidR="00B3794F" w:rsidRPr="001352F9">
        <w:rPr>
          <w:sz w:val="28"/>
          <w:szCs w:val="28"/>
        </w:rPr>
        <w:t xml:space="preserve">важно правильно оценить, на какой стадии цикла находится страна-заемщик и насколько необратим процесс раскручивания спирали. </w:t>
      </w:r>
    </w:p>
    <w:p w:rsidR="00B3794F" w:rsidRPr="001352F9" w:rsidRDefault="00124A15" w:rsidP="001352F9">
      <w:pPr>
        <w:spacing w:line="360" w:lineRule="auto"/>
        <w:ind w:firstLine="709"/>
        <w:jc w:val="both"/>
        <w:rPr>
          <w:sz w:val="28"/>
          <w:szCs w:val="28"/>
        </w:rPr>
      </w:pPr>
      <w:r w:rsidRPr="001352F9">
        <w:rPr>
          <w:sz w:val="28"/>
          <w:szCs w:val="28"/>
        </w:rPr>
        <w:t>Г</w:t>
      </w:r>
      <w:r w:rsidR="00B3794F" w:rsidRPr="001352F9">
        <w:rPr>
          <w:sz w:val="28"/>
          <w:szCs w:val="28"/>
        </w:rPr>
        <w:t xml:space="preserve">отовых </w:t>
      </w:r>
      <w:r w:rsidR="007210DF" w:rsidRPr="001352F9">
        <w:rPr>
          <w:sz w:val="28"/>
          <w:szCs w:val="28"/>
        </w:rPr>
        <w:t>механизмов</w:t>
      </w:r>
      <w:r w:rsidR="00B3794F" w:rsidRPr="001352F9">
        <w:rPr>
          <w:sz w:val="28"/>
          <w:szCs w:val="28"/>
        </w:rPr>
        <w:t xml:space="preserve"> такой оценки пока нет, но рекомендуется проводить хотя бы сравнительную оценку состояния фундаментальных показателей различных стран-заемщиков, ранжируя их по степени риска</w:t>
      </w:r>
      <w:r w:rsidR="00B23C76" w:rsidRPr="001352F9">
        <w:rPr>
          <w:sz w:val="28"/>
          <w:szCs w:val="28"/>
        </w:rPr>
        <w:t>.</w:t>
      </w:r>
      <w:r w:rsidR="00B3794F" w:rsidRPr="001352F9">
        <w:rPr>
          <w:sz w:val="28"/>
          <w:szCs w:val="28"/>
        </w:rPr>
        <w:t xml:space="preserve"> </w:t>
      </w:r>
    </w:p>
    <w:p w:rsidR="00B3794F" w:rsidRPr="00FB7EA3" w:rsidRDefault="00B3794F" w:rsidP="001352F9">
      <w:pPr>
        <w:spacing w:line="360" w:lineRule="auto"/>
        <w:ind w:firstLine="709"/>
        <w:jc w:val="both"/>
        <w:rPr>
          <w:sz w:val="28"/>
          <w:szCs w:val="28"/>
        </w:rPr>
      </w:pPr>
      <w:r w:rsidRPr="001352F9">
        <w:rPr>
          <w:sz w:val="28"/>
          <w:szCs w:val="28"/>
        </w:rPr>
        <w:t>Сам факт присвоения стране рейтинга (даже если он не слишком высок) имеет колоссальную политическую значимость, улучшая ее имидж, что, в свою очередь, дает стране важные экономические преимущества – начиная от улучшения условий внешних за</w:t>
      </w:r>
      <w:r w:rsidR="0099125C" w:rsidRPr="001352F9">
        <w:rPr>
          <w:sz w:val="28"/>
          <w:szCs w:val="28"/>
        </w:rPr>
        <w:t xml:space="preserve">ймов </w:t>
      </w:r>
      <w:r w:rsidRPr="001352F9">
        <w:rPr>
          <w:sz w:val="28"/>
          <w:szCs w:val="28"/>
        </w:rPr>
        <w:t xml:space="preserve">и кончая возможностью шире привлекать иностранные инвестиции, не говоря уже о праве региональных администраций и национальных компаний также получить международный кредитный рейтинг. Однако международное доверие, оказываемое стране в результате присвоения ей рейтинга, имеет и обратную сторону, связанную с повышением ответственности: он ставит страну под жесткий контроль со стороны мирового инвестиционного и финансового сообщества в плане выбора и успешности реализации разумного хозяйственного курса. </w:t>
      </w:r>
    </w:p>
    <w:p w:rsidR="005B3078" w:rsidRPr="001352F9" w:rsidRDefault="005B3078" w:rsidP="001352F9">
      <w:pPr>
        <w:spacing w:line="360" w:lineRule="auto"/>
        <w:ind w:firstLine="709"/>
        <w:jc w:val="both"/>
        <w:rPr>
          <w:sz w:val="28"/>
          <w:szCs w:val="28"/>
        </w:rPr>
      </w:pPr>
      <w:r w:rsidRPr="001352F9">
        <w:rPr>
          <w:sz w:val="28"/>
          <w:szCs w:val="28"/>
        </w:rPr>
        <w:t>Юридический механизм регулирования требований кредиторов к должнику-государству до сих пор не выработан. Предлагаемый МВФ механизм реструктуризации суверенного долга предоставляет стране-должнику право обратиться в фонд с просьбой о временной отсрочке его выплаты. Если фонд согласится, то в течение этого времени страна-должник сможет провести переговоры со своими кредиторами об изменении расписания выплат или о реструктуризации [4].</w:t>
      </w:r>
    </w:p>
    <w:p w:rsidR="00CD689C" w:rsidRPr="001352F9" w:rsidRDefault="00CD689C" w:rsidP="001352F9">
      <w:pPr>
        <w:spacing w:line="360" w:lineRule="auto"/>
        <w:ind w:firstLine="709"/>
        <w:jc w:val="both"/>
        <w:rPr>
          <w:rStyle w:val="paragraph"/>
          <w:sz w:val="28"/>
          <w:szCs w:val="28"/>
        </w:rPr>
      </w:pPr>
      <w:r w:rsidRPr="001352F9">
        <w:rPr>
          <w:rStyle w:val="paragraph"/>
          <w:sz w:val="28"/>
          <w:szCs w:val="28"/>
        </w:rPr>
        <w:t>Согласно исследованиям, посвященным суверенным дефолтам, которые было проведено р</w:t>
      </w:r>
      <w:r w:rsidR="00363045" w:rsidRPr="001352F9">
        <w:rPr>
          <w:rStyle w:val="paragraph"/>
          <w:sz w:val="28"/>
          <w:szCs w:val="28"/>
        </w:rPr>
        <w:t>ейтинго</w:t>
      </w:r>
      <w:r w:rsidRPr="001352F9">
        <w:rPr>
          <w:rStyle w:val="paragraph"/>
          <w:sz w:val="28"/>
          <w:szCs w:val="28"/>
        </w:rPr>
        <w:t>вым</w:t>
      </w:r>
      <w:r w:rsidR="00363045" w:rsidRPr="001352F9">
        <w:rPr>
          <w:rStyle w:val="paragraph"/>
          <w:sz w:val="28"/>
          <w:szCs w:val="28"/>
        </w:rPr>
        <w:t xml:space="preserve"> агентство</w:t>
      </w:r>
      <w:r w:rsidRPr="001352F9">
        <w:rPr>
          <w:rStyle w:val="paragraph"/>
          <w:sz w:val="28"/>
          <w:szCs w:val="28"/>
        </w:rPr>
        <w:t>м</w:t>
      </w:r>
      <w:r w:rsidR="00363045" w:rsidRPr="001352F9">
        <w:rPr>
          <w:rStyle w:val="paragraph"/>
          <w:sz w:val="28"/>
          <w:szCs w:val="28"/>
        </w:rPr>
        <w:t xml:space="preserve"> Moody’</w:t>
      </w:r>
      <w:r w:rsidR="00363045" w:rsidRPr="001352F9">
        <w:rPr>
          <w:rStyle w:val="paragraph"/>
          <w:sz w:val="28"/>
          <w:szCs w:val="28"/>
          <w:lang w:val="en-US"/>
        </w:rPr>
        <w:t>s</w:t>
      </w:r>
      <w:r w:rsidR="007B43DD" w:rsidRPr="001352F9">
        <w:rPr>
          <w:rStyle w:val="paragraph"/>
          <w:sz w:val="28"/>
          <w:szCs w:val="28"/>
        </w:rPr>
        <w:t xml:space="preserve">, в 2006 году дефолт по еврооблигациям объявила всего одна страна мира </w:t>
      </w:r>
      <w:r w:rsidR="00363045" w:rsidRPr="001352F9">
        <w:rPr>
          <w:rStyle w:val="paragraph"/>
          <w:sz w:val="28"/>
          <w:szCs w:val="28"/>
        </w:rPr>
        <w:t>–</w:t>
      </w:r>
      <w:r w:rsidR="007B43DD" w:rsidRPr="001352F9">
        <w:rPr>
          <w:rStyle w:val="paragraph"/>
          <w:sz w:val="28"/>
          <w:szCs w:val="28"/>
        </w:rPr>
        <w:t xml:space="preserve"> Белиз. В целом</w:t>
      </w:r>
      <w:r w:rsidR="00363045" w:rsidRPr="001352F9">
        <w:rPr>
          <w:rStyle w:val="paragraph"/>
          <w:sz w:val="28"/>
          <w:szCs w:val="28"/>
        </w:rPr>
        <w:t>,</w:t>
      </w:r>
      <w:r w:rsidR="007B43DD" w:rsidRPr="001352F9">
        <w:rPr>
          <w:rStyle w:val="paragraph"/>
          <w:sz w:val="28"/>
          <w:szCs w:val="28"/>
        </w:rPr>
        <w:t xml:space="preserve"> состояние гос</w:t>
      </w:r>
      <w:r w:rsidR="00363045" w:rsidRPr="001352F9">
        <w:rPr>
          <w:rStyle w:val="paragraph"/>
          <w:sz w:val="28"/>
          <w:szCs w:val="28"/>
        </w:rPr>
        <w:t xml:space="preserve">ударственных </w:t>
      </w:r>
      <w:r w:rsidR="007B43DD" w:rsidRPr="001352F9">
        <w:rPr>
          <w:rStyle w:val="paragraph"/>
          <w:sz w:val="28"/>
          <w:szCs w:val="28"/>
        </w:rPr>
        <w:t>финансов в мире по 103 суверенным заемщикам, считает агентство, является наилучшим за последние го</w:t>
      </w:r>
      <w:r w:rsidR="00363045" w:rsidRPr="001352F9">
        <w:rPr>
          <w:rStyle w:val="paragraph"/>
          <w:sz w:val="28"/>
          <w:szCs w:val="28"/>
        </w:rPr>
        <w:t>ды, причем Moody’</w:t>
      </w:r>
      <w:r w:rsidR="007B43DD" w:rsidRPr="001352F9">
        <w:rPr>
          <w:rStyle w:val="paragraph"/>
          <w:sz w:val="28"/>
          <w:szCs w:val="28"/>
        </w:rPr>
        <w:t>s повысило в 2006 году рейтинг 19 суверенных заемщиков и понизило лишь двух</w:t>
      </w:r>
      <w:r w:rsidR="004A0FFC" w:rsidRPr="001352F9">
        <w:rPr>
          <w:rStyle w:val="paragraph"/>
          <w:sz w:val="28"/>
          <w:szCs w:val="28"/>
        </w:rPr>
        <w:t>.</w:t>
      </w:r>
      <w:r w:rsidR="008C06B6" w:rsidRPr="001352F9">
        <w:rPr>
          <w:rStyle w:val="paragraph"/>
          <w:sz w:val="28"/>
          <w:szCs w:val="28"/>
        </w:rPr>
        <w:t xml:space="preserve"> </w:t>
      </w:r>
    </w:p>
    <w:p w:rsidR="007D2F17" w:rsidRDefault="007D2F17" w:rsidP="001352F9">
      <w:pPr>
        <w:spacing w:line="360" w:lineRule="auto"/>
        <w:ind w:firstLine="709"/>
        <w:jc w:val="both"/>
        <w:rPr>
          <w:sz w:val="28"/>
          <w:szCs w:val="28"/>
        </w:rPr>
      </w:pPr>
      <w:r w:rsidRPr="001352F9">
        <w:rPr>
          <w:sz w:val="28"/>
          <w:szCs w:val="28"/>
        </w:rPr>
        <w:t xml:space="preserve">Как следует из расчетов Moody’s, дефолт </w:t>
      </w:r>
      <w:r w:rsidR="000F7774" w:rsidRPr="001352F9">
        <w:rPr>
          <w:sz w:val="28"/>
          <w:szCs w:val="28"/>
        </w:rPr>
        <w:t>Украины</w:t>
      </w:r>
      <w:r w:rsidRPr="001352F9">
        <w:rPr>
          <w:sz w:val="28"/>
          <w:szCs w:val="28"/>
        </w:rPr>
        <w:t xml:space="preserve"> в </w:t>
      </w:r>
      <w:r w:rsidR="000F7774" w:rsidRPr="001352F9">
        <w:rPr>
          <w:sz w:val="28"/>
          <w:szCs w:val="28"/>
        </w:rPr>
        <w:t>2000</w:t>
      </w:r>
      <w:r w:rsidRPr="001352F9">
        <w:rPr>
          <w:sz w:val="28"/>
          <w:szCs w:val="28"/>
        </w:rPr>
        <w:t xml:space="preserve"> году был </w:t>
      </w:r>
      <w:r w:rsidR="000F7774" w:rsidRPr="001352F9">
        <w:rPr>
          <w:sz w:val="28"/>
          <w:szCs w:val="28"/>
        </w:rPr>
        <w:t xml:space="preserve">не самым </w:t>
      </w:r>
      <w:r w:rsidRPr="001352F9">
        <w:rPr>
          <w:sz w:val="28"/>
          <w:szCs w:val="28"/>
        </w:rPr>
        <w:t>чувствитель</w:t>
      </w:r>
      <w:r w:rsidR="000F7774" w:rsidRPr="001352F9">
        <w:rPr>
          <w:sz w:val="28"/>
          <w:szCs w:val="28"/>
        </w:rPr>
        <w:t>ным</w:t>
      </w:r>
      <w:r w:rsidRPr="001352F9">
        <w:rPr>
          <w:sz w:val="28"/>
          <w:szCs w:val="28"/>
        </w:rPr>
        <w:t xml:space="preserve"> для инвесторов. Аналитики Moody’s сравнивают средние котировки еврооблигаций, по которым предъявлялся дефолт, в течение 30 следующих дней после объявления дефолта:</w:t>
      </w:r>
      <w:r w:rsidR="000F7774" w:rsidRPr="001352F9">
        <w:rPr>
          <w:sz w:val="28"/>
          <w:szCs w:val="28"/>
        </w:rPr>
        <w:t xml:space="preserve"> например,</w:t>
      </w:r>
      <w:r w:rsidRPr="001352F9">
        <w:rPr>
          <w:sz w:val="28"/>
          <w:szCs w:val="28"/>
        </w:rPr>
        <w:t xml:space="preserve"> с точки зрения институциональных инвесторов, отказ Аргентины от обслуживания внешне</w:t>
      </w:r>
      <w:r w:rsidR="0028456C" w:rsidRPr="001352F9">
        <w:rPr>
          <w:sz w:val="28"/>
          <w:szCs w:val="28"/>
        </w:rPr>
        <w:t>го долга в 2001 году был</w:t>
      </w:r>
      <w:r w:rsidRPr="001352F9">
        <w:rPr>
          <w:sz w:val="28"/>
          <w:szCs w:val="28"/>
        </w:rPr>
        <w:t xml:space="preserve"> менее болезненным, чем в России тремя годами раньше, а так плохо платил инвесторам лишь Кот-д’Ивуар</w:t>
      </w:r>
      <w:r w:rsidR="008827BA" w:rsidRPr="001352F9">
        <w:rPr>
          <w:sz w:val="28"/>
          <w:szCs w:val="28"/>
        </w:rPr>
        <w:t xml:space="preserve"> (рис. 1):</w:t>
      </w:r>
    </w:p>
    <w:p w:rsidR="0028456C" w:rsidRPr="001352F9" w:rsidRDefault="001352F9" w:rsidP="001352F9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FA0DDD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25pt;height:179.25pt" o:bordertopcolor="this" o:borderleftcolor="this" o:borderbottomcolor="this" o:borderrightcolor="this">
            <v:imagedata r:id="rId5" o:title="" gain="1.25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1352F9" w:rsidRDefault="00A00BAC" w:rsidP="001352F9">
      <w:pPr>
        <w:spacing w:line="360" w:lineRule="auto"/>
        <w:ind w:firstLine="709"/>
        <w:jc w:val="both"/>
        <w:rPr>
          <w:sz w:val="28"/>
          <w:szCs w:val="28"/>
        </w:rPr>
      </w:pPr>
      <w:r w:rsidRPr="001352F9">
        <w:rPr>
          <w:sz w:val="28"/>
          <w:szCs w:val="28"/>
        </w:rPr>
        <w:t xml:space="preserve">Рис. 1. </w:t>
      </w:r>
      <w:r w:rsidR="00480118" w:rsidRPr="001352F9">
        <w:rPr>
          <w:sz w:val="28"/>
          <w:szCs w:val="28"/>
        </w:rPr>
        <w:t>Ставки еврооблигаций</w:t>
      </w:r>
      <w:r w:rsidR="00F31130" w:rsidRPr="001352F9">
        <w:rPr>
          <w:sz w:val="28"/>
          <w:szCs w:val="28"/>
        </w:rPr>
        <w:t xml:space="preserve"> стран</w:t>
      </w:r>
      <w:r w:rsidR="00480118" w:rsidRPr="001352F9">
        <w:rPr>
          <w:sz w:val="28"/>
          <w:szCs w:val="28"/>
        </w:rPr>
        <w:t xml:space="preserve"> при дефолте</w:t>
      </w:r>
      <w:r w:rsidR="008827BA" w:rsidRPr="001352F9">
        <w:rPr>
          <w:sz w:val="28"/>
          <w:szCs w:val="28"/>
        </w:rPr>
        <w:t xml:space="preserve"> [3]</w:t>
      </w:r>
    </w:p>
    <w:p w:rsidR="001352F9" w:rsidRDefault="001352F9" w:rsidP="001352F9">
      <w:pPr>
        <w:spacing w:line="360" w:lineRule="auto"/>
        <w:ind w:firstLine="709"/>
        <w:jc w:val="both"/>
        <w:rPr>
          <w:sz w:val="28"/>
          <w:szCs w:val="28"/>
        </w:rPr>
      </w:pPr>
    </w:p>
    <w:p w:rsidR="00B065D4" w:rsidRPr="001352F9" w:rsidRDefault="00795ECC" w:rsidP="001352F9">
      <w:pPr>
        <w:spacing w:line="360" w:lineRule="auto"/>
        <w:ind w:firstLine="709"/>
        <w:jc w:val="center"/>
        <w:rPr>
          <w:i/>
          <w:sz w:val="28"/>
          <w:szCs w:val="28"/>
          <w:lang w:val="uk-UA"/>
        </w:rPr>
      </w:pPr>
      <w:r w:rsidRPr="001352F9">
        <w:rPr>
          <w:sz w:val="28"/>
          <w:szCs w:val="28"/>
        </w:rPr>
        <w:br w:type="page"/>
      </w:r>
      <w:r w:rsidR="00B065D4" w:rsidRPr="001352F9">
        <w:rPr>
          <w:b/>
          <w:i/>
          <w:sz w:val="28"/>
          <w:szCs w:val="28"/>
        </w:rPr>
        <w:t>Литература</w:t>
      </w:r>
    </w:p>
    <w:p w:rsidR="004C51F5" w:rsidRPr="001352F9" w:rsidRDefault="004C51F5" w:rsidP="001352F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56BC7" w:rsidRPr="001352F9" w:rsidRDefault="00795ECC" w:rsidP="001352F9">
      <w:pPr>
        <w:spacing w:line="360" w:lineRule="auto"/>
        <w:jc w:val="both"/>
        <w:rPr>
          <w:sz w:val="28"/>
          <w:szCs w:val="28"/>
        </w:rPr>
      </w:pPr>
      <w:r w:rsidRPr="001352F9">
        <w:rPr>
          <w:sz w:val="28"/>
          <w:szCs w:val="28"/>
        </w:rPr>
        <w:t xml:space="preserve">1. </w:t>
      </w:r>
      <w:r w:rsidR="00601303" w:rsidRPr="001352F9">
        <w:rPr>
          <w:sz w:val="28"/>
          <w:szCs w:val="28"/>
        </w:rPr>
        <w:t xml:space="preserve">Альшанский Л. </w:t>
      </w:r>
      <w:r w:rsidR="00601303" w:rsidRPr="001352F9">
        <w:rPr>
          <w:iCs/>
          <w:sz w:val="28"/>
          <w:szCs w:val="28"/>
        </w:rPr>
        <w:t>Возможен ли американский</w:t>
      </w:r>
      <w:r w:rsidR="00DA56D4" w:rsidRPr="001352F9">
        <w:rPr>
          <w:iCs/>
          <w:sz w:val="28"/>
          <w:szCs w:val="28"/>
        </w:rPr>
        <w:t xml:space="preserve"> дефолт</w:t>
      </w:r>
      <w:r w:rsidR="00A836E6" w:rsidRPr="001352F9">
        <w:rPr>
          <w:iCs/>
          <w:sz w:val="28"/>
          <w:szCs w:val="28"/>
        </w:rPr>
        <w:t>?</w:t>
      </w:r>
      <w:r w:rsidR="008964BE" w:rsidRPr="001352F9">
        <w:rPr>
          <w:sz w:val="28"/>
          <w:szCs w:val="28"/>
        </w:rPr>
        <w:t xml:space="preserve"> //</w:t>
      </w:r>
      <w:r w:rsidR="00601303" w:rsidRPr="001352F9">
        <w:rPr>
          <w:sz w:val="28"/>
          <w:szCs w:val="28"/>
        </w:rPr>
        <w:t xml:space="preserve"> Рынок цен</w:t>
      </w:r>
      <w:r w:rsidR="004B2189" w:rsidRPr="001352F9">
        <w:rPr>
          <w:sz w:val="28"/>
          <w:szCs w:val="28"/>
        </w:rPr>
        <w:t xml:space="preserve">ных бумаг. – </w:t>
      </w:r>
      <w:r w:rsidR="00601303" w:rsidRPr="001352F9">
        <w:rPr>
          <w:sz w:val="28"/>
          <w:szCs w:val="28"/>
        </w:rPr>
        <w:t>2003</w:t>
      </w:r>
      <w:r w:rsidR="008964BE" w:rsidRPr="001352F9">
        <w:rPr>
          <w:sz w:val="28"/>
          <w:szCs w:val="28"/>
        </w:rPr>
        <w:t>.</w:t>
      </w:r>
      <w:r w:rsidR="00601303" w:rsidRPr="001352F9">
        <w:rPr>
          <w:sz w:val="28"/>
          <w:szCs w:val="28"/>
        </w:rPr>
        <w:t xml:space="preserve"> </w:t>
      </w:r>
      <w:r w:rsidR="008964BE" w:rsidRPr="001352F9">
        <w:rPr>
          <w:sz w:val="28"/>
          <w:szCs w:val="28"/>
        </w:rPr>
        <w:t>– №</w:t>
      </w:r>
      <w:r w:rsidR="00601303" w:rsidRPr="001352F9">
        <w:rPr>
          <w:sz w:val="28"/>
          <w:szCs w:val="28"/>
        </w:rPr>
        <w:t xml:space="preserve"> 5</w:t>
      </w:r>
      <w:r w:rsidR="00DA56D4" w:rsidRPr="001352F9">
        <w:rPr>
          <w:sz w:val="28"/>
          <w:szCs w:val="28"/>
        </w:rPr>
        <w:t>.</w:t>
      </w:r>
      <w:r w:rsidR="00601303" w:rsidRPr="001352F9">
        <w:rPr>
          <w:sz w:val="28"/>
          <w:szCs w:val="28"/>
        </w:rPr>
        <w:t xml:space="preserve"> (</w:t>
      </w:r>
      <w:r w:rsidR="008964BE" w:rsidRPr="00414D0E">
        <w:rPr>
          <w:sz w:val="28"/>
          <w:szCs w:val="28"/>
        </w:rPr>
        <w:t>http://www.rcb.ru/Archive/articlesrcb.asp?aid=3196</w:t>
      </w:r>
      <w:r w:rsidR="00601303" w:rsidRPr="001352F9">
        <w:rPr>
          <w:sz w:val="28"/>
          <w:szCs w:val="28"/>
        </w:rPr>
        <w:t>)</w:t>
      </w:r>
    </w:p>
    <w:p w:rsidR="008964BE" w:rsidRPr="001352F9" w:rsidRDefault="00795ECC" w:rsidP="001352F9">
      <w:pPr>
        <w:spacing w:line="360" w:lineRule="auto"/>
        <w:jc w:val="both"/>
        <w:rPr>
          <w:sz w:val="28"/>
          <w:szCs w:val="28"/>
        </w:rPr>
      </w:pPr>
      <w:r w:rsidRPr="001352F9">
        <w:rPr>
          <w:sz w:val="28"/>
          <w:szCs w:val="28"/>
        </w:rPr>
        <w:t xml:space="preserve">2. </w:t>
      </w:r>
      <w:r w:rsidR="008964BE" w:rsidRPr="001352F9">
        <w:rPr>
          <w:sz w:val="28"/>
          <w:szCs w:val="28"/>
        </w:rPr>
        <w:t xml:space="preserve">Малыгин В., Смородинская Н. </w:t>
      </w:r>
      <w:r w:rsidR="008964BE" w:rsidRPr="001352F9">
        <w:rPr>
          <w:iCs/>
          <w:sz w:val="28"/>
          <w:szCs w:val="28"/>
        </w:rPr>
        <w:t>Рейтинговая индустрия и международные рейтинговые агентства</w:t>
      </w:r>
      <w:r w:rsidR="004B2189" w:rsidRPr="001352F9">
        <w:rPr>
          <w:sz w:val="28"/>
          <w:szCs w:val="28"/>
        </w:rPr>
        <w:t xml:space="preserve"> // Банковские услуги. –</w:t>
      </w:r>
      <w:r w:rsidR="008964BE" w:rsidRPr="001352F9">
        <w:rPr>
          <w:sz w:val="28"/>
          <w:szCs w:val="28"/>
        </w:rPr>
        <w:t xml:space="preserve"> 1998. – № 4</w:t>
      </w:r>
      <w:r w:rsidR="00541FA5" w:rsidRPr="001352F9">
        <w:rPr>
          <w:sz w:val="28"/>
          <w:szCs w:val="28"/>
        </w:rPr>
        <w:t>. – С. 9-15.</w:t>
      </w:r>
    </w:p>
    <w:p w:rsidR="00292969" w:rsidRPr="001352F9" w:rsidRDefault="00D455CC" w:rsidP="001352F9">
      <w:pPr>
        <w:spacing w:line="360" w:lineRule="auto"/>
        <w:jc w:val="both"/>
        <w:rPr>
          <w:sz w:val="28"/>
          <w:szCs w:val="28"/>
          <w:lang w:val="uk-UA"/>
        </w:rPr>
      </w:pPr>
      <w:r w:rsidRPr="00FB7EA3">
        <w:rPr>
          <w:sz w:val="28"/>
          <w:szCs w:val="28"/>
        </w:rPr>
        <w:t>3</w:t>
      </w:r>
      <w:r w:rsidR="003503B5" w:rsidRPr="001352F9">
        <w:rPr>
          <w:sz w:val="28"/>
          <w:szCs w:val="28"/>
        </w:rPr>
        <w:t xml:space="preserve">. Мониторинг: дефолты // </w:t>
      </w:r>
      <w:r w:rsidR="003503B5" w:rsidRPr="001352F9">
        <w:rPr>
          <w:sz w:val="28"/>
          <w:szCs w:val="28"/>
          <w:lang w:val="uk-UA"/>
        </w:rPr>
        <w:t>Коммерсант</w:t>
      </w:r>
      <w:r w:rsidR="003503B5" w:rsidRPr="001352F9">
        <w:rPr>
          <w:sz w:val="28"/>
          <w:szCs w:val="28"/>
        </w:rPr>
        <w:t>ъ</w:t>
      </w:r>
      <w:r w:rsidR="003503B5" w:rsidRPr="001352F9">
        <w:rPr>
          <w:sz w:val="28"/>
          <w:szCs w:val="28"/>
          <w:lang w:val="uk-UA"/>
        </w:rPr>
        <w:t xml:space="preserve">. </w:t>
      </w:r>
      <w:r w:rsidR="00FB37F8" w:rsidRPr="001352F9">
        <w:rPr>
          <w:sz w:val="28"/>
          <w:szCs w:val="28"/>
          <w:lang w:val="uk-UA"/>
        </w:rPr>
        <w:t>–</w:t>
      </w:r>
      <w:r w:rsidR="003503B5" w:rsidRPr="001352F9">
        <w:rPr>
          <w:sz w:val="28"/>
          <w:szCs w:val="28"/>
          <w:lang w:val="uk-UA"/>
        </w:rPr>
        <w:t xml:space="preserve"> </w:t>
      </w:r>
      <w:r w:rsidR="00E52F33" w:rsidRPr="001352F9">
        <w:rPr>
          <w:sz w:val="28"/>
          <w:szCs w:val="28"/>
          <w:lang w:val="uk-UA"/>
        </w:rPr>
        <w:t xml:space="preserve">2007. – </w:t>
      </w:r>
      <w:r w:rsidR="003503B5" w:rsidRPr="001352F9">
        <w:rPr>
          <w:sz w:val="28"/>
          <w:szCs w:val="28"/>
          <w:lang w:val="uk-UA"/>
        </w:rPr>
        <w:t>№100(3676). (</w:t>
      </w:r>
      <w:r w:rsidR="00292969" w:rsidRPr="00414D0E">
        <w:rPr>
          <w:sz w:val="28"/>
          <w:szCs w:val="28"/>
          <w:lang w:val="en-US"/>
        </w:rPr>
        <w:t>http</w:t>
      </w:r>
      <w:r w:rsidR="00292969" w:rsidRPr="00414D0E">
        <w:rPr>
          <w:sz w:val="28"/>
          <w:szCs w:val="28"/>
        </w:rPr>
        <w:t>://</w:t>
      </w:r>
      <w:r w:rsidR="00292969" w:rsidRPr="00414D0E">
        <w:rPr>
          <w:sz w:val="28"/>
          <w:szCs w:val="28"/>
          <w:lang w:val="en-US"/>
        </w:rPr>
        <w:t>www</w:t>
      </w:r>
      <w:r w:rsidR="00292969" w:rsidRPr="00414D0E">
        <w:rPr>
          <w:sz w:val="28"/>
          <w:szCs w:val="28"/>
        </w:rPr>
        <w:t>.</w:t>
      </w:r>
      <w:r w:rsidR="00292969" w:rsidRPr="00414D0E">
        <w:rPr>
          <w:sz w:val="28"/>
          <w:szCs w:val="28"/>
          <w:lang w:val="en-US"/>
        </w:rPr>
        <w:t>kommersant</w:t>
      </w:r>
      <w:r w:rsidR="00292969" w:rsidRPr="00414D0E">
        <w:rPr>
          <w:sz w:val="28"/>
          <w:szCs w:val="28"/>
        </w:rPr>
        <w:t>.</w:t>
      </w:r>
      <w:r w:rsidR="00292969" w:rsidRPr="00414D0E">
        <w:rPr>
          <w:sz w:val="28"/>
          <w:szCs w:val="28"/>
          <w:lang w:val="en-US"/>
        </w:rPr>
        <w:t>ru</w:t>
      </w:r>
      <w:r w:rsidR="003503B5" w:rsidRPr="001352F9">
        <w:rPr>
          <w:sz w:val="28"/>
          <w:szCs w:val="28"/>
          <w:lang w:val="uk-UA"/>
        </w:rPr>
        <w:t>)</w:t>
      </w:r>
    </w:p>
    <w:p w:rsidR="00292969" w:rsidRPr="001352F9" w:rsidRDefault="00D455CC" w:rsidP="001352F9">
      <w:pPr>
        <w:spacing w:line="360" w:lineRule="auto"/>
        <w:jc w:val="both"/>
        <w:rPr>
          <w:sz w:val="28"/>
          <w:szCs w:val="28"/>
        </w:rPr>
      </w:pPr>
      <w:r w:rsidRPr="001352F9">
        <w:rPr>
          <w:sz w:val="28"/>
          <w:szCs w:val="28"/>
        </w:rPr>
        <w:t>4</w:t>
      </w:r>
      <w:r w:rsidR="0044316B" w:rsidRPr="001352F9">
        <w:rPr>
          <w:sz w:val="28"/>
          <w:szCs w:val="28"/>
          <w:lang w:val="uk-UA"/>
        </w:rPr>
        <w:t>. Рубцо</w:t>
      </w:r>
      <w:r w:rsidR="00292969" w:rsidRPr="001352F9">
        <w:rPr>
          <w:sz w:val="28"/>
          <w:szCs w:val="28"/>
          <w:lang w:val="uk-UA"/>
        </w:rPr>
        <w:t xml:space="preserve">в Б. </w:t>
      </w:r>
      <w:r w:rsidR="00292969" w:rsidRPr="001352F9">
        <w:rPr>
          <w:bCs/>
          <w:sz w:val="28"/>
          <w:szCs w:val="28"/>
        </w:rPr>
        <w:t xml:space="preserve">Управляемый дефолт </w:t>
      </w:r>
      <w:r w:rsidR="0068394B" w:rsidRPr="001352F9">
        <w:rPr>
          <w:bCs/>
          <w:sz w:val="28"/>
          <w:szCs w:val="28"/>
        </w:rPr>
        <w:t xml:space="preserve">// </w:t>
      </w:r>
      <w:r w:rsidR="00F40147" w:rsidRPr="001352F9">
        <w:rPr>
          <w:sz w:val="28"/>
          <w:szCs w:val="28"/>
        </w:rPr>
        <w:t>Эксперт. – 2002. – №1-2(309)</w:t>
      </w:r>
      <w:r w:rsidR="004C672D" w:rsidRPr="001352F9">
        <w:rPr>
          <w:sz w:val="28"/>
          <w:szCs w:val="28"/>
        </w:rPr>
        <w:t>.</w:t>
      </w:r>
      <w:r w:rsidR="00292969" w:rsidRPr="001352F9">
        <w:rPr>
          <w:sz w:val="28"/>
          <w:szCs w:val="28"/>
        </w:rPr>
        <w:t xml:space="preserve"> (</w:t>
      </w:r>
      <w:r w:rsidR="00136BB0" w:rsidRPr="00414D0E">
        <w:rPr>
          <w:sz w:val="28"/>
          <w:szCs w:val="28"/>
          <w:lang w:val="en-US"/>
        </w:rPr>
        <w:t>http</w:t>
      </w:r>
      <w:r w:rsidR="00136BB0" w:rsidRPr="00414D0E">
        <w:rPr>
          <w:sz w:val="28"/>
          <w:szCs w:val="28"/>
        </w:rPr>
        <w:t>://</w:t>
      </w:r>
      <w:r w:rsidR="00136BB0" w:rsidRPr="00414D0E">
        <w:rPr>
          <w:sz w:val="28"/>
          <w:szCs w:val="28"/>
          <w:lang w:val="en-US"/>
        </w:rPr>
        <w:t>www</w:t>
      </w:r>
      <w:r w:rsidR="00136BB0" w:rsidRPr="00414D0E">
        <w:rPr>
          <w:sz w:val="28"/>
          <w:szCs w:val="28"/>
        </w:rPr>
        <w:t>.</w:t>
      </w:r>
      <w:r w:rsidR="00136BB0" w:rsidRPr="00414D0E">
        <w:rPr>
          <w:sz w:val="28"/>
          <w:szCs w:val="28"/>
          <w:lang w:val="en-US"/>
        </w:rPr>
        <w:t>expert</w:t>
      </w:r>
      <w:r w:rsidR="00136BB0" w:rsidRPr="00414D0E">
        <w:rPr>
          <w:sz w:val="28"/>
          <w:szCs w:val="28"/>
        </w:rPr>
        <w:t>.</w:t>
      </w:r>
      <w:r w:rsidR="00136BB0" w:rsidRPr="00414D0E">
        <w:rPr>
          <w:sz w:val="28"/>
          <w:szCs w:val="28"/>
          <w:lang w:val="en-US"/>
        </w:rPr>
        <w:t>ru</w:t>
      </w:r>
      <w:r w:rsidR="00136BB0" w:rsidRPr="00414D0E">
        <w:rPr>
          <w:sz w:val="28"/>
          <w:szCs w:val="28"/>
        </w:rPr>
        <w:t>/</w:t>
      </w:r>
      <w:r w:rsidR="00136BB0" w:rsidRPr="00414D0E">
        <w:rPr>
          <w:sz w:val="28"/>
          <w:szCs w:val="28"/>
          <w:lang w:val="en-US"/>
        </w:rPr>
        <w:t>printissues</w:t>
      </w:r>
      <w:r w:rsidR="00136BB0" w:rsidRPr="00414D0E">
        <w:rPr>
          <w:sz w:val="28"/>
          <w:szCs w:val="28"/>
        </w:rPr>
        <w:t>/</w:t>
      </w:r>
      <w:r w:rsidR="00136BB0" w:rsidRPr="00414D0E">
        <w:rPr>
          <w:sz w:val="28"/>
          <w:szCs w:val="28"/>
          <w:lang w:val="en-US"/>
        </w:rPr>
        <w:t>expert</w:t>
      </w:r>
      <w:r w:rsidR="00136BB0" w:rsidRPr="00414D0E">
        <w:rPr>
          <w:sz w:val="28"/>
          <w:szCs w:val="28"/>
        </w:rPr>
        <w:t>/2002/01</w:t>
      </w:r>
      <w:r w:rsidR="00292969" w:rsidRPr="001352F9">
        <w:rPr>
          <w:sz w:val="28"/>
          <w:szCs w:val="28"/>
        </w:rPr>
        <w:t>)</w:t>
      </w:r>
    </w:p>
    <w:p w:rsidR="00E91016" w:rsidRPr="001352F9" w:rsidRDefault="00136BB0" w:rsidP="001352F9">
      <w:pPr>
        <w:spacing w:line="360" w:lineRule="auto"/>
        <w:jc w:val="both"/>
        <w:rPr>
          <w:sz w:val="28"/>
          <w:szCs w:val="28"/>
        </w:rPr>
      </w:pPr>
      <w:r w:rsidRPr="001352F9">
        <w:rPr>
          <w:sz w:val="28"/>
          <w:szCs w:val="28"/>
        </w:rPr>
        <w:t xml:space="preserve">5. Лобанов А. Энциклопедия финансового риск-менеджмента. </w:t>
      </w:r>
      <w:r w:rsidR="00E0360B" w:rsidRPr="001352F9">
        <w:rPr>
          <w:sz w:val="28"/>
          <w:szCs w:val="28"/>
        </w:rPr>
        <w:t>– М., 2006. – 878 с.</w:t>
      </w:r>
      <w:r w:rsidR="00CE00EC" w:rsidRPr="001352F9">
        <w:rPr>
          <w:sz w:val="28"/>
          <w:szCs w:val="28"/>
        </w:rPr>
        <w:t xml:space="preserve"> (</w:t>
      </w:r>
      <w:r w:rsidR="00E91016" w:rsidRPr="00414D0E">
        <w:rPr>
          <w:sz w:val="28"/>
          <w:szCs w:val="28"/>
          <w:lang w:val="en-US"/>
        </w:rPr>
        <w:t>http</w:t>
      </w:r>
      <w:r w:rsidR="00E91016" w:rsidRPr="00414D0E">
        <w:rPr>
          <w:sz w:val="28"/>
          <w:szCs w:val="28"/>
        </w:rPr>
        <w:t>://</w:t>
      </w:r>
      <w:r w:rsidR="00E91016" w:rsidRPr="00414D0E">
        <w:rPr>
          <w:sz w:val="28"/>
          <w:szCs w:val="28"/>
          <w:lang w:val="en-US"/>
        </w:rPr>
        <w:t>bizbook</w:t>
      </w:r>
      <w:r w:rsidR="00E91016" w:rsidRPr="00414D0E">
        <w:rPr>
          <w:sz w:val="28"/>
          <w:szCs w:val="28"/>
        </w:rPr>
        <w:t>/</w:t>
      </w:r>
      <w:r w:rsidR="00E91016" w:rsidRPr="00414D0E">
        <w:rPr>
          <w:sz w:val="28"/>
          <w:szCs w:val="28"/>
          <w:lang w:val="en-US"/>
        </w:rPr>
        <w:t>listing</w:t>
      </w:r>
      <w:r w:rsidR="00E91016" w:rsidRPr="00414D0E">
        <w:rPr>
          <w:sz w:val="28"/>
          <w:szCs w:val="28"/>
        </w:rPr>
        <w:t>.</w:t>
      </w:r>
      <w:r w:rsidR="00E91016" w:rsidRPr="00414D0E">
        <w:rPr>
          <w:sz w:val="28"/>
          <w:szCs w:val="28"/>
          <w:lang w:val="en-US"/>
        </w:rPr>
        <w:t>php</w:t>
      </w:r>
      <w:r w:rsidR="00E91016" w:rsidRPr="00414D0E">
        <w:rPr>
          <w:sz w:val="28"/>
          <w:szCs w:val="28"/>
        </w:rPr>
        <w:t>?</w:t>
      </w:r>
      <w:r w:rsidR="00E91016" w:rsidRPr="00414D0E">
        <w:rPr>
          <w:sz w:val="28"/>
          <w:szCs w:val="28"/>
          <w:lang w:val="en-US"/>
        </w:rPr>
        <w:t>book</w:t>
      </w:r>
      <w:r w:rsidR="00E91016" w:rsidRPr="00414D0E">
        <w:rPr>
          <w:sz w:val="28"/>
          <w:szCs w:val="28"/>
        </w:rPr>
        <w:t>_</w:t>
      </w:r>
      <w:r w:rsidR="00E91016" w:rsidRPr="00414D0E">
        <w:rPr>
          <w:sz w:val="28"/>
          <w:szCs w:val="28"/>
          <w:lang w:val="en-US"/>
        </w:rPr>
        <w:t>id</w:t>
      </w:r>
      <w:r w:rsidR="00E91016" w:rsidRPr="00414D0E">
        <w:rPr>
          <w:sz w:val="28"/>
          <w:szCs w:val="28"/>
        </w:rPr>
        <w:t>=23451&amp;</w:t>
      </w:r>
      <w:r w:rsidR="00E91016" w:rsidRPr="00414D0E">
        <w:rPr>
          <w:sz w:val="28"/>
          <w:szCs w:val="28"/>
          <w:lang w:val="en-US"/>
        </w:rPr>
        <w:t>page</w:t>
      </w:r>
      <w:r w:rsidR="00E91016" w:rsidRPr="00414D0E">
        <w:rPr>
          <w:sz w:val="28"/>
          <w:szCs w:val="28"/>
        </w:rPr>
        <w:t>_</w:t>
      </w:r>
      <w:r w:rsidR="00E91016" w:rsidRPr="00414D0E">
        <w:rPr>
          <w:sz w:val="28"/>
          <w:szCs w:val="28"/>
          <w:lang w:val="en-US"/>
        </w:rPr>
        <w:t>num</w:t>
      </w:r>
      <w:r w:rsidR="00E91016" w:rsidRPr="00414D0E">
        <w:rPr>
          <w:sz w:val="28"/>
          <w:szCs w:val="28"/>
        </w:rPr>
        <w:t>=388</w:t>
      </w:r>
      <w:r w:rsidR="00DB442F" w:rsidRPr="001352F9">
        <w:rPr>
          <w:sz w:val="28"/>
          <w:szCs w:val="28"/>
        </w:rPr>
        <w:t>)</w:t>
      </w:r>
      <w:bookmarkStart w:id="2" w:name="_GoBack"/>
      <w:bookmarkEnd w:id="2"/>
    </w:p>
    <w:sectPr w:rsidR="00E91016" w:rsidRPr="001352F9" w:rsidSect="001352F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B605C"/>
    <w:multiLevelType w:val="hybridMultilevel"/>
    <w:tmpl w:val="22403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518"/>
    <w:rsid w:val="00022029"/>
    <w:rsid w:val="000307DE"/>
    <w:rsid w:val="00056B8E"/>
    <w:rsid w:val="00086F76"/>
    <w:rsid w:val="000B5F94"/>
    <w:rsid w:val="000F3219"/>
    <w:rsid w:val="000F7774"/>
    <w:rsid w:val="00107A05"/>
    <w:rsid w:val="00114C03"/>
    <w:rsid w:val="00124A15"/>
    <w:rsid w:val="00131F73"/>
    <w:rsid w:val="00131FA2"/>
    <w:rsid w:val="001352F9"/>
    <w:rsid w:val="00136BB0"/>
    <w:rsid w:val="00152518"/>
    <w:rsid w:val="0017500D"/>
    <w:rsid w:val="00183C9A"/>
    <w:rsid w:val="00183EE9"/>
    <w:rsid w:val="001E2962"/>
    <w:rsid w:val="001F33BB"/>
    <w:rsid w:val="002463E1"/>
    <w:rsid w:val="00251491"/>
    <w:rsid w:val="0028456C"/>
    <w:rsid w:val="00287378"/>
    <w:rsid w:val="00292969"/>
    <w:rsid w:val="002A2F06"/>
    <w:rsid w:val="002B5EAD"/>
    <w:rsid w:val="002D45EB"/>
    <w:rsid w:val="002F4229"/>
    <w:rsid w:val="00305D09"/>
    <w:rsid w:val="00325343"/>
    <w:rsid w:val="003337B7"/>
    <w:rsid w:val="00337A5A"/>
    <w:rsid w:val="003503B5"/>
    <w:rsid w:val="00363045"/>
    <w:rsid w:val="00373B9F"/>
    <w:rsid w:val="00393587"/>
    <w:rsid w:val="003937AA"/>
    <w:rsid w:val="003A2AAD"/>
    <w:rsid w:val="003C661E"/>
    <w:rsid w:val="003E4232"/>
    <w:rsid w:val="003E7A16"/>
    <w:rsid w:val="00414D0E"/>
    <w:rsid w:val="0044316B"/>
    <w:rsid w:val="00450494"/>
    <w:rsid w:val="00455E52"/>
    <w:rsid w:val="00456BC7"/>
    <w:rsid w:val="0047455E"/>
    <w:rsid w:val="00480118"/>
    <w:rsid w:val="00490168"/>
    <w:rsid w:val="004A0FFC"/>
    <w:rsid w:val="004B2189"/>
    <w:rsid w:val="004C51F5"/>
    <w:rsid w:val="004C672D"/>
    <w:rsid w:val="004F1EAA"/>
    <w:rsid w:val="00541FA5"/>
    <w:rsid w:val="005660FD"/>
    <w:rsid w:val="00567B1A"/>
    <w:rsid w:val="0057228E"/>
    <w:rsid w:val="00576799"/>
    <w:rsid w:val="0058093A"/>
    <w:rsid w:val="005825F8"/>
    <w:rsid w:val="005A2182"/>
    <w:rsid w:val="005B3078"/>
    <w:rsid w:val="005D7FA6"/>
    <w:rsid w:val="00601303"/>
    <w:rsid w:val="00606C79"/>
    <w:rsid w:val="006151CB"/>
    <w:rsid w:val="0063271E"/>
    <w:rsid w:val="0065126A"/>
    <w:rsid w:val="00651430"/>
    <w:rsid w:val="00656B98"/>
    <w:rsid w:val="00661E54"/>
    <w:rsid w:val="0068394B"/>
    <w:rsid w:val="006C5011"/>
    <w:rsid w:val="00705364"/>
    <w:rsid w:val="007210DF"/>
    <w:rsid w:val="007240AC"/>
    <w:rsid w:val="00730D46"/>
    <w:rsid w:val="007438C1"/>
    <w:rsid w:val="007538E5"/>
    <w:rsid w:val="00782EED"/>
    <w:rsid w:val="00795ECC"/>
    <w:rsid w:val="007B43DD"/>
    <w:rsid w:val="007D2F17"/>
    <w:rsid w:val="007D5C79"/>
    <w:rsid w:val="007E01E9"/>
    <w:rsid w:val="008116E9"/>
    <w:rsid w:val="008355A8"/>
    <w:rsid w:val="00843C69"/>
    <w:rsid w:val="008827BA"/>
    <w:rsid w:val="00895205"/>
    <w:rsid w:val="008964BE"/>
    <w:rsid w:val="00896B52"/>
    <w:rsid w:val="008B59AA"/>
    <w:rsid w:val="008C06B6"/>
    <w:rsid w:val="008D2276"/>
    <w:rsid w:val="008F5E92"/>
    <w:rsid w:val="009113DF"/>
    <w:rsid w:val="009367BD"/>
    <w:rsid w:val="009448CD"/>
    <w:rsid w:val="00985302"/>
    <w:rsid w:val="0099125C"/>
    <w:rsid w:val="009C09CF"/>
    <w:rsid w:val="009F33D6"/>
    <w:rsid w:val="00A00BAC"/>
    <w:rsid w:val="00A223EF"/>
    <w:rsid w:val="00A34084"/>
    <w:rsid w:val="00A47E65"/>
    <w:rsid w:val="00A51628"/>
    <w:rsid w:val="00A521B1"/>
    <w:rsid w:val="00A6164A"/>
    <w:rsid w:val="00A70ABF"/>
    <w:rsid w:val="00A836E6"/>
    <w:rsid w:val="00AF3E3D"/>
    <w:rsid w:val="00B065D4"/>
    <w:rsid w:val="00B10F5B"/>
    <w:rsid w:val="00B163B7"/>
    <w:rsid w:val="00B1763E"/>
    <w:rsid w:val="00B23C76"/>
    <w:rsid w:val="00B35914"/>
    <w:rsid w:val="00B3794F"/>
    <w:rsid w:val="00B518B7"/>
    <w:rsid w:val="00B55C44"/>
    <w:rsid w:val="00B858E2"/>
    <w:rsid w:val="00BD1AA7"/>
    <w:rsid w:val="00BD67BB"/>
    <w:rsid w:val="00BD6FDB"/>
    <w:rsid w:val="00C2658F"/>
    <w:rsid w:val="00C57818"/>
    <w:rsid w:val="00C57A84"/>
    <w:rsid w:val="00C74B3E"/>
    <w:rsid w:val="00C928E7"/>
    <w:rsid w:val="00CA2862"/>
    <w:rsid w:val="00CD689C"/>
    <w:rsid w:val="00CE00EC"/>
    <w:rsid w:val="00D20A06"/>
    <w:rsid w:val="00D455CC"/>
    <w:rsid w:val="00D53822"/>
    <w:rsid w:val="00D90426"/>
    <w:rsid w:val="00D93195"/>
    <w:rsid w:val="00D94092"/>
    <w:rsid w:val="00D97938"/>
    <w:rsid w:val="00DA56D4"/>
    <w:rsid w:val="00DB442F"/>
    <w:rsid w:val="00DF3DBE"/>
    <w:rsid w:val="00DF5081"/>
    <w:rsid w:val="00E0360B"/>
    <w:rsid w:val="00E47B02"/>
    <w:rsid w:val="00E47BD5"/>
    <w:rsid w:val="00E52F33"/>
    <w:rsid w:val="00E73A54"/>
    <w:rsid w:val="00E85C78"/>
    <w:rsid w:val="00E91016"/>
    <w:rsid w:val="00EA2948"/>
    <w:rsid w:val="00EF2E95"/>
    <w:rsid w:val="00EF741E"/>
    <w:rsid w:val="00F056D0"/>
    <w:rsid w:val="00F31130"/>
    <w:rsid w:val="00F40147"/>
    <w:rsid w:val="00F6112A"/>
    <w:rsid w:val="00F64A75"/>
    <w:rsid w:val="00F77051"/>
    <w:rsid w:val="00F77E90"/>
    <w:rsid w:val="00FA0DDD"/>
    <w:rsid w:val="00FB37F8"/>
    <w:rsid w:val="00FB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BC55E977-2BA0-47C1-80D0-F01E82FD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52518"/>
    <w:pPr>
      <w:spacing w:before="100" w:beforeAutospacing="1" w:after="100" w:afterAutospacing="1"/>
      <w:ind w:left="73" w:right="73"/>
    </w:pPr>
  </w:style>
  <w:style w:type="character" w:styleId="a4">
    <w:name w:val="Hyperlink"/>
    <w:uiPriority w:val="99"/>
    <w:rsid w:val="007B43DD"/>
    <w:rPr>
      <w:rFonts w:cs="Times New Roman"/>
      <w:color w:val="006697"/>
      <w:u w:val="single"/>
    </w:rPr>
  </w:style>
  <w:style w:type="character" w:customStyle="1" w:styleId="title21">
    <w:name w:val="title21"/>
    <w:rsid w:val="007B43DD"/>
    <w:rPr>
      <w:rFonts w:cs="Times New Roman"/>
      <w:b/>
      <w:bCs/>
      <w:color w:val="000000"/>
      <w:sz w:val="29"/>
      <w:szCs w:val="29"/>
    </w:rPr>
  </w:style>
  <w:style w:type="character" w:customStyle="1" w:styleId="paragraph">
    <w:name w:val="paragraph"/>
    <w:rsid w:val="007B43DD"/>
    <w:rPr>
      <w:rFonts w:cs="Times New Roman"/>
    </w:rPr>
  </w:style>
  <w:style w:type="character" w:customStyle="1" w:styleId="dvd1">
    <w:name w:val="dvd1"/>
    <w:rsid w:val="00456BC7"/>
    <w:rPr>
      <w:rFonts w:ascii="Arial" w:hAnsi="Arial" w:cs="Arial"/>
      <w:color w:val="C0C0C0"/>
    </w:rPr>
  </w:style>
  <w:style w:type="paragraph" w:customStyle="1" w:styleId="text20">
    <w:name w:val="text20"/>
    <w:basedOn w:val="a"/>
    <w:rsid w:val="00456BC7"/>
    <w:pPr>
      <w:spacing w:after="216" w:line="312" w:lineRule="auto"/>
    </w:pPr>
    <w:rPr>
      <w:rFonts w:ascii="Arial" w:hAnsi="Arial" w:cs="Arial"/>
      <w:sz w:val="18"/>
      <w:szCs w:val="18"/>
    </w:rPr>
  </w:style>
  <w:style w:type="paragraph" w:customStyle="1" w:styleId="magnum1">
    <w:name w:val="magnum1"/>
    <w:basedOn w:val="a"/>
    <w:rsid w:val="00456BC7"/>
    <w:pPr>
      <w:spacing w:after="48"/>
    </w:pPr>
    <w:rPr>
      <w:rFonts w:ascii="Arial" w:hAnsi="Arial" w:cs="Arial"/>
      <w:color w:val="808080"/>
      <w:sz w:val="17"/>
      <w:szCs w:val="17"/>
    </w:rPr>
  </w:style>
  <w:style w:type="paragraph" w:customStyle="1" w:styleId="src1">
    <w:name w:val="src1"/>
    <w:basedOn w:val="a"/>
    <w:rsid w:val="00456BC7"/>
    <w:pPr>
      <w:spacing w:after="312"/>
    </w:pPr>
    <w:rPr>
      <w:rFonts w:ascii="Arial" w:hAnsi="Arial" w:cs="Arial"/>
      <w:color w:val="000000"/>
      <w:sz w:val="18"/>
      <w:szCs w:val="18"/>
    </w:rPr>
  </w:style>
  <w:style w:type="character" w:customStyle="1" w:styleId="buk1">
    <w:name w:val="buk1"/>
    <w:rsid w:val="00456BC7"/>
    <w:rPr>
      <w:rFonts w:ascii="Arial" w:hAnsi="Arial" w:cs="Arial"/>
      <w:b/>
      <w:bCs/>
      <w:color w:val="FFFFFF"/>
      <w:sz w:val="89"/>
      <w:szCs w:val="89"/>
      <w:shd w:val="clear" w:color="auto" w:fill="C0C0C0"/>
    </w:rPr>
  </w:style>
  <w:style w:type="character" w:styleId="a5">
    <w:name w:val="FollowedHyperlink"/>
    <w:uiPriority w:val="99"/>
    <w:rsid w:val="003503B5"/>
    <w:rPr>
      <w:rFonts w:cs="Times New Roman"/>
      <w:color w:val="800080"/>
      <w:u w:val="single"/>
    </w:rPr>
  </w:style>
  <w:style w:type="table" w:styleId="a6">
    <w:name w:val="Table Grid"/>
    <w:basedOn w:val="a1"/>
    <w:uiPriority w:val="59"/>
    <w:rsid w:val="001352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7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0662">
          <w:marLeft w:val="2655"/>
          <w:marRight w:val="0"/>
          <w:marTop w:val="82"/>
          <w:marBottom w:val="61"/>
          <w:divBdr>
            <w:top w:val="none" w:sz="0" w:space="1" w:color="E6F0F5"/>
            <w:left w:val="none" w:sz="0" w:space="5" w:color="E6F0F5"/>
            <w:bottom w:val="none" w:sz="0" w:space="1" w:color="E6F0F5"/>
            <w:right w:val="single" w:sz="18" w:space="3" w:color="E6F0F5"/>
          </w:divBdr>
        </w:div>
        <w:div w:id="545070663">
          <w:marLeft w:val="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0669">
              <w:marLeft w:val="0"/>
              <w:marRight w:val="0"/>
              <w:marTop w:val="0"/>
              <w:marBottom w:val="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70667">
          <w:marLeft w:val="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7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7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7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2854</Words>
  <Characters>16273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ДЕФОЛТ – нарушение платежных обязательств заемщика перед кредитором, неспособность производить своевременные выплаты по долговым обязательствам или выполнять иные условия договора займа</vt:lpstr>
    </vt:vector>
  </TitlesOfParts>
  <Company>Samsung Electronics</Company>
  <LinksUpToDate>false</LinksUpToDate>
  <CharactersWithSpaces>19089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ДЕФОЛТ – нарушение платежных обязательств заемщика перед кредитором, неспособность производить своевременные выплаты по долговым обязательствам или выполнять иные условия договора займа</dc:title>
  <dc:subject/>
  <dc:creator>SEC</dc:creator>
  <cp:keywords/>
  <dc:description/>
  <cp:lastModifiedBy>Irina</cp:lastModifiedBy>
  <cp:revision>2</cp:revision>
  <dcterms:created xsi:type="dcterms:W3CDTF">2014-08-10T08:48:00Z</dcterms:created>
  <dcterms:modified xsi:type="dcterms:W3CDTF">2014-08-10T08:48:00Z</dcterms:modified>
</cp:coreProperties>
</file>