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90" w:rsidRPr="00E91481" w:rsidRDefault="00B67F90" w:rsidP="00B67F90">
      <w:pPr>
        <w:spacing w:before="120"/>
        <w:jc w:val="center"/>
        <w:rPr>
          <w:b/>
          <w:bCs/>
          <w:sz w:val="32"/>
          <w:szCs w:val="32"/>
        </w:rPr>
      </w:pPr>
      <w:r w:rsidRPr="00E91481">
        <w:rPr>
          <w:b/>
          <w:bCs/>
          <w:sz w:val="32"/>
          <w:szCs w:val="32"/>
        </w:rPr>
        <w:t>Требования к эффективности противошумов</w:t>
      </w:r>
    </w:p>
    <w:p w:rsidR="00B67F90" w:rsidRPr="00E91481" w:rsidRDefault="00B67F90" w:rsidP="00B67F90">
      <w:pPr>
        <w:spacing w:before="120"/>
        <w:jc w:val="center"/>
        <w:rPr>
          <w:sz w:val="28"/>
          <w:szCs w:val="28"/>
        </w:rPr>
      </w:pPr>
      <w:r w:rsidRPr="00E91481">
        <w:rPr>
          <w:sz w:val="28"/>
          <w:szCs w:val="28"/>
        </w:rPr>
        <w:t>Н. Алимов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Принято считать, что с возрастом неизбежно происходит потеря слуха. Действительно, звукопроводящая система теряет способность к колебаниям, а вместе с этим и способность к проведению звука. Однако, естественное, возрастное ослабление слуха значительно усугубляется вследствие длительной звуковой нагрузки среды обитания человека. Значительную часть звуковой нагрузки человек получает, как правило, на производстве.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В большинстве случаев надежно защитить человека в условиях производства возможно только с помощью индивидуальных средств защиты от шума - противошумов. Однако противошумы должны обеспечивать не только надежную защиту, но более или менее комфортные и безопасные условия их применения.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Работник, обслуживающий ту или иную технику, не должен быть полностью изолирован от производственной акустической среды. В условиях повышенного шума на слух контролируют работу оборудования, прослушивают ту или иную информацию, в любой момент работник должен услышать сигнал, оповещающий о какой-либо опасности.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Требования к эффективности противошумов сформулированы в ГОСТ 12.4.051 "Средства индивидуальной защиты. Общие технические требования и методы испытаний". Требования к эффективности достаточно высокие, от 5-10 дБ в области частот 125-250 Гц до 30-32 дБ в области частот 4000 - 8000 Гц для противошумов группы Б.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Чтобы сформулировать необходимые и целесообразные требования к эффективности противошумов необходимо знать масштабы и уровни предельно допустимых величин шума на производстве.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В свое время, в Московском институте охраны труда была проведена работа по уточнению обобщенных требований к величинам звукового заглушения (эффективности) противошумов.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С этой целью был проведен анализ результатов измерений уровней шума в октавных полосах наиболее характерного "шумного" оборудования. Анализ охватывал результаты измерений на предприятиях машиностроения, металлургии, деревообработки, текстильной и легкой, электромеханической, радиотехнической, пищевой отраслей промышленности, а также на рабочих местах в кабинах строительных и дорожных машин. В каждой октавной полосе нормируемого диапазона частот был вычислен коэффициент частоты превышения нормативных значений шума. Результаты, полученные для 218 видов различного оборудования, приведены в таблице 1.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Таблица 1.</w:t>
      </w:r>
    </w:p>
    <w:tbl>
      <w:tblPr>
        <w:tblW w:w="7950" w:type="dxa"/>
        <w:tblCellSpacing w:w="0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09"/>
        <w:gridCol w:w="858"/>
        <w:gridCol w:w="858"/>
        <w:gridCol w:w="859"/>
        <w:gridCol w:w="859"/>
        <w:gridCol w:w="859"/>
        <w:gridCol w:w="859"/>
        <w:gridCol w:w="859"/>
        <w:gridCol w:w="630"/>
      </w:tblGrid>
      <w:tr w:rsidR="00B67F90" w:rsidRPr="00A0437A" w:rsidTr="00CD70CB">
        <w:trPr>
          <w:trHeight w:val="330"/>
          <w:tblCellSpacing w:w="0" w:type="dxa"/>
        </w:trPr>
        <w:tc>
          <w:tcPr>
            <w:tcW w:w="8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Показатель </w:t>
            </w:r>
          </w:p>
        </w:tc>
        <w:tc>
          <w:tcPr>
            <w:tcW w:w="4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Среднегеометрические частоты октавных полос, Гц </w:t>
            </w:r>
          </w:p>
        </w:tc>
      </w:tr>
      <w:tr w:rsidR="00B67F90" w:rsidRPr="00A0437A" w:rsidTr="00CD70CB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63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125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250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500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1000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2000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4000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8000 </w:t>
            </w:r>
          </w:p>
        </w:tc>
      </w:tr>
      <w:tr w:rsidR="00B67F90" w:rsidRPr="00A0437A" w:rsidTr="00CD70CB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Ni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64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133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183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190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187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168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152 </w:t>
            </w:r>
          </w:p>
        </w:tc>
      </w:tr>
      <w:tr w:rsidR="00B67F90" w:rsidRPr="00A0437A" w:rsidTr="00CD70CB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Ki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0,08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0,29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0,61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0,83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0,87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0,85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0,77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0,69 </w:t>
            </w:r>
          </w:p>
        </w:tc>
      </w:tr>
    </w:tbl>
    <w:p w:rsidR="00B67F90" w:rsidRPr="00A0437A" w:rsidRDefault="00B67F90" w:rsidP="00B67F90">
      <w:pPr>
        <w:spacing w:before="120"/>
        <w:ind w:firstLine="567"/>
        <w:jc w:val="both"/>
      </w:pPr>
      <w:r w:rsidRPr="00A0437A">
        <w:t>Ni - число случаев превышения нормативного значения в данной полосе частот.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Ki - коэффициент частоты превышения нормативных значений.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По данным таблицы 1 можно сделать два важных для практической цели заключения: почти не встречаются случаи превышения нормативных значений в полосе со средней частотой 63 Гц.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Следовательно, К эффективности противошумов на этой частоте можно не устанавливать, что в конечном итоге приводит к существенному уменьшению массы и габарита противошумов; противошумы должны обеспечивать защиту в диапазоне частот 250-8000 Гц, где значения К. сравнительно близкие и находятся в пределах 0,61-0,87. Максимум коэффициента частоты превышений приходится на диапазон от 500 до 2000 Гц.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Сделанные заключения позволяют сформировать некоторые качественные требования к противошумам. Однако их следует дополнить обоснованием необходимой абсолютной величины эффективности в нормируемом диапазоне частот (далее полоса 63 Гц не рассматривается). Полученные результаты измерений были разбиты на две группы: А - больших превышений, когда нормативные уровни в одной нескольких полосах частот превышаются на 15 дБ и более, и Б - "средних" (до 15 дБ). Как оказалось, превышения, относящиеся к группе Б, составили более 80 процентов. Это говорит о том, что для основной группы работающих необходимы противошумы с эффективностью, отвечающей требованиям группы Б.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Таблица 2.</w:t>
      </w:r>
    </w:p>
    <w:tbl>
      <w:tblPr>
        <w:tblW w:w="7950" w:type="dxa"/>
        <w:tblCellSpacing w:w="0" w:type="dxa"/>
        <w:tblInd w:w="-68" w:type="dxa"/>
        <w:tblBorders>
          <w:top w:val="outset" w:sz="6" w:space="0" w:color="003300"/>
          <w:left w:val="outset" w:sz="6" w:space="0" w:color="003300"/>
          <w:bottom w:val="outset" w:sz="6" w:space="0" w:color="003300"/>
          <w:right w:val="outset" w:sz="6" w:space="0" w:color="0033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94"/>
        <w:gridCol w:w="71"/>
        <w:gridCol w:w="926"/>
        <w:gridCol w:w="38"/>
        <w:gridCol w:w="887"/>
        <w:gridCol w:w="146"/>
        <w:gridCol w:w="779"/>
        <w:gridCol w:w="254"/>
        <w:gridCol w:w="671"/>
        <w:gridCol w:w="363"/>
        <w:gridCol w:w="564"/>
        <w:gridCol w:w="469"/>
        <w:gridCol w:w="458"/>
        <w:gridCol w:w="576"/>
        <w:gridCol w:w="278"/>
        <w:gridCol w:w="110"/>
        <w:gridCol w:w="110"/>
        <w:gridCol w:w="110"/>
        <w:gridCol w:w="110"/>
        <w:gridCol w:w="110"/>
        <w:gridCol w:w="126"/>
      </w:tblGrid>
      <w:tr w:rsidR="00B67F90" w:rsidRPr="00A0437A" w:rsidTr="00CD70CB">
        <w:trPr>
          <w:trHeight w:val="330"/>
          <w:tblCellSpacing w:w="0" w:type="dxa"/>
        </w:trPr>
        <w:tc>
          <w:tcPr>
            <w:tcW w:w="543" w:type="pct"/>
            <w:gridSpan w:val="2"/>
            <w:vMerge w:val="restart"/>
            <w:tcBorders>
              <w:top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9999FF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Группа </w:t>
            </w:r>
          </w:p>
        </w:tc>
        <w:tc>
          <w:tcPr>
            <w:tcW w:w="0" w:type="auto"/>
            <w:gridSpan w:val="19"/>
            <w:tcBorders>
              <w:top w:val="outset" w:sz="6" w:space="0" w:color="003300"/>
              <w:left w:val="outset" w:sz="6" w:space="0" w:color="003300"/>
              <w:bottom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Среднегеометрические частоты октавных полос, Гц </w:t>
            </w:r>
          </w:p>
        </w:tc>
      </w:tr>
      <w:tr w:rsidR="00B67F90" w:rsidRPr="00A043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</w:p>
        </w:tc>
        <w:tc>
          <w:tcPr>
            <w:tcW w:w="582" w:type="pct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125 </w:t>
            </w:r>
          </w:p>
        </w:tc>
        <w:tc>
          <w:tcPr>
            <w:tcW w:w="582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250 </w:t>
            </w:r>
          </w:p>
        </w:tc>
        <w:tc>
          <w:tcPr>
            <w:tcW w:w="582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500 </w:t>
            </w:r>
          </w:p>
        </w:tc>
        <w:tc>
          <w:tcPr>
            <w:tcW w:w="582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1000 </w:t>
            </w:r>
          </w:p>
        </w:tc>
        <w:tc>
          <w:tcPr>
            <w:tcW w:w="583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2000 </w:t>
            </w:r>
          </w:p>
        </w:tc>
        <w:tc>
          <w:tcPr>
            <w:tcW w:w="583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4000 </w:t>
            </w:r>
          </w:p>
        </w:tc>
        <w:tc>
          <w:tcPr>
            <w:tcW w:w="537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8000 </w:t>
            </w:r>
          </w:p>
        </w:tc>
        <w:tc>
          <w:tcPr>
            <w:tcW w:w="0" w:type="auto"/>
            <w:vAlign w:val="center"/>
          </w:tcPr>
          <w:p w:rsidR="00B67F90" w:rsidRPr="00A0437A" w:rsidRDefault="00B67F90" w:rsidP="00CD70CB">
            <w:pPr>
              <w:jc w:val="both"/>
            </w:pPr>
          </w:p>
        </w:tc>
        <w:tc>
          <w:tcPr>
            <w:tcW w:w="0" w:type="auto"/>
            <w:vAlign w:val="center"/>
          </w:tcPr>
          <w:p w:rsidR="00B67F90" w:rsidRPr="00A0437A" w:rsidRDefault="00B67F90" w:rsidP="00CD70CB">
            <w:pPr>
              <w:jc w:val="both"/>
            </w:pPr>
          </w:p>
        </w:tc>
        <w:tc>
          <w:tcPr>
            <w:tcW w:w="0" w:type="auto"/>
            <w:vAlign w:val="center"/>
          </w:tcPr>
          <w:p w:rsidR="00B67F90" w:rsidRPr="00A0437A" w:rsidRDefault="00B67F90" w:rsidP="00CD70CB">
            <w:pPr>
              <w:jc w:val="both"/>
            </w:pPr>
          </w:p>
        </w:tc>
        <w:tc>
          <w:tcPr>
            <w:tcW w:w="0" w:type="auto"/>
            <w:vAlign w:val="center"/>
          </w:tcPr>
          <w:p w:rsidR="00B67F90" w:rsidRPr="00A0437A" w:rsidRDefault="00B67F90" w:rsidP="00CD70CB">
            <w:pPr>
              <w:jc w:val="both"/>
            </w:pPr>
          </w:p>
        </w:tc>
        <w:tc>
          <w:tcPr>
            <w:tcW w:w="0" w:type="auto"/>
            <w:vAlign w:val="center"/>
          </w:tcPr>
          <w:p w:rsidR="00B67F90" w:rsidRPr="00A0437A" w:rsidRDefault="00B67F90" w:rsidP="00CD70CB">
            <w:pPr>
              <w:jc w:val="both"/>
            </w:pPr>
          </w:p>
        </w:tc>
        <w:tc>
          <w:tcPr>
            <w:tcW w:w="0" w:type="auto"/>
            <w:vAlign w:val="center"/>
          </w:tcPr>
          <w:p w:rsidR="00B67F90" w:rsidRPr="00A0437A" w:rsidRDefault="00B67F90" w:rsidP="00CD70CB">
            <w:pPr>
              <w:jc w:val="both"/>
            </w:pPr>
          </w:p>
        </w:tc>
      </w:tr>
      <w:tr w:rsidR="00B67F90" w:rsidRPr="00A0437A" w:rsidTr="00CD70CB">
        <w:trPr>
          <w:tblCellSpacing w:w="0" w:type="dxa"/>
        </w:trPr>
        <w:tc>
          <w:tcPr>
            <w:tcW w:w="499" w:type="pct"/>
            <w:tcBorders>
              <w:top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CCCCFF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А </w:t>
            </w:r>
          </w:p>
        </w:tc>
        <w:tc>
          <w:tcPr>
            <w:tcW w:w="650" w:type="pct"/>
            <w:gridSpan w:val="3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10,4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(6,9-12,9)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16,0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(13,3-18,1)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19,2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(17,9-20,4)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20,7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(19,4-27,0)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22,6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(20,2-26,9)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20,4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(19,1-25,2) </w:t>
            </w:r>
          </w:p>
        </w:tc>
        <w:tc>
          <w:tcPr>
            <w:tcW w:w="600" w:type="pct"/>
            <w:gridSpan w:val="7"/>
            <w:tcBorders>
              <w:top w:val="outset" w:sz="6" w:space="0" w:color="003300"/>
              <w:left w:val="outset" w:sz="6" w:space="0" w:color="003300"/>
              <w:bottom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18,8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16,3-20,0) </w:t>
            </w:r>
          </w:p>
        </w:tc>
      </w:tr>
      <w:tr w:rsidR="00B67F90" w:rsidRPr="00A0437A" w:rsidTr="00CD70CB">
        <w:trPr>
          <w:tblCellSpacing w:w="0" w:type="dxa"/>
        </w:trPr>
        <w:tc>
          <w:tcPr>
            <w:tcW w:w="499" w:type="pct"/>
            <w:tcBorders>
              <w:top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CCCCFF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 xml:space="preserve">Б </w:t>
            </w:r>
          </w:p>
        </w:tc>
        <w:tc>
          <w:tcPr>
            <w:tcW w:w="650" w:type="pct"/>
            <w:gridSpan w:val="3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3,0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2,1-3,7)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9,0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(8,0-9,9)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12,7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(11,9-13,5)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14,5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(13,7-15,3)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14,4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(13,2-15,2) </w:t>
            </w:r>
          </w:p>
        </w:tc>
        <w:tc>
          <w:tcPr>
            <w:tcW w:w="650" w:type="pct"/>
            <w:gridSpan w:val="2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14,0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(13,1-14,9) </w:t>
            </w:r>
          </w:p>
        </w:tc>
        <w:tc>
          <w:tcPr>
            <w:tcW w:w="600" w:type="pct"/>
            <w:gridSpan w:val="7"/>
            <w:tcBorders>
              <w:top w:val="outset" w:sz="6" w:space="0" w:color="003300"/>
              <w:left w:val="outset" w:sz="6" w:space="0" w:color="003300"/>
              <w:bottom w:val="outset" w:sz="6" w:space="0" w:color="003300"/>
            </w:tcBorders>
            <w:shd w:val="clear" w:color="auto" w:fill="FFFFCC"/>
            <w:vAlign w:val="center"/>
          </w:tcPr>
          <w:p w:rsidR="00B67F90" w:rsidRPr="00A0437A" w:rsidRDefault="00B67F90" w:rsidP="00CD70CB">
            <w:pPr>
              <w:jc w:val="both"/>
            </w:pPr>
            <w:r w:rsidRPr="00A0437A">
              <w:t>13,0</w:t>
            </w:r>
          </w:p>
          <w:p w:rsidR="00B67F90" w:rsidRPr="00A0437A" w:rsidRDefault="00B67F90" w:rsidP="00CD70CB">
            <w:pPr>
              <w:jc w:val="both"/>
            </w:pPr>
            <w:r w:rsidRPr="00A0437A">
              <w:t xml:space="preserve">(12,4-14,7) </w:t>
            </w:r>
          </w:p>
        </w:tc>
      </w:tr>
    </w:tbl>
    <w:p w:rsidR="00B67F90" w:rsidRPr="00A0437A" w:rsidRDefault="00B67F90" w:rsidP="00B67F90">
      <w:pPr>
        <w:spacing w:before="120"/>
        <w:ind w:firstLine="567"/>
        <w:jc w:val="both"/>
      </w:pPr>
      <w:r w:rsidRPr="00A0437A">
        <w:t>По данным, представленным в таблице 2, можно сформулировать требования к абсолютным значениям эффективности противошумов в диапазоне частот 125 - 8000 Гц, взяв в качестве исходных требований средние или максимальные значения превышений соответственно для групп А и Б.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Сравнивая требования эффективности, рассчитанные на основании реальных значений шумовых характеристик производств, с требованиями, регламентированными ныне действующим ГОСТ 12.4.051 - 87, можно сказать, что требования заложенные в действующем ГОСТе к группам А, Б, В необоснованно завышены. С одной стороны, имея противошумы с высокой эффективностью, можно заранее быть уверенными в том, что они во всех случаях обеспечат необходимую защиту. С другой стороны, нужно учитывать, что большие масса, габариты и усилия прижатия, характерные для противошумов с высокой эффективностью, значительно снижают их эксплуатационные показатели. Естественно, необходимо иметь противошумы, эффективность которых достаточно высока как в низкочастотном, так и в высокочастотном диапазонах. В отдельных случаях достаточно иметь совсем небольшую эффективность, порядка 5-8 дБ. Но основные усилия разработчиков и производителей должны быть направлены на создание и выпуск противошумов средней эффективности с показателями, позволяющими применять их самым требовательным пользователям в условиях любых производств. В соответствии с планом государственной стандартизации в России разработано шесть стандартов на противошумы, гармонизированных с европейскими стандартами.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 xml:space="preserve">ГОСТ Р 12.4.208-9 "ССБТ. СИЗ органа слуха. Наушники, Общие технические требования" 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 xml:space="preserve">ГОСТ Р 12.4.209-99 "ССБТ. СИЗ органа слуха. Вкладыши. Общие технические требования" 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 xml:space="preserve">ГОСТ Р 12.4.210-99 "ССБТ. СИЗ органа слуха. Противошумные наушники, смонтированные с защитной каской. Общие технические требования". 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 xml:space="preserve">ГОСТ Р 12.4.211-99 "ССБТ. СИЗ органа слуха. Противошумы. Субъективный метод измерения поглощения звука". 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 xml:space="preserve">ГОСТ Р 12.4.212-99 "ССБТ. СИЗ органа слуха. Противошумы. Оценка результирующего значения А-корректированного уровня звукового давления при использовании средств индивидуальной защиты" 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 xml:space="preserve">ГОСТ Р 12.4.213-99 "ССБТ. СИЗ органа слуха. Противошумы. Упрощенный метод измерения акустической эффективности противошумных наушников для оценки качества" 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Основанием для разработки стандартов послужило обобщение использованного в России и странах Европы накопленного опыта стандартизации средств индивидуальной защиты и необходимость уточнения ряда требований к защитным и эксплуатационным показателям и методам их контроля. В стандартах сформулированы основные определения и термины, касающиеся противошумных наушников, вкладышей и наушников, смонтированных на защитных касках. Стандарты устанавливают требования к акустической эффективности противошумов, усилию прижатия к околоушной области, устойчивости к повреждению при падении, влагоустойчивости, воспламеняемости, гибкости оголовья, к размерам и маркировке.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Для всех требований описана процедура испытаний, аппаратура и конструкции испытательных устройств.</w:t>
      </w:r>
    </w:p>
    <w:p w:rsidR="00B67F90" w:rsidRPr="00A0437A" w:rsidRDefault="00B67F90" w:rsidP="00B67F90">
      <w:pPr>
        <w:spacing w:before="120"/>
        <w:ind w:firstLine="567"/>
        <w:jc w:val="both"/>
      </w:pPr>
      <w:r w:rsidRPr="00A0437A">
        <w:t>Интересно, что требования к эффективности противошумов в этих стандартах в значительной степени отражают требования необходимой эффективности для большинства обследованных производств, уровни шума которых превышают предельно-допустимые нормы (от 3 до 14 дБ).</w:t>
      </w:r>
    </w:p>
    <w:p w:rsidR="00B67F90" w:rsidRDefault="00B67F90" w:rsidP="00B67F90">
      <w:pPr>
        <w:spacing w:before="120"/>
        <w:ind w:firstLine="567"/>
        <w:jc w:val="both"/>
      </w:pPr>
      <w:r w:rsidRPr="00A0437A">
        <w:t>Основным методом определения эффективности противошумов остается субъективный метод, при котором приемником акустического сигнала является орган слуха человека. Акустическая эффективность противошумов определяется на основе установления бинауральных порогов слышимости человека с противошумом и без него в условиях диффузного поля сигналом розового шума отфильтрованного в третьеоктавных полосах со среднегеометрическими частотами 125,250,500, 1000,2000,4000,8000 Гц.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F90"/>
    <w:rsid w:val="00414902"/>
    <w:rsid w:val="00640A67"/>
    <w:rsid w:val="00A0437A"/>
    <w:rsid w:val="00B67F90"/>
    <w:rsid w:val="00CD70CB"/>
    <w:rsid w:val="00E56B44"/>
    <w:rsid w:val="00E9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11B1E8-A2F2-401A-8D06-9CA98319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9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7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5113</Words>
  <Characters>2915</Characters>
  <Application>Microsoft Office Word</Application>
  <DocSecurity>0</DocSecurity>
  <Lines>24</Lines>
  <Paragraphs>16</Paragraphs>
  <ScaleCrop>false</ScaleCrop>
  <Company>Home</Company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эффективности противошумов</dc:title>
  <dc:subject/>
  <dc:creator>User</dc:creator>
  <cp:keywords/>
  <dc:description/>
  <cp:lastModifiedBy>admin</cp:lastModifiedBy>
  <cp:revision>2</cp:revision>
  <dcterms:created xsi:type="dcterms:W3CDTF">2014-01-25T17:44:00Z</dcterms:created>
  <dcterms:modified xsi:type="dcterms:W3CDTF">2014-01-25T17:44:00Z</dcterms:modified>
</cp:coreProperties>
</file>