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E79DC" w:rsidRPr="00427261" w:rsidRDefault="008E79DC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2B96" w:rsidRPr="00427261" w:rsidRDefault="00AA6EA8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Реферат: Экспансия </w:t>
      </w:r>
      <w:r w:rsidR="00E22B96" w:rsidRPr="0042726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НАТО</w:t>
      </w:r>
      <w:r w:rsidRPr="0042726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на Ближний и Средний Восток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2B96" w:rsidRPr="00427261" w:rsidRDefault="00C106BB" w:rsidP="00C106B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E22B96"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Ближний Восток продолжает оставаться напряженной зоной на политической карте мира. Отрицательная энергия многих процессов, уходящих корнями в относительно недавнее историческое прошлое, по–прежнему влияет на общественно–политическую обстановку и социально–экономическое положение в странах региона. Особенно это касается тех проблем, что связаны с ближневосточным урегулированием и с пережитками прежних эпох, сохраняющихся в виде авторитарного правления и недемократичных режимов, которые и поныне продолжают во многом определять характер политического бытия народов, населяющих разные части арабского и сопредельного с ним мира.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Этот мир продолжает привлекать внимание исследователей и п</w:t>
      </w:r>
      <w:r w:rsidR="001E2CED"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рактиков в разных частях света,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поскольку перипетии развития в ближневосточном регионе самым непосредственным образом отражаются на глобальном уровне. Такая обостренная реакция мирового сообщества понятна. Она диктуется многими причинами и, в первую очередь, нефтью, и потенциальными последствиями взрывоопасного конфликта, в котором увязли оставшиеся в качестве главных действующих лиц наиболее непримиримые актеры. Их достойная лучшего применения стойкость держит в напряжении серьезные силы, не способные оставаться безучастными к драматическим событиям, полвека делящим регион на два враждебных лагеря. И эти события пока все еще далеки от полного разрешения.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В определенной мере непредсказуемость обстановки на Ближнем Востоке, динамичность ее развития и неоднократно проявлявшаяся тенденция мгновенно обретать новое качество под влиянием казалось бы незначительных факторов заставляет всех заинтересованных наблюдателей пристально всматриваться в реалии ситуации на фронте ближневосточных перемен, отслеживать даже незначительные подвижки в текущих процессах, брать на учет любые нюансы, способные повлиять на ход событий, и строить прогнозы относительно их будущего.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США и их партнеры по НАТО продолжают проявлять неослабевающий интерес к Ближнему и Среднему Востоку </w:t>
      </w:r>
      <w:bookmarkStart w:id="0" w:name="OCRUncertain236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(БСВ).</w:t>
      </w:r>
      <w:bookmarkEnd w:id="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 тенденция особенно усилилась с распадом Советского Союза и самоликвидацией Варшавского Договора. Параллельно с расширением НАТО на Востоке наращивается его деятельность и на южном фланге этого блока. Важность южного фланга в ее геополитической стратегии обусловливается, прежде всего, непосредственной близостью к богатейшей в мире кладовой нефти и газа. Регион БСВ представляет собой и достаточно емкий рынок вооружений, занимающий второе после Юго–Восточной Азии место в мире по импорту этой продукции. Все это, вместе взятое, усиливает интересы стран НАТО, прежде всего США и их основных партнеров – Великобританию, Францию, Германию и Италию к этому региону.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Деятельность стран НАТО на БСВ особенно активизируется в военно–экономической и военно–политической сфере. Лидируют в этом США. Этот процесс, как свидетельствуют факты, никак не связан с ростом опасности или военной угрозы со стороны России. Он важен, прежде всего, для США с геополитической точки зрения, в том числе в интересах сохранения своего доминирующего положения в этом альянсе, особенно на его южном фланге. В этих целях активно используется широкий спектр пропагандистского воздействия, в ходе которого США преподносятся как страна, способная гарантировать мир и безопасность как на </w:t>
      </w:r>
      <w:bookmarkStart w:id="1" w:name="OCRUncertain236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реги</w:t>
      </w:r>
      <w:bookmarkEnd w:id="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ональном, так и глобальном уровнях. Особенно рекламируется американское вооружение.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OCRUncertain236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Так, война</w:t>
      </w:r>
      <w:bookmarkEnd w:id="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Персидском Заливе была использована США, помимо всего прочего, как полигон боевого применения совреме</w:t>
      </w:r>
      <w:bookmarkStart w:id="3" w:name="OCRUncertain237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bookmarkEnd w:id="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вооружения в физико–географических условиях региона, так </w:t>
      </w:r>
      <w:bookmarkStart w:id="4" w:name="OCRUncertain237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 для пропаганды</w:t>
      </w:r>
      <w:bookmarkEnd w:id="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его эффективности. Это стимулировало все новые закупки оружия и военной техники, прежде всего, американского производства, укрепляя тем самым позиции Вашингтона в военно–экономической сфере. Еще до окончания скоротечной войны в Заливе сформировался пакет крупных заказов на приобретение современных зенитно–ракетных комплексов, </w:t>
      </w:r>
      <w:bookmarkStart w:id="5" w:name="OCRUncertain237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авиа–бронетехники.</w:t>
      </w:r>
      <w:bookmarkEnd w:id="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прослеживалось главным </w:t>
      </w:r>
      <w:bookmarkStart w:id="6" w:name="OCRUncertain237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обра</w:t>
      </w:r>
      <w:bookmarkStart w:id="7" w:name="OCRUncertain2375"/>
      <w:bookmarkEnd w:id="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зом</w:t>
      </w:r>
      <w:bookmarkEnd w:id="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странах Совета сотрудничества арабских государств Персидского залива (ССАГПЗ)</w:t>
      </w:r>
      <w:bookmarkStart w:id="8" w:name="OCRUncertain237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bookmarkEnd w:id="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что укрепило контроль США и их партнеров на рынке вооружений, обусловливая возможность расширения военно–экономических и военно–политических связей, а также влияния на внешнюю политику этих государств.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Среди стран НАТО лидирующее положение в экспорте оружия и военной техники в регион продолжают занимать США. Вслед за ними следуют Великобритания, Франция, Германия, Италия. В первой половине 90–х годов американский военный экспорт в страны </w:t>
      </w:r>
      <w:bookmarkStart w:id="9" w:name="OCRUncertain237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ССАГПЗ</w:t>
      </w:r>
      <w:bookmarkEnd w:id="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составил около 25</w:t>
      </w:r>
      <w:bookmarkStart w:id="10" w:name="OCRUncertain237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1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 английский – нескольким более 10</w:t>
      </w:r>
      <w:bookmarkStart w:id="11" w:name="OCRUncertain237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1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 германский – 8</w:t>
      </w:r>
      <w:bookmarkStart w:id="12" w:name="OCRUncertain238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1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 итальянский – 7</w:t>
      </w:r>
      <w:bookmarkStart w:id="13" w:name="OCRUncertain238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1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 французский – 5</w:t>
      </w:r>
      <w:bookmarkStart w:id="14" w:name="OCRUncertain238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1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Во второй половине 90–х годов США намерены сохранить среднегодовой экспорт вооружений в эти страны на уровне 3 – 4 млрд. долл. Франция в пределах до 3 млрд. долл., Германия – 1 </w:t>
      </w:r>
      <w:r w:rsidR="001E2CED" w:rsidRPr="00427261">
        <w:rPr>
          <w:rFonts w:ascii="Times New Roman" w:hAnsi="Times New Roman"/>
          <w:color w:val="000000"/>
          <w:sz w:val="28"/>
          <w:szCs w:val="28"/>
          <w:lang w:eastAsia="ru-RU"/>
        </w:rPr>
        <w:t>млрд., Италия – 0,5 млрд. долл.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усиливает тенденцию к дальнейшему росту зависимости от военных поставок прежде всего США. К 1997 г. США контролировали парк бронетанковой техники: в Бахрейне до 100</w:t>
      </w:r>
      <w:bookmarkStart w:id="15" w:name="OCRUncertain238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1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Саудовской Аравии и Катаре – свыше 90, Кувейте и ОАЭ – до 80, Омане – свыше 50%; парк авиатехники: в Бахрейне – до 100%, Саудовской </w:t>
      </w:r>
      <w:bookmarkStart w:id="16" w:name="OCRUncertain238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Ара</w:t>
      </w:r>
      <w:bookmarkStart w:id="17" w:name="OCRUncertain2386"/>
      <w:bookmarkEnd w:id="1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вии</w:t>
      </w:r>
      <w:bookmarkEnd w:id="1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свыше 90%; парк противораке</w:t>
      </w:r>
      <w:r w:rsidR="001E2CED"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тной техники – ССАГПЗ – на 100%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Широко используется военная помощь в наращивании военно–экономических и военно–политических связей и в расширении сферы влияния в регионе. В этой области США сохраняют практически монопольное положение, которое используется в качестве материальной базы дальнейшего углубления военно–политической зависимости и влияния на военную политику страны – получателя этой помощи. США, наряду со стремлением через механизм военной помощи создать в регионе подконтрольные зоны преимущественного влияния, вместе с тем в условиях чрезвычайной обстановки в этом районе наблюдается устойчивая тенденция в политике Вашингтона к интеграции под его контролем усилий партнеров по НАТО в формировании зоны коллективного воздействия. Это наблюдалось в ходе </w:t>
      </w:r>
      <w:bookmarkStart w:id="18" w:name="OCRUncertain238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ирано–иракской</w:t>
      </w:r>
      <w:bookmarkEnd w:id="1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войны и войны в Заливе, когда ведущие стороны НАТО сформировали военную коалицию под эгидой США.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Военная помощь США, помимо всего прочего, связана практически с поставками вооружений, обучением личного состава, развитием военной инфраструктуры. Она на регулярной основе продолжает оказываться Израилю, </w:t>
      </w:r>
      <w:bookmarkStart w:id="19" w:name="OCRUncertain238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Егип</w:t>
      </w:r>
      <w:bookmarkEnd w:id="1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ту, Турции, Бахрейну, Иордании и Оману. Общая сумма ее в 1997 г. превышала 6,3 млрд. долл., или возросла по сравнению с 1980 г. почти в 2 раза. Более одной трети ее приходится на Израиль. </w:t>
      </w:r>
      <w:bookmarkStart w:id="20" w:name="OCRUncertain240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лед</w:t>
      </w:r>
      <w:bookmarkEnd w:id="2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Израилем следует Египет, на долю которого приходится около 30</w:t>
      </w:r>
      <w:bookmarkStart w:id="21" w:name="OCRUncertain240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bookmarkEnd w:id="2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суммарной американской военной помощи указанным странам. Военная помощь США Израилю в 1997 г. составила 3 млрд. долл. (1985 г. – 1,4 млрд.), Египту – 2,1 млрд. долл. (1985 г. – 1,1 млрд.). Размеры этой помощи в 90–х годах Турции составили в среднем 0,5 млрд. долл., Бахрейну, Иордании, Оману – в пределах 0,2 – 0,3 млрд. долл.3 В политике США прослеживается устойчивая тенденция к выборочному и целенаправленному применению механизма военной помощи к странам региона. Так, в ходе оказания Египту военной помощи США сохраняют контроль за оснащением египетских вооруженных сил современным оружием и военной техникой, чтобы воспрепятствовать возможности военного превосходства Каира над Тель–Авивом. Все это обусловливает достижение наибольшего эффекта в расширении и укреплении позиций США в регионе.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США и их партнеры по НАТО, используя различные рычаги воздействия, продолжают наращивать и военно–политические связи на </w:t>
      </w:r>
      <w:bookmarkStart w:id="22" w:name="OCRUncertain240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БСВ.</w:t>
      </w:r>
      <w:bookmarkEnd w:id="2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Они включают в себя, кроме всего прочего, военные соглашения и договоры, военное присутствие учения и маневры. Это особенно активно проявляется по отношению к странам </w:t>
      </w:r>
      <w:bookmarkStart w:id="23" w:name="OCRUncertain240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ССАГПЗ.</w:t>
      </w:r>
      <w:bookmarkEnd w:id="2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Так, в конце 80–х – начале 90–х годов. США, Англия, Франция заключили с членами Совета двусторонние военные соглашения о сотрудничестве в обороне. Это обусловило прежде всего военное присутствие США в зоне Персидского залива. Здесь на постоянной основе разместились следующие американские военные силы: 5–й оперативный военно–морской флот со штабом в Бахрейне, авиакрыло на авиабазе </w:t>
      </w:r>
      <w:bookmarkStart w:id="24" w:name="OCRUncertain240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Дахран,</w:t>
      </w:r>
      <w:bookmarkEnd w:id="2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авиаподразделение на территории Катара, Бахрейна, Кувейта, Омана. В целом, авиационная армада США, сосредоточенная в зоне Залива, к 1997 г. достигла 200 боевых машин. Общая численность боевых кораблей США в акватории Залива насчитывает в своем составе 17 единиц, включая авианосец </w:t>
      </w:r>
      <w:bookmarkStart w:id="25" w:name="OCRUncertain240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"Нимиц"</w:t>
      </w:r>
      <w:bookmarkEnd w:id="2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крылатыми ракетами на борту. Общая численность американских военнослужащих в зоне Залива </w:t>
      </w:r>
      <w:bookmarkStart w:id="26" w:name="OCRUncertain240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дости</w:t>
      </w:r>
      <w:bookmarkStart w:id="27" w:name="OCRUncertain2410"/>
      <w:bookmarkEnd w:id="2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гает</w:t>
      </w:r>
      <w:bookmarkStart w:id="28" w:name="OCRUncertain2411"/>
      <w:bookmarkEnd w:id="2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bookmarkEnd w:id="2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</w:t>
      </w:r>
      <w:bookmarkStart w:id="29" w:name="OCRUncertain241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bookmarkEnd w:id="2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bookmarkStart w:id="30" w:name="OCRUncertain241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bookmarkEnd w:id="3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которых 6200 человек </w:t>
      </w:r>
      <w:bookmarkStart w:id="31" w:name="OCRUncertain241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bookmarkEnd w:id="3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E2CED"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слоцируются в Саудовской Аравии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свою очередь, Великобритания и Франция содержат на саудовской </w:t>
      </w:r>
      <w:bookmarkStart w:id="32" w:name="OCRUncertain241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террито</w:t>
      </w:r>
      <w:bookmarkStart w:id="33" w:name="OCRUncertain2426"/>
      <w:bookmarkEnd w:id="3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рии</w:t>
      </w:r>
      <w:bookmarkEnd w:id="3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летный состав численностью соответственно 250 и 110 чел. На территории этой страны продолжают размещаться специальные подразделения раннего воздушного оповещения системы </w:t>
      </w:r>
      <w:bookmarkStart w:id="34" w:name="OCRUncertain242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"АВАКС",</w:t>
      </w:r>
      <w:bookmarkEnd w:id="3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укомплектованные в основном американским военным персоналом, а также склады с неприкосновенными запасами американского оружия и военной техники</w:t>
      </w:r>
      <w:bookmarkStart w:id="35" w:name="OCRUncertain242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bookmarkEnd w:id="3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значительная часть вооружений, переброшенных в зону Залива в ходе подготовки операции</w:t>
      </w:r>
      <w:bookmarkStart w:id="36" w:name="OCRUncertain242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"</w:t>
      </w:r>
      <w:bookmarkEnd w:id="3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Буря в пустыне</w:t>
      </w:r>
      <w:bookmarkStart w:id="37" w:name="OCRUncertain243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3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Группировка военных сил США в Заливе в случае необ</w:t>
      </w:r>
      <w:bookmarkStart w:id="38" w:name="OCRUncertain243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ходимости может </w:t>
      </w:r>
      <w:bookmarkEnd w:id="3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быть усилена. Так, в ходе подготовки антииракской широкомасштабной опера</w:t>
      </w:r>
      <w:bookmarkStart w:id="39" w:name="OCRUncertain243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ции "Буря в пустыне" американское военное</w:t>
      </w:r>
      <w:bookmarkEnd w:id="3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командование численность этой </w:t>
      </w:r>
      <w:bookmarkStart w:id="40" w:name="OCRUncertain244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группировки к началу 1991 г. довело</w:t>
      </w:r>
      <w:bookmarkEnd w:id="4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600 тыс. человек (с учетом коалиционных сил). В конце января 1998 г. в связи с очередным обострением американо–иракских отношений число </w:t>
      </w:r>
      <w:bookmarkStart w:id="41" w:name="OCRUncertain244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авианос</w:t>
      </w:r>
      <w:bookmarkStart w:id="42" w:name="OCRUncertain2447"/>
      <w:bookmarkEnd w:id="4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цев</w:t>
      </w:r>
      <w:bookmarkEnd w:id="4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было доведено до трех единиц, включая один англи</w:t>
      </w:r>
      <w:bookmarkStart w:id="43" w:name="OCRUncertain244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bookmarkEnd w:id="4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ски</w:t>
      </w:r>
      <w:bookmarkStart w:id="44" w:name="OCRUncertain244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bookmarkEnd w:id="4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США контролируют процесс развития военной инфраструктуры стран </w:t>
      </w:r>
      <w:bookmarkStart w:id="45" w:name="OCRUncertain245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ССАГПЗ.</w:t>
      </w:r>
      <w:bookmarkEnd w:id="4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Так, к 1997 г. при содействии американского инженерного корпуса только в Саудовской Аравии построено или подверглись модернизации около 100 крупных военных объектов, в том числе три авиабазы </w:t>
      </w:r>
      <w:bookmarkStart w:id="46" w:name="OCRUncertain245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(Дахран,</w:t>
      </w:r>
      <w:bookmarkStart w:id="47" w:name="OCRUncertain2453"/>
      <w:bookmarkEnd w:id="4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Таиф,</w:t>
      </w:r>
      <w:bookmarkStart w:id="48" w:name="OCRUncertain2454"/>
      <w:bookmarkEnd w:id="4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Ха</w:t>
      </w:r>
      <w:bookmarkStart w:id="49" w:name="OCRUncertain2457"/>
      <w:bookmarkEnd w:id="4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мис–Мушайт),</w:t>
      </w:r>
      <w:bookmarkEnd w:id="4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две военно–морские базы </w:t>
      </w:r>
      <w:bookmarkStart w:id="50" w:name="OCRUncertain245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(Джидда,</w:t>
      </w:r>
      <w:bookmarkStart w:id="51" w:name="OCRUncertain2459"/>
      <w:bookmarkEnd w:id="5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Джубейла),</w:t>
      </w:r>
      <w:bookmarkEnd w:id="5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ряд военных городков и другие объекты. Продолжается создание единой системы ПВО в рамках ССАГПЗ. США проявляют активную деятельность в странах ССАГПЗ по подготовке военных кадров, а также проведению совместных учений и маневров. В укреплении военно–экономических позиций в регионе США и их союзники особое место отводят Саудовской Аравии как центра силы на </w:t>
      </w:r>
      <w:bookmarkStart w:id="52" w:name="OCRUncertain246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БСВ,</w:t>
      </w:r>
      <w:bookmarkEnd w:id="5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одного из крупных центров исламской религии, усиливающих ее лидирующую роль особенно в рамках ССАГПЗ. Более того, </w:t>
      </w:r>
      <w:bookmarkStart w:id="53" w:name="OCRUncertain246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Эр–Рияд</w:t>
      </w:r>
      <w:bookmarkEnd w:id="5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продолжает придерживаться в основном односторонней ориентации на США. Эти факторы используются Вашингтоном в качестве механизма наращивания своих позиций как в Саудовской Аравии, так и не без содействия </w:t>
      </w:r>
      <w:bookmarkStart w:id="54" w:name="OCRUncertain246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саудовцев</w:t>
      </w:r>
      <w:bookmarkEnd w:id="5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остальных странах Совета.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Усилиями прежде всего США страны ССАГПЗ прямо или косвенно продолжают превращаться в опорные пункты НАТО. В этом процессе принимают участие Великобритания, Франция, Германия, Италия. Это во многом инициируется </w:t>
      </w:r>
      <w:bookmarkStart w:id="55" w:name="OCRUncertain246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ус</w:t>
      </w:r>
      <w:bookmarkStart w:id="56" w:name="OCRUncertain2467"/>
      <w:bookmarkEnd w:id="5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ловиями</w:t>
      </w:r>
      <w:bookmarkEnd w:id="5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заключенных военных соглашений со странами Совета, в преамбуле которых определяется необходимостью обеспечения национальной безопасности, что обусловливает в случае чрезвычайной обстановки использование </w:t>
      </w:r>
      <w:bookmarkStart w:id="57" w:name="OCRUncertain246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тер</w:t>
      </w:r>
      <w:bookmarkStart w:id="58" w:name="OCRUncertain2470"/>
      <w:bookmarkEnd w:id="5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риторий</w:t>
      </w:r>
      <w:bookmarkEnd w:id="5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указанных стран и их инфраструктуры в военном отношении6. Широкомасштабное использование США и их партнерами территорий стран </w:t>
      </w:r>
      <w:bookmarkStart w:id="59" w:name="OCRUncertain247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ССАГПЗ </w:t>
      </w:r>
      <w:bookmarkEnd w:id="5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качестве опорных пунктов имело место в ходе </w:t>
      </w:r>
      <w:bookmarkStart w:id="60" w:name="OCRUncertain247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ирано–иракской</w:t>
      </w:r>
      <w:bookmarkEnd w:id="6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войны и особенно войны в Персидском заливе. Так, в ходе военных действий в Заливе на территории Саудовской Аравии была сосредоточена основная часть антииракских коалиционных сил, в основном американских. Также активно использовалась территория остальных стран Совета. К началу воздушной и наземной операций против Ирака в странах ССАГПЗ и в акватории Залива было сосредоточено около 600 тыс. военнослужащих США, Великобритании и Франции. Однако основная часть их была представлена американским военным контингентом (около 500 тыс. чел</w:t>
      </w:r>
      <w:bookmarkStart w:id="61" w:name="OCRUncertain247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овек),</w:t>
      </w:r>
      <w:bookmarkEnd w:id="6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которая имела 2600 танков, до 14 тыс. орудий полевой артиллерии, более 2300 пусковых установок </w:t>
      </w:r>
      <w:bookmarkStart w:id="62" w:name="OCRUncertain247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ПТУР,</w:t>
      </w:r>
      <w:bookmarkEnd w:id="6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свыше 300 зенитно–ракетных комплексов, около 600 противотанковых вертолетов, свыше 1000 боевых самолетов, более 100 боевых кораблей различного класса, в том числе шесть ударных авианосцев. Военная инфраструктура стран ССАГПЗ была максимально использована США также в ходе массированных ракетно–бомбовых ударов по стратегическим объектам Ирака в январе–феврале 1991 г. и в начале сентября 1996 г. в ходе очередного военного демарша Багдада.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Опыт создания коалиционных сил, основной и главной ударной силой которых явились США и их союзники по НАТО, свидетельствуют о фактическом расширении границ "зоны ответственности</w:t>
      </w:r>
      <w:bookmarkStart w:id="63" w:name="OCRUncertain247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6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североатлантического альянса на его южном фланге. Наряду с этим прослеживается устойчивая тенденция ведущих стран этого альянса, прежде всего США, к закреплению в результате распада Советского Союза и самоликвидации Варшавского Договора монопольного права применения военной силы в любом регионе мира, в том числе Ближнего и Среднего Востока.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В военно–политических планах США немаловажное место отводится Егип</w:t>
      </w:r>
      <w:bookmarkStart w:id="64" w:name="OCRUncertain248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ту.</w:t>
      </w:r>
      <w:bookmarkStart w:id="65" w:name="OCRUncertain2484"/>
      <w:bookmarkEnd w:id="6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bookmarkEnd w:id="6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осле </w:t>
      </w:r>
      <w:bookmarkStart w:id="66" w:name="OCRUncertain248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охлаждения</w:t>
      </w:r>
      <w:bookmarkEnd w:id="6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советско–египетских отношений и </w:t>
      </w:r>
      <w:bookmarkStart w:id="67" w:name="OCRUncertain248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кэмп–девидских</w:t>
      </w:r>
      <w:bookmarkStart w:id="68" w:name="OCRUncertain2487"/>
      <w:bookmarkEnd w:id="6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bookmarkStart w:id="69" w:name="OCRUncertain2489"/>
      <w:bookmarkEnd w:id="6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bookmarkEnd w:id="6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глашений 1979 г. наметилось американо–египетское сближение. Утвердилась </w:t>
      </w:r>
      <w:bookmarkStart w:id="70" w:name="OCRUncertain249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тенден</w:t>
      </w:r>
      <w:bookmarkStart w:id="71" w:name="OCRUncertain2494"/>
      <w:bookmarkEnd w:id="7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ция</w:t>
      </w:r>
      <w:bookmarkEnd w:id="7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наращиванию военного присутствия США. Вашингтон получил право на основе заключенного соглашения использовать военную инфраструктуру Египта в случае необходимости, в том числе пять авиационных баз, одна из которых в </w:t>
      </w:r>
      <w:bookmarkStart w:id="72" w:name="OCRUncertain249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Рас–Бамасе</w:t>
      </w:r>
      <w:bookmarkEnd w:id="7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стала служить целям обеспечения переброски американских войск в район </w:t>
      </w:r>
      <w:bookmarkStart w:id="73" w:name="OCRUncertain249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БСВ.</w:t>
      </w:r>
      <w:bookmarkEnd w:id="7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Этим самым был создан неформальный стратегический союз с США. С 1980 г. на территории Египта и в акватории омывающих его вод регулярно проводятся совместные американо–египетские учения и маневры. Так, в мае 1997 г. завершились египетско–американские учения под кодовым названием </w:t>
      </w:r>
      <w:bookmarkStart w:id="74" w:name="OCRUncertain249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7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Привет орла</w:t>
      </w:r>
      <w:bookmarkStart w:id="75" w:name="OCRUncertain249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7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Красном море. Цель проводимых маневров и учений – выполнение задач по защите </w:t>
      </w:r>
      <w:bookmarkStart w:id="76" w:name="OCRUncertain249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7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жизненных</w:t>
      </w:r>
      <w:bookmarkStart w:id="77" w:name="OCRUncertain250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7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интересов США на БСВ, в том числе и в зоне Персидского залива. Египетские войска в составе антииракских коалиционных сил принимали участие в войне против Ирака. Все это обусловливает превращение Египта в опорный пункт США как на БСВ, так и в бассейне Средиземного моря.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США в ходе осуществления геополитической стратегии рассматривают Турцию и Израиль в качестве форпоста в регионе БСВ. Роль и место Турции во внешней политике Вашингтона определяется ее членством в НАТО. США признают военно–стратегическое значение этих стран, и с ними налажены тесные военно–экономические и военно–политические отношения. Под влиянием Вашингтона Турция была готова совместно с американским военным контингентом принять участие в операции "Буря в пустыне". Анкара предоставила в 1997 г. возможность самолетам американских и английских военно–воздушных сил продолжить использование турецких авиабаз для контроля воздушного пространства и техники Северного Ирака. Соединенные Штаты проводят политику двойного стандарта по отношению к Анкаре, оккупировавшей в свое время северную часть Кипра и придерживающейся силового решения межгосударственных территориальных проблем. Такой же политики придерживаются США и по отношению Израиля в ходе решения ближневосточной проблемы.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Более того, США, рассматривая Израиль как важного военно–политического союзника, распространили на него все основные программы финансово–экономической и военной помощи. Продолжает действовать американо–израильское соглашение 1961 г. о стратегическом сотрудничестве, </w:t>
      </w:r>
      <w:bookmarkStart w:id="78" w:name="OCRUncertain250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фактиче</w:t>
      </w:r>
      <w:bookmarkStart w:id="79" w:name="OCRUncertain2508"/>
      <w:bookmarkEnd w:id="7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ски</w:t>
      </w:r>
      <w:bookmarkEnd w:id="7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оформившее военно–политический союз между ними. Вашингтон поддерживает концепцию Израиля о "стратегическом сдерживании и активной обороне", основанной на перспективах обстановки на </w:t>
      </w:r>
      <w:bookmarkStart w:id="80" w:name="OCRUncertain250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БСВ.</w:t>
      </w:r>
      <w:bookmarkEnd w:id="8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этой концепцией, по сообщению израильской газеты </w:t>
      </w:r>
      <w:bookmarkStart w:id="81" w:name="OCRUncertain251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"Едиот</w:t>
      </w:r>
      <w:bookmarkStart w:id="82" w:name="OCRUncertain2511"/>
      <w:bookmarkEnd w:id="8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ахронот",</w:t>
      </w:r>
      <w:bookmarkEnd w:id="8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существует возможность нанесения ядерных ударов по странам – вероятным противникам. Среди них называются Ливия, Сирия, Иран, Ирак, на которые, согласно британскому журналу </w:t>
      </w:r>
      <w:bookmarkStart w:id="83" w:name="OCRUncertain251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"Джейнс</w:t>
      </w:r>
      <w:bookmarkEnd w:id="8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bookmarkStart w:id="84" w:name="OCRUncertain251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Интеллидженс</w:t>
      </w:r>
      <w:bookmarkStart w:id="85" w:name="OCRUncertain2514"/>
      <w:bookmarkEnd w:id="8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Ревью",</w:t>
      </w:r>
      <w:bookmarkEnd w:id="8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уже нацелены израильские баллистические ракеты </w:t>
      </w:r>
      <w:bookmarkStart w:id="86" w:name="OCRUncertain251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"Иерихон–2",</w:t>
      </w:r>
      <w:bookmarkEnd w:id="8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оснащенные ядерными боеголовка</w:t>
      </w:r>
      <w:r w:rsidR="001E2CED" w:rsidRPr="00427261"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Завершена разработка американо–израильского договора о совместной противоракетной обороне, направленный в основном против Ирака, Сирии и Ирана. Договором предусмотрено создание совместного координационного центра, обмен разведывательной информацией, разработка противоракетных систем. США продолжают поддерживать качественное превосходство вооруженных сил Израиля над вероятными противниками. В интересах Израиля США удалось расколоть единство арабов в антиизраильском противостоянии реализацией </w:t>
      </w:r>
      <w:bookmarkStart w:id="87" w:name="OCRUncertain251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кэмп–девидских</w:t>
      </w:r>
      <w:bookmarkEnd w:id="87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соглашений. Вашингтон в ходе преднамеренно массированной операции против Ирака в ходе войны в Заливе практически ликвидировал основу военного потенциала страны и тем самым вывел из конфронтации с Тель–Авивом главную ударную силу антиизраильской арабской коалиции. Как утверждают западные аналитики, именно это явилось основой разработанной в США военного сценария. США продолжают содействовать в наращивании военной инфраструктуры Израиля. Среди объектов инфраструктуры важное место отводится строительству складских помещений для хранения поступающего американского оружия и военной техники. Особенность складских запасов, создаваемых на территории страны в том, что ими может воспользоваться израильская армия, но лишь с согласия Пентагона8.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В наращивании военной мощи Израиля оказывают содействие и другие страны НАТО. Так, в начале 90–х годов было подписано израильско–французское соглашение о взаимодействии оборонных ведомств в области военных технологий и разработок современных систем вооружений. Развиваются также израильско–турецкие отношения в военной сфере. Так, в 1996 г. было подписано двустороннее военно–техническое соглашение. Оно предусматривает, помимо всего прочего, проведение совместных учений, обмен информацией разведывательного и военно–технического характера, предоставления права командованию ВВС Израиля использовать воздушное пространство Турции для совершения учебно–тренировочных полетов, а также турецкие военно–морские базы израильскими боевыми кораблями.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Процесс расширения сферы влияния стран НАТО будут продолжать оказывать деструктивное влияние на военно–политическую обстановку в регионе с непредсказуемыми последствиями. Это не может не затрагивать интересы России. Отсюда и неизбежность для России активного участия в процессе формирования новой системы международных отношений в регионе, и необходимость ее практического участия во всех событиях на </w:t>
      </w:r>
      <w:bookmarkStart w:id="88" w:name="OCRUncertain252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БСВ.</w:t>
      </w:r>
      <w:bookmarkEnd w:id="8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стабильности военно–политической обстановки в регионе заинтересованы также остальные участники СНГ, прежде всего непосредственно граничащие со странами БСВ.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этих условиях Россия должна заявить о себе как великая держава, имеющая свои интересы в регионе. Восприятие на Западе стремление России к началу позитивных решений как раз и навсегда закрепленную за ней позицию соглашательства должно быть развеяно. В этом нет угрозы новой </w:t>
      </w:r>
      <w:bookmarkStart w:id="89" w:name="OCRUncertain252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bookmarkEnd w:id="8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холодной войны", противоречий с проблемой обеспечения мира и безопасности как в регионе, так и глобальном уровне.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этом аспекте Россия и СНГ в целом должны выступать инициатором мероприятий, направленных на обеспечение мира и безопасности на БСВ. К ним в первую очередь, как представляется, следует отнести созыв международной конференции по Ближнему Востоку, установление международного контроля под эгидой </w:t>
      </w:r>
      <w:bookmarkStart w:id="90" w:name="OCRUncertain2524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bookmarkEnd w:id="90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ООН в сфере поставок вооружений, а также технологий по производству оружия массового поражения. Необходимо также более активное участие России в ближневосточном урегулировании, максимально используя свой статус </w:t>
      </w:r>
      <w:bookmarkStart w:id="91" w:name="OCRUncertain2525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коспонсора.</w:t>
      </w:r>
      <w:bookmarkEnd w:id="91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этим небезынтересно отметить позицию Египта по данному вопросу, высказанную президентом </w:t>
      </w:r>
      <w:bookmarkStart w:id="92" w:name="OCRUncertain2526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Х.Мубараком</w:t>
      </w:r>
      <w:bookmarkEnd w:id="92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ходе его официального визита в Москву в сентябре 1997 г. Он откровенно признал, что хотел бы видеть Москву среди активных спонсоров мирного плана, поскольку ее отсутствие некоторое время в этом неспокойном районе привело к стагнации переговорного процесса. По мнению египетского президента, Россия могла бы играть в данном случае более заметную роль, что послужило бы установлению там более справедливого и ра</w:t>
      </w:r>
      <w:r w:rsidR="001E2CED" w:rsidRPr="00427261">
        <w:rPr>
          <w:rFonts w:ascii="Times New Roman" w:hAnsi="Times New Roman"/>
          <w:color w:val="000000"/>
          <w:sz w:val="28"/>
          <w:szCs w:val="28"/>
          <w:lang w:eastAsia="ru-RU"/>
        </w:rPr>
        <w:t>зумного баланса сил и интересов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Однако с учетом многочисленных внутренних проблем эволюции российского государства трудно рассчитывать на быстротечный прорыв в регионе в рассмотренных выше приоритетных сферах. Тем не менее активная и целенаправленная работа на указанных направлениях необходима в интересах создания предпосылок в реализации </w:t>
      </w:r>
      <w:bookmarkStart w:id="93" w:name="OCRUncertain2528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национальных</w:t>
      </w:r>
      <w:bookmarkEnd w:id="93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интересов России на </w:t>
      </w:r>
      <w:bookmarkStart w:id="94" w:name="OCRUncertain2529"/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БСВ.</w:t>
      </w:r>
      <w:bookmarkEnd w:id="94"/>
    </w:p>
    <w:p w:rsidR="00C106BB" w:rsidRPr="00427261" w:rsidRDefault="00C106BB" w:rsidP="00C106BB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2B96" w:rsidRPr="00427261" w:rsidRDefault="00AA6EA8" w:rsidP="00C106BB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42726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Литературы</w:t>
      </w:r>
    </w:p>
    <w:p w:rsidR="00AA6EA8" w:rsidRPr="00427261" w:rsidRDefault="008E79DC" w:rsidP="008E79D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FFFFFF"/>
          <w:sz w:val="28"/>
        </w:rPr>
        <w:t xml:space="preserve">экспансия </w:t>
      </w:r>
      <w:r w:rsidR="001E2CED" w:rsidRPr="00427261">
        <w:rPr>
          <w:rFonts w:ascii="Times New Roman" w:hAnsi="Times New Roman"/>
          <w:color w:val="FFFFFF"/>
          <w:sz w:val="28"/>
        </w:rPr>
        <w:t xml:space="preserve">ближний </w:t>
      </w:r>
      <w:r w:rsidRPr="00427261">
        <w:rPr>
          <w:rFonts w:ascii="Times New Roman" w:hAnsi="Times New Roman"/>
          <w:color w:val="FFFFFF"/>
          <w:sz w:val="28"/>
        </w:rPr>
        <w:t>восток военный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1 Егорин А.З. Война за мир на Ближнем Востоке. М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., 1995.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2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Рассчитанопо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: Military Balance. L., 1996/1997.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Подсчитанопо: 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Military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Balance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L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., 1981–1997.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Зарубежное военное обозрение. 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1997, № 1,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61;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Известия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, 05.11.1997.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5 USA Military Statistics.Wash., 1991, c. 824;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Известия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. 03.02.1998.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6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Компас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1991, № 214; Middle East,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>, 1993.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7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Глобус</w:t>
      </w:r>
      <w:r w:rsidRPr="004272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1997, № 33.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8 Известия. 03.04.1991.</w:t>
      </w:r>
    </w:p>
    <w:p w:rsidR="00E22B96" w:rsidRPr="00427261" w:rsidRDefault="00E22B96" w:rsidP="00C106BB">
      <w:pPr>
        <w:suppressAutoHyphens/>
        <w:overflowPunct w:val="0"/>
        <w:autoSpaceDE w:val="0"/>
        <w:autoSpaceDN w:val="0"/>
        <w:adjustRightInd w:val="0"/>
        <w:spacing w:after="0" w:line="360" w:lineRule="auto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261">
        <w:rPr>
          <w:rFonts w:ascii="Times New Roman" w:hAnsi="Times New Roman"/>
          <w:color w:val="000000"/>
          <w:sz w:val="28"/>
          <w:szCs w:val="28"/>
          <w:lang w:eastAsia="ru-RU"/>
        </w:rPr>
        <w:t>9 Известия. 07.10.1997.</w:t>
      </w:r>
    </w:p>
    <w:p w:rsidR="00DE487B" w:rsidRPr="00427261" w:rsidRDefault="00DE487B" w:rsidP="00C106BB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106BB" w:rsidRPr="00427261" w:rsidRDefault="00C106BB" w:rsidP="00C106BB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95" w:name="_GoBack"/>
      <w:bookmarkEnd w:id="95"/>
    </w:p>
    <w:sectPr w:rsidR="00C106BB" w:rsidRPr="00427261" w:rsidSect="00C106BB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BA" w:rsidRDefault="00F715BA" w:rsidP="00AA6EA8">
      <w:pPr>
        <w:spacing w:after="0" w:line="240" w:lineRule="auto"/>
      </w:pPr>
      <w:r>
        <w:separator/>
      </w:r>
    </w:p>
  </w:endnote>
  <w:endnote w:type="continuationSeparator" w:id="0">
    <w:p w:rsidR="00F715BA" w:rsidRDefault="00F715BA" w:rsidP="00AA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BA" w:rsidRDefault="00F715BA" w:rsidP="00AA6EA8">
      <w:pPr>
        <w:spacing w:after="0" w:line="240" w:lineRule="auto"/>
      </w:pPr>
      <w:r>
        <w:separator/>
      </w:r>
    </w:p>
  </w:footnote>
  <w:footnote w:type="continuationSeparator" w:id="0">
    <w:p w:rsidR="00F715BA" w:rsidRDefault="00F715BA" w:rsidP="00AA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BB" w:rsidRPr="00C106BB" w:rsidRDefault="00C106BB" w:rsidP="00C106BB">
    <w:pPr>
      <w:pStyle w:val="a3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A9C"/>
    <w:rsid w:val="001E2CED"/>
    <w:rsid w:val="003518B9"/>
    <w:rsid w:val="00427261"/>
    <w:rsid w:val="0048425D"/>
    <w:rsid w:val="008E79DC"/>
    <w:rsid w:val="00AA6EA8"/>
    <w:rsid w:val="00C106BB"/>
    <w:rsid w:val="00DE487B"/>
    <w:rsid w:val="00E22B96"/>
    <w:rsid w:val="00EA01C8"/>
    <w:rsid w:val="00F715BA"/>
    <w:rsid w:val="00F75A9C"/>
    <w:rsid w:val="00FB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2112F7-A8ED-48B4-A66F-3DD114C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5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AA6EA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6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AA6EA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C10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7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</dc:creator>
  <cp:keywords/>
  <dc:description/>
  <cp:lastModifiedBy>Irina</cp:lastModifiedBy>
  <cp:revision>2</cp:revision>
  <dcterms:created xsi:type="dcterms:W3CDTF">2014-09-12T15:51:00Z</dcterms:created>
  <dcterms:modified xsi:type="dcterms:W3CDTF">2014-09-12T15:51:00Z</dcterms:modified>
</cp:coreProperties>
</file>