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A8" w:rsidRDefault="00C157FF">
      <w:pPr>
        <w:pStyle w:val="21"/>
        <w:numPr>
          <w:ilvl w:val="0"/>
          <w:numId w:val="0"/>
        </w:numPr>
        <w:spacing w:before="120" w:after="0"/>
        <w:jc w:val="center"/>
        <w:rPr>
          <w:sz w:val="32"/>
          <w:szCs w:val="32"/>
        </w:rPr>
      </w:pPr>
      <w:r>
        <w:rPr>
          <w:sz w:val="32"/>
          <w:szCs w:val="32"/>
        </w:rPr>
        <w:t>Экологические проблемы лесов таежной зоны Европейской России</w:t>
      </w:r>
    </w:p>
    <w:p w:rsidR="006A63A8" w:rsidRDefault="00C157FF">
      <w:pPr>
        <w:pStyle w:val="11"/>
        <w:spacing w:before="120" w:after="0"/>
        <w:ind w:firstLine="567"/>
        <w:jc w:val="both"/>
      </w:pPr>
      <w:r>
        <w:t>Экологические проблемы лесов таежной зоны Европейской России сложны и многообразны. Важнейшей проблемой (причем не только экологической, но и экономической, и социальной), уже более столетия волнующей многих специалистов в области лесопользования и управления лесами, затрагивающей интересы всех без исключения групп и слоев населения, вне всякого сомнения, является проблема истощения лесных ресурсов Европейского Севера России. Безусловно, не может не возникнуть вопрос - если уже сто лет назад кто-то (пусть даже сами лесничие, управлявшие северными лесами, и другие специалисты лесного хозяйства) говорили об истощении северных лесов, и сейчас продолжают говорить о том же, а леса все рубят, и рубят, и они все никак не кончаются - не является ли проблема истощения северных лесов надуманной? Ведь вроде бы известно, что лес - ресурс возобновимый: его срубишь, а он - вновь вырастет; снова срубишь - он снова вырастет. Это, конечно, так: срубишь - вырастет. Вопрос лишь в том, какой лес вырастет и когда. И вся история лесопользования в северных российских лесах показывает, что далеко не всегда вырастает тот лес, который хотелось бы видеть, и далеко не в те сроки, которые ему "отведены" для вырастания.</w:t>
      </w:r>
    </w:p>
    <w:p w:rsidR="006A63A8" w:rsidRDefault="00C157FF">
      <w:pPr>
        <w:pStyle w:val="11"/>
        <w:spacing w:before="120" w:after="0"/>
        <w:ind w:firstLine="567"/>
        <w:jc w:val="both"/>
      </w:pPr>
      <w:r>
        <w:t>Когда в начале нашего столетия впервые был поднят вопрос об истощении лесных богатств Европейского Севера России, сам этот Север представлял собой безбрежное море тайги - огромные лесные массивы, в которые были вкраплены относительно небольшие по площади клочки заселенной и интенсивно используемой человеком территории. Лесоводы, говорившие об истощении лесных богатств Севера, вовсе не имели в виду то, что тайга кончается и превращается в безлесные пространства. Речь шла о резком ухудшении качества северных российских лесов. Особое беспокойство лесничих в то время вызывало истощение запасов ценной по тем временам древесины - крупных, не имеющих дефектов деревьев сосны и ели (в первую очередь знаменитой "беломорской сосны", бесспорно лидировавшей на всех европейских лесных рынках того времени). Беспорядочные выборочные рубки XIX столетия вместе с сопутствовавшими им пожарами привели к постепенному превращению ранее здоровых, образованных в значительной степени крупными старыми деревьями, северных лесов в тонкомерные, с большим количеством поврежденных и малопродуктивных деревьев (не заготавливавшихся промышленниками). Запасы той древесины, которая считалась ценной в то время и от которой зависело экономическое благополучия промышленников и большой части населения Севера, в значительной степени истощились; большинство лесозаводов было вынуждено перейти на использование более тонких, а часто и дефектных деревьев; многие предприятия закрылись, превратившись в нерентабельные за счет вынужденного перехода на обработку менее ценных лесных материалов. Таким образом, истощились именно ценные по тем временам леса (а тогда ценность леса определялась в первую очередь способностью этого леса приносить доход, поддерживать экономическое благополучие населения Севера).</w:t>
      </w:r>
    </w:p>
    <w:p w:rsidR="006A63A8" w:rsidRDefault="00C157FF">
      <w:pPr>
        <w:pStyle w:val="11"/>
        <w:spacing w:before="120" w:after="0"/>
        <w:ind w:firstLine="567"/>
        <w:jc w:val="both"/>
      </w:pPr>
      <w:r>
        <w:t>В тридцатые годы, однако, лесозаготовительная деятельность на Севере резко увеличилась; заготовка древесины по объему превысила максимальный уровень начала века. Что же произошло - неужели за тридцать лет истощенные запасы древесины полностью восстановились? Безусловно, нет. Просто произошло резкое изменение структуры спроса на древесину - потребовались большие количества тонкомерной древесины существенно меньшего качества, чем ранее (балансов - древесины для целлюлозно-бумажного производства, железнодорожных шпал, рудничной стойки, дров для промышленных предприятий). Одновременно с этим резко изменилась технология лесозаготовок - на смену низкоинтенсивным выборочным рубкам, при которых заготавливались только лучшие деревья в лучших, часто очень удаленных, лесах, пришли сплошные рубки в лесах, расположенных поблизости от транспортных путей и мест потребления древесины. Кроме того, были отменены многие ограничения на способы, сроки и объемы заготовки древесины; количество заготавливаемой древесины стало определяться лишь техническими возможностями заготовителей.</w:t>
      </w:r>
    </w:p>
    <w:p w:rsidR="006A63A8" w:rsidRDefault="00C157FF">
      <w:pPr>
        <w:pStyle w:val="11"/>
        <w:spacing w:before="120" w:after="0"/>
        <w:ind w:firstLine="567"/>
        <w:jc w:val="both"/>
      </w:pPr>
      <w:r>
        <w:t>Такая система хозяйства, сопровождавшаяся наступлением сплошного фронта лесозаготовок на массивы тайги, ранее знавшие лишь выборочные рубки, сохранилась до наших дней. При этой системе хозяйства уже не просто ухудшалось качество лесов - естественные хвойные леса исчезали, уступая место массивам заболачивавшихся и эродированных вырубок, постепенно превращавшихся в массивы вторичных березово-осиновых лесов. Надо сказать, что некоторые меры по восстановлению ценных хвойных лесов предпринимались - к сожалению, главным образом на бумаге. Большинство же вырубок оставались предоставленными сами себе - оставлялись под "естественное заращивание" чем придется. Как правило, заращивались эти вырубки довольно малоценными с хозяйственной точки зрения лесами, большинство из которых в ближайшие десятилетия не сможет быть вновь вовлечено в хозяйственное использование. Более того: сеть дорог, создававшаяся при "освоении" таежных массивов, обычно рассчитывалась на очень короткий - не более 10 лет - срок эксплуатации; в результате многие мелкие фрагменты исходных хвойных лесов, оставленные среди массивов вырубок в силу разных причин (а на такие остававшиеся участки в среднем приходилось около 15-20% общей площади вырубленных территорий), оказались недоступными для лесопользователей после разрушения временной дорожной сети. Все вместе это привело к тому, что при наличии большого количества лесов на Севере, доступных для промышленного освоения и имеющих большую хозяйственную ценность лесов осталось очень мало. Практически, большинство лесозаготовителей дорубает сейчас последние остатки естественной тайги, сохранившиеся в наиболее удаленных и ранее труднодоступных участках.</w:t>
      </w:r>
    </w:p>
    <w:p w:rsidR="006A63A8" w:rsidRDefault="00C157FF">
      <w:pPr>
        <w:pStyle w:val="11"/>
        <w:spacing w:before="120" w:after="0"/>
        <w:ind w:firstLine="567"/>
        <w:jc w:val="both"/>
      </w:pPr>
      <w:r>
        <w:t>Таким образом, сейчас вновь идет речь об истощении тех лесных ресурсов, которые могут быть использованы при современной системе хозяйствования, которые могут поддержать экономическое благополучие населения Европейского Севера России. Относительно малоценных с хозяйственной точки зрения молодых вторичных лесов, сформировавшихся на вырубках 30-х - 80-х годов, конечно, много. Довольно много и мелких фрагментов естественных лесов, оставшихся среди сплошных массивов вырубок вдали от дорог; однако, и эти леса для промышленников не очень ценны, поскольку фактически для их использования необходимо создавать новую весьма разветвленную дорожную сеть. А вот исключительно ценных массивов естественных, коренных лесов (наиболее привлекательных для лесопромышленников, но в то же время являющихся последним убежищем естественного таежного биологического разнообразия, последними территориями, где сохранились чистейшие таежные реки и озера, последними островками многовековой культуры таежного населения Севера) осталось очень мало. Именно это и называется истощением северных лесов - леса вроде бы много, но наиболее ценные как с хозяйственной, так и с природной точек зрения леса кончаются.</w:t>
      </w:r>
    </w:p>
    <w:p w:rsidR="006A63A8" w:rsidRDefault="00C157FF">
      <w:pPr>
        <w:pStyle w:val="11"/>
        <w:spacing w:before="120" w:after="0"/>
        <w:ind w:firstLine="567"/>
        <w:jc w:val="both"/>
      </w:pPr>
      <w:r>
        <w:t>Второй важнейшей проблемой является малая площадь и нерациональное размещение особо охраняемых природных территорий (ООПТ), значительное количество фиктивных, реально не существующих ООПТ. К числу принципиальных недостатков современной системы особо охраняемых природных территорий севера Европейской России можно отнести следующие:</w:t>
      </w:r>
    </w:p>
    <w:p w:rsidR="006A63A8" w:rsidRDefault="00C157FF">
      <w:pPr>
        <w:pStyle w:val="11"/>
        <w:numPr>
          <w:ilvl w:val="0"/>
          <w:numId w:val="1"/>
        </w:numPr>
        <w:tabs>
          <w:tab w:val="left" w:pos="1287"/>
        </w:tabs>
        <w:spacing w:before="120" w:after="0"/>
        <w:ind w:left="1287"/>
        <w:jc w:val="both"/>
      </w:pPr>
      <w:r>
        <w:t>Малая представленность крупных таежных массивов, способных к длительному устойчивому самоподдержанию и независимых от неблагоприятных внешних воздействий. Подавляющее большинство особо охраняемых природных территорий представлено относительно небольшими (до 10 тыс. га) природными массивами. Входящих в систему ООПТ гарантированно устойчивых массивов, включающих в себя целые водосборные бассейны малых и средних рек или крупные водоразделы, имеющих достаточную для безусловного самоподдержания и выживания подавляющего большинства представленных популяций растений и животных площадь (от 100-150 тысяч до 1-1.5 миллионов гектаров) крайне мало и явно недостаточно для того, чтобы сформировать устойчивый экологический каркас северных регионов.</w:t>
      </w:r>
    </w:p>
    <w:p w:rsidR="006A63A8" w:rsidRDefault="00C157FF">
      <w:pPr>
        <w:pStyle w:val="11"/>
        <w:numPr>
          <w:ilvl w:val="0"/>
          <w:numId w:val="1"/>
        </w:numPr>
        <w:tabs>
          <w:tab w:val="left" w:pos="1287"/>
        </w:tabs>
        <w:spacing w:before="120" w:after="0"/>
        <w:ind w:left="1287"/>
        <w:jc w:val="both"/>
      </w:pPr>
      <w:r>
        <w:t>Недостаточная представленность в ООПТ естественных, мало затронутых деятельностью человека, лесных экосистем. Подавляющее большинство ООПТ как федерального, так и регионального уровней включают в себя преимущественно вторичные леса, уже пройденные интенсивной хозяйственной деятельностью. В то же время крупные, часто уникальные, массивы естественных лесных экосистем не имеют никакой степени защиты и относятся к эксплуатационному фонду наравне с прочими "перестойными" лесами.</w:t>
      </w:r>
    </w:p>
    <w:p w:rsidR="006A63A8" w:rsidRDefault="00C157FF">
      <w:pPr>
        <w:pStyle w:val="11"/>
        <w:numPr>
          <w:ilvl w:val="0"/>
          <w:numId w:val="1"/>
        </w:numPr>
        <w:tabs>
          <w:tab w:val="left" w:pos="1287"/>
        </w:tabs>
        <w:spacing w:before="120" w:after="0"/>
        <w:ind w:left="1287"/>
        <w:jc w:val="both"/>
      </w:pPr>
      <w:r>
        <w:t>Бессистемная организация особо охраняемых природных территорий, отсутствие единой межрегиональной политики создания сетей ООПТ. К сожалению, в большинстве регионов до настоящего времени отсутствуют сколько-нибудь проработанные перспективные планы организации систем особо охраняемых природных территорий с учетом реальной современной экологической ситуации. Спроектированные отдельными ведомствами ООПТ (например, охотничьи заказники) часто предусматривают сохранение какого-либо одного компонента природных экосистем, игнорируя необходимость сохранения остальных. Межрегиональная координация создания систем ООПТ до настоящего времени практически отсутствует.</w:t>
      </w:r>
    </w:p>
    <w:p w:rsidR="006A63A8" w:rsidRDefault="00C157FF">
      <w:pPr>
        <w:pStyle w:val="11"/>
        <w:numPr>
          <w:ilvl w:val="0"/>
          <w:numId w:val="1"/>
        </w:numPr>
        <w:tabs>
          <w:tab w:val="left" w:pos="1287"/>
        </w:tabs>
        <w:spacing w:before="120" w:after="0"/>
        <w:ind w:left="1287"/>
        <w:jc w:val="both"/>
      </w:pPr>
      <w:r>
        <w:t>Слабость действующего законодательства в области организации и функционирования ООПТ, допускающего временные особо охраняемые природные территории (т.е. предусматривающие временное сохранение природы) и фиктивные ООПТ (т.е. ООПТ, режим которых не предусматривает реальных ограничений хозяйственной деятельности). Важной проблемой является также сложность процедуры организации новых ООПТ и резервирования территории на период этой организации.</w:t>
      </w:r>
    </w:p>
    <w:p w:rsidR="006A63A8" w:rsidRDefault="00C157FF">
      <w:pPr>
        <w:pStyle w:val="11"/>
        <w:numPr>
          <w:ilvl w:val="0"/>
          <w:numId w:val="1"/>
        </w:numPr>
        <w:tabs>
          <w:tab w:val="left" w:pos="1287"/>
        </w:tabs>
        <w:spacing w:before="120" w:after="0"/>
        <w:ind w:left="1287"/>
        <w:jc w:val="both"/>
      </w:pPr>
      <w:r>
        <w:t>Отсутствие объективной информации, доступной независимым экспертам, специалистам в области охраны природы и широким слоям населения, о состоянии систем особо охраняемых природных территорий в пределах отдельных регионов или в целом севера Европейской России. В подавляющем большинстве случаев информация о состоянии систем особо охраняемых природных территорий, публикуемая в официальных отчетных материалах и распространяемая по средствам массовой информации, содержит лишь обобщенные показатели, маскирующие ряд существующих проблем, а часто и принципиально искажающие общую картину. Нередко за особо охраняемые природные территории выдаются вообще все леса первой группы (см. далее), и тогда в качестве "успокаивающих" материалов в прессе появляется информация о 22% (от общей площади республики) особо охраняемых природных территорий в Карелии или 50% ООПТ в Коми. Подобный подход может рассматриваться только как умышленное искажение информации: значительная часть лесов первой группы вообще является интенсивно эксплуатируемыми лесами, часто с преобладанием сплошных рубок; ведомственный же характер ограничений не обеспечивает необходимого уровня охраны никаких лесов первой группы. Площадь реальных постоянных ООПТ, организованных в соответствии с действующим законодательством и имеющих реальный природоохранный режим, по Европейскому Северу России составляет лишь около 3% от всей территории.</w:t>
      </w:r>
    </w:p>
    <w:p w:rsidR="006A63A8" w:rsidRDefault="00C157FF">
      <w:pPr>
        <w:pStyle w:val="11"/>
        <w:spacing w:before="120" w:after="0"/>
        <w:ind w:firstLine="567"/>
        <w:jc w:val="both"/>
      </w:pPr>
      <w:r>
        <w:t>К сожалению, истощительным лесопользованием и недостаточно развитой системой особо охраняемых природных территорий экологические проблемы таежного Севера отнюдь не исчерпываются. К числу важных "лесных" экологических проблем, связанных с лесопользованием, землепользованием и управлением лесами Европейского Севера России, можно отнести следующие:</w:t>
      </w:r>
    </w:p>
    <w:p w:rsidR="006A63A8" w:rsidRDefault="00C157FF">
      <w:pPr>
        <w:pStyle w:val="11"/>
        <w:numPr>
          <w:ilvl w:val="0"/>
          <w:numId w:val="2"/>
        </w:numPr>
        <w:tabs>
          <w:tab w:val="left" w:pos="1287"/>
        </w:tabs>
        <w:spacing w:before="120" w:after="0"/>
        <w:ind w:left="1287"/>
        <w:jc w:val="both"/>
      </w:pPr>
      <w:r>
        <w:t>быстрое уничтожение массивов естественной тайги, являющихся последними территориями, где сохраняется естественное таежное биологическое разнообразие и многие другие элементы естественных таежных ландшафтов;</w:t>
      </w:r>
    </w:p>
    <w:p w:rsidR="006A63A8" w:rsidRDefault="00C157FF">
      <w:pPr>
        <w:pStyle w:val="11"/>
        <w:numPr>
          <w:ilvl w:val="0"/>
          <w:numId w:val="2"/>
        </w:numPr>
        <w:tabs>
          <w:tab w:val="left" w:pos="1287"/>
        </w:tabs>
        <w:spacing w:before="120" w:after="0"/>
        <w:ind w:left="1287"/>
        <w:jc w:val="both"/>
      </w:pPr>
      <w:r>
        <w:t>отсутствие эффективной лесной охраны, и, как следствие, большое количество лесных пожаров, уничтожающих в таежных лесах Севера ежегодно значительные площади лесов;</w:t>
      </w:r>
    </w:p>
    <w:p w:rsidR="006A63A8" w:rsidRDefault="00C157FF">
      <w:pPr>
        <w:pStyle w:val="11"/>
        <w:numPr>
          <w:ilvl w:val="0"/>
          <w:numId w:val="2"/>
        </w:numPr>
        <w:tabs>
          <w:tab w:val="left" w:pos="1287"/>
        </w:tabs>
        <w:spacing w:before="120" w:after="0"/>
        <w:ind w:left="1287"/>
        <w:jc w:val="both"/>
      </w:pPr>
      <w:r>
        <w:t>эрозию и заболачивание вырубок, связанные с большим размером вырубаемых площадей, применением тяжелой лесозаготовительной техники, отсутствием мер по эффективному лесовосстановлению;</w:t>
      </w:r>
    </w:p>
    <w:p w:rsidR="006A63A8" w:rsidRDefault="00C157FF">
      <w:pPr>
        <w:pStyle w:val="11"/>
        <w:numPr>
          <w:ilvl w:val="0"/>
          <w:numId w:val="2"/>
        </w:numPr>
        <w:tabs>
          <w:tab w:val="left" w:pos="1287"/>
        </w:tabs>
        <w:spacing w:before="120" w:after="0"/>
        <w:ind w:left="1287"/>
        <w:jc w:val="both"/>
      </w:pPr>
      <w:r>
        <w:t>засорение рек, использовавшихся в прошлом для сплава древесины, утонувшими бревнами и другими древесными отходами;</w:t>
      </w:r>
    </w:p>
    <w:p w:rsidR="006A63A8" w:rsidRDefault="00C157FF">
      <w:pPr>
        <w:pStyle w:val="11"/>
        <w:numPr>
          <w:ilvl w:val="0"/>
          <w:numId w:val="2"/>
        </w:numPr>
        <w:tabs>
          <w:tab w:val="left" w:pos="1287"/>
        </w:tabs>
        <w:spacing w:before="120" w:after="0"/>
        <w:ind w:left="1287"/>
        <w:jc w:val="both"/>
      </w:pPr>
      <w:r>
        <w:t>уничтожение значительной части лесов вдоль берегов таежных рек, и в результате - эрозию склонов речных долин, загрязнение вод смываемой с лесосек почвой, изменение водного режима рек и озер;</w:t>
      </w:r>
    </w:p>
    <w:p w:rsidR="006A63A8" w:rsidRDefault="00C157FF">
      <w:pPr>
        <w:pStyle w:val="11"/>
        <w:numPr>
          <w:ilvl w:val="0"/>
          <w:numId w:val="2"/>
        </w:numPr>
        <w:tabs>
          <w:tab w:val="left" w:pos="1287"/>
        </w:tabs>
        <w:spacing w:before="120" w:after="0"/>
        <w:ind w:left="1287"/>
        <w:jc w:val="both"/>
      </w:pPr>
      <w:r>
        <w:t>резкое сокращение биологического разнообразия многих таежных территорий, сокращение численности многих видов растений и животных, в результате интенсивных рубок оказавшихся на грани уничтожения;</w:t>
      </w:r>
    </w:p>
    <w:p w:rsidR="006A63A8" w:rsidRDefault="00C157FF">
      <w:pPr>
        <w:pStyle w:val="11"/>
        <w:numPr>
          <w:ilvl w:val="0"/>
          <w:numId w:val="2"/>
        </w:numPr>
        <w:tabs>
          <w:tab w:val="left" w:pos="1287"/>
        </w:tabs>
        <w:spacing w:before="120" w:after="0"/>
        <w:ind w:left="1287"/>
        <w:jc w:val="both"/>
      </w:pPr>
      <w:r>
        <w:t>многократное сокращение численности многих охотничье-промысловых видов животных;</w:t>
      </w:r>
    </w:p>
    <w:p w:rsidR="006A63A8" w:rsidRDefault="00C157FF">
      <w:pPr>
        <w:pStyle w:val="11"/>
        <w:numPr>
          <w:ilvl w:val="0"/>
          <w:numId w:val="2"/>
        </w:numPr>
        <w:tabs>
          <w:tab w:val="left" w:pos="1287"/>
        </w:tabs>
        <w:spacing w:before="120" w:after="0"/>
        <w:ind w:left="1287"/>
        <w:jc w:val="both"/>
      </w:pPr>
      <w:r>
        <w:t>фрагментацию крупных массивов дикой природы на множество мелких частей, разделенных дорогами, населенными пунктами, различными линиями коммуникаций, и в результате - нарушение естественных путей миграций многих видов животных, нарушение целостности популяций и снижение их жизнеспособности;</w:t>
      </w:r>
    </w:p>
    <w:p w:rsidR="006A63A8" w:rsidRDefault="00C157F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загрязнение больших таежных территорий свалками промышленных отходов, токсическими (например, при падении нижних ступеней запускаемых ракет) и радиоактивными отходами.</w:t>
      </w:r>
    </w:p>
    <w:p w:rsidR="006A63A8" w:rsidRDefault="006A63A8">
      <w:pPr>
        <w:spacing w:before="120"/>
        <w:ind w:firstLine="567"/>
        <w:jc w:val="both"/>
      </w:pPr>
      <w:bookmarkStart w:id="0" w:name="_GoBack"/>
      <w:bookmarkEnd w:id="0"/>
    </w:p>
    <w:sectPr w:rsidR="006A63A8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7FF"/>
    <w:rsid w:val="006A63A8"/>
    <w:rsid w:val="00C157FF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9D8D3-A7FB-4139-9768-4BEC7DCC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Symbol" w:eastAsia="Symbol" w:hAnsi="Symbol" w:cs="Symbol"/>
      <w:sz w:val="20"/>
      <w:szCs w:val="20"/>
    </w:rPr>
  </w:style>
  <w:style w:type="character" w:customStyle="1" w:styleId="RTFNum32">
    <w:name w:val="RTF_Num 3 2"/>
    <w:rPr>
      <w:rFonts w:ascii="Courier New" w:eastAsia="Courier New" w:hAnsi="Courier New" w:cs="Courier New"/>
      <w:sz w:val="20"/>
      <w:szCs w:val="20"/>
    </w:rPr>
  </w:style>
  <w:style w:type="character" w:customStyle="1" w:styleId="RTFNum33">
    <w:name w:val="RTF_Num 3 3"/>
    <w:rPr>
      <w:rFonts w:ascii="Wingdings" w:eastAsia="Wingdings" w:hAnsi="Wingdings" w:cs="Wingdings"/>
      <w:sz w:val="20"/>
      <w:szCs w:val="20"/>
    </w:rPr>
  </w:style>
  <w:style w:type="character" w:customStyle="1" w:styleId="RTFNum34">
    <w:name w:val="RTF_Num 3 4"/>
    <w:rPr>
      <w:rFonts w:ascii="Wingdings" w:eastAsia="Wingdings" w:hAnsi="Wingdings" w:cs="Wingdings"/>
      <w:sz w:val="20"/>
      <w:szCs w:val="20"/>
    </w:rPr>
  </w:style>
  <w:style w:type="character" w:customStyle="1" w:styleId="RTFNum35">
    <w:name w:val="RTF_Num 3 5"/>
    <w:rPr>
      <w:rFonts w:ascii="Wingdings" w:eastAsia="Wingdings" w:hAnsi="Wingdings" w:cs="Wingdings"/>
      <w:sz w:val="20"/>
      <w:szCs w:val="20"/>
    </w:rPr>
  </w:style>
  <w:style w:type="character" w:customStyle="1" w:styleId="RTFNum36">
    <w:name w:val="RTF_Num 3 6"/>
    <w:rPr>
      <w:rFonts w:ascii="Wingdings" w:eastAsia="Wingdings" w:hAnsi="Wingdings" w:cs="Wingdings"/>
      <w:sz w:val="20"/>
      <w:szCs w:val="20"/>
    </w:rPr>
  </w:style>
  <w:style w:type="character" w:customStyle="1" w:styleId="RTFNum37">
    <w:name w:val="RTF_Num 3 7"/>
    <w:rPr>
      <w:rFonts w:ascii="Wingdings" w:eastAsia="Wingdings" w:hAnsi="Wingdings" w:cs="Wingdings"/>
      <w:sz w:val="20"/>
      <w:szCs w:val="20"/>
    </w:rPr>
  </w:style>
  <w:style w:type="character" w:customStyle="1" w:styleId="RTFNum38">
    <w:name w:val="RTF_Num 3 8"/>
    <w:rPr>
      <w:rFonts w:ascii="Wingdings" w:eastAsia="Wingdings" w:hAnsi="Wingdings" w:cs="Wingdings"/>
      <w:sz w:val="20"/>
      <w:szCs w:val="20"/>
    </w:rPr>
  </w:style>
  <w:style w:type="character" w:customStyle="1" w:styleId="RTFNum39">
    <w:name w:val="RTF_Num 3 9"/>
    <w:rPr>
      <w:rFonts w:ascii="Wingdings" w:eastAsia="Wingdings" w:hAnsi="Wingdings" w:cs="Wingdings"/>
      <w:sz w:val="20"/>
      <w:szCs w:val="20"/>
    </w:rPr>
  </w:style>
  <w:style w:type="character" w:customStyle="1" w:styleId="1">
    <w:name w:val="Шрифт абзацу за промовчанням1"/>
  </w:style>
  <w:style w:type="character" w:styleId="a3">
    <w:name w:val="Hyperlink"/>
    <w:basedOn w:val="1"/>
    <w:semiHidden/>
    <w:rPr>
      <w:color w:val="0000FF"/>
      <w:u w:val="single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Nimbus Sans L"/>
    </w:rPr>
  </w:style>
  <w:style w:type="paragraph" w:customStyle="1" w:styleId="10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Nimbus Sans L"/>
    </w:rPr>
  </w:style>
  <w:style w:type="paragraph" w:customStyle="1" w:styleId="21">
    <w:name w:val="Заголовок 21"/>
    <w:basedOn w:val="a"/>
    <w:pPr>
      <w:numPr>
        <w:ilvl w:val="1"/>
        <w:numId w:val="3"/>
      </w:numPr>
      <w:spacing w:before="100" w:after="100"/>
      <w:outlineLvl w:val="1"/>
    </w:pPr>
    <w:rPr>
      <w:b/>
      <w:bCs/>
      <w:color w:val="000000"/>
      <w:sz w:val="36"/>
      <w:szCs w:val="36"/>
    </w:rPr>
  </w:style>
  <w:style w:type="paragraph" w:customStyle="1" w:styleId="11">
    <w:name w:val="Звичайний (веб)1"/>
    <w:basedOn w:val="a"/>
    <w:pPr>
      <w:spacing w:before="100" w:after="10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1941</Words>
  <Characters>11067</Characters>
  <Application>Microsoft Office Word</Application>
  <DocSecurity>0</DocSecurity>
  <Lines>92</Lines>
  <Paragraphs>25</Paragraphs>
  <ScaleCrop>false</ScaleCrop>
  <Company>diakov.net</Company>
  <LinksUpToDate>false</LinksUpToDate>
  <CharactersWithSpaces>12983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2014-08-13T16:51:00Z</dcterms:created>
  <dcterms:modified xsi:type="dcterms:W3CDTF">2014-08-13T16:51:00Z</dcterms:modified>
</cp:coreProperties>
</file>