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76" w:rsidRPr="00462417" w:rsidRDefault="00F77276" w:rsidP="00F77276">
      <w:pPr>
        <w:spacing w:before="120"/>
        <w:jc w:val="center"/>
        <w:rPr>
          <w:b/>
          <w:bCs/>
          <w:sz w:val="32"/>
          <w:szCs w:val="32"/>
        </w:rPr>
      </w:pPr>
      <w:r w:rsidRPr="00462417">
        <w:rPr>
          <w:b/>
          <w:bCs/>
          <w:sz w:val="32"/>
          <w:szCs w:val="32"/>
        </w:rPr>
        <w:t xml:space="preserve">Влияние метода сбора данных на вербальное поведение респондентов </w:t>
      </w:r>
    </w:p>
    <w:p w:rsidR="00F77276" w:rsidRPr="00462417" w:rsidRDefault="00F77276" w:rsidP="00F77276">
      <w:pPr>
        <w:spacing w:before="120"/>
        <w:ind w:firstLine="567"/>
        <w:jc w:val="both"/>
        <w:rPr>
          <w:sz w:val="28"/>
          <w:szCs w:val="28"/>
        </w:rPr>
      </w:pPr>
      <w:r w:rsidRPr="00462417">
        <w:rPr>
          <w:sz w:val="28"/>
          <w:szCs w:val="28"/>
        </w:rPr>
        <w:t>Мягков Ю. А.</w:t>
      </w:r>
    </w:p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</w:rPr>
      </w:pPr>
      <w:r w:rsidRPr="00462417">
        <w:rPr>
          <w:b/>
          <w:bCs/>
          <w:sz w:val="28"/>
          <w:szCs w:val="28"/>
        </w:rPr>
        <w:t>Постановка проблемы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Специальные исследования по сравнению данных, полученных разными методами опроса, показали, что уровень искренности ответов респондентов зависит не только от содержательного типа вопроса, но и весьма существенно – от способа контакта с опрашиваемыми в процессе сбора социологической информации. Эта зависимость опосредована в первую очередь ситуацией опроса, основные параметры и характеристики которой во многом задаются организационно-техническими особенностями применяемого метода и существенно влияют на характер взаимодействия сторон [1, р. 204]. В этом отношении самым слабым звеном в методическом арсенале современной социологии считаются телефонные интервью. Они заметно уступают прочим методам сбора данных с точки зрения достоверности и качества собираемой информации. В интервью, проводимых по телефону, обнаружен целый ряд весьма серьезных и неочевидных изъянов, свидетельствующих о недостаточной надежности этого метода. Это дало основания полагать, что телефонные интервью "провоцируют" появление неискренних ответов значительно чаще, чем остальные разновидности опроса. Так, экспериментальное исследование, проведенное Ф. Вайсманом с целью сравнительного анализа возможностей трех основных стратегий сбора социологических данных (почтовый опрос, телефонное и персональное интервью), зафиксировало повышенный удельный вес социально желательных ответов при предъявлении респондентам в телефонном интервью таких деликатных и острых вопросов, как отношение к легализации абортов и оценка доступности информации о способах контроля за рождаемостью [2]. При сборе данных по телефону Т. Роджерс, а также Р. Гроувз обнаружили большое число пропусков в сообщениях респондентов, касающихся их финансового положения [3, р. 56; 1, р. 194-195]. О фактах искажений телефонными респондентами сведений о размере доходов сообщают П. Миллер и Ч. Кэннелл [4, р. 260]. Серьезные сомнения относительно достоверности результатов, получаемых в исследованиях с использованием телефонных интервью при прогнозировании электорального поведения и изучении политических ориентаций населения, высказывались и российскими социологами [5, 6, 7].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Сравнивая результаты телефонных и персональных интервью, Р. Гроувз обнаружил также, что, отвечая по телефону, респонденты испытывают более высокий уровень тревожности и дискомфорта при обсуждении с интервьюерами целого ряда тем, традиционно интересующих специалистов по изучению общественного мнения и считающихся обычно эмоционально-нейтральными: доходы, уплата налогов, политические мнения, электоральное поведение, расовые установки, здоровье, работа. Причем наибольшие различия по двум методам были зафиксированы в ответах на вопросы, касающиеся финансового положения людей и их политических воззрений [1, р. 194].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Анализируя маргинальные распределения ответов, Р. Гроувз заметил еще две тенденции, характерные для вербального поведения респондентов в телефонном интервью: 1) стремление выбирать пункты шкал, соответствующие крайней степени удовлетворенности, и тем самым давать более оптимистические оценки различным сторонам своей жизни [1, р. 198-201]; 2)</w:t>
      </w:r>
      <w:r>
        <w:t xml:space="preserve"> </w:t>
      </w:r>
      <w:r w:rsidRPr="00462417">
        <w:t xml:space="preserve">склонность опрашиваемых к более частому выбору нейтральных, промежуточных градаций и к намеренной демонстрации таким образом уклончивых, усредненных мнений [1, р. 198-199]. Кроме того, Р. Гроувз, а позднее Дж. Фокс и П. Трэйси убедительно доказали, что телефонные интервью, помимо указанных недостатков, имеют и значительно более низкие субъективные оценки в сравнении с другими опросными методами. Судя по их данным, большинство респондентов, отвечая на вопрос о том, каким образом они предпочитают общаться с социологами, указали персональное интервью, в то время как телефонному они отвели лишь третье (последнее) место (табл. 1).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1. Опросные методы, предпочитаемые респондентами, %</w:t>
      </w:r>
    </w:p>
    <w:tbl>
      <w:tblPr>
        <w:tblW w:w="5000" w:type="pct"/>
        <w:tblCellSpacing w:w="7" w:type="dxa"/>
        <w:tblInd w:w="-8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05"/>
        <w:gridCol w:w="1901"/>
        <w:gridCol w:w="1547"/>
        <w:gridCol w:w="1721"/>
        <w:gridCol w:w="1680"/>
        <w:gridCol w:w="1032"/>
      </w:tblGrid>
      <w:tr w:rsidR="00F77276" w:rsidRPr="00462417" w:rsidTr="00731D83">
        <w:trPr>
          <w:tblCellSpacing w:w="7" w:type="dxa"/>
        </w:trPr>
        <w:tc>
          <w:tcPr>
            <w:tcW w:w="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Исследования</w:t>
            </w:r>
          </w:p>
        </w:tc>
        <w:tc>
          <w:tcPr>
            <w:tcW w:w="4011" w:type="pct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Предпочитаемые методы опроса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97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Персональное интервью</w:t>
            </w:r>
          </w:p>
        </w:tc>
        <w:tc>
          <w:tcPr>
            <w:tcW w:w="7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Почтовый опрос</w:t>
            </w:r>
          </w:p>
        </w:tc>
        <w:tc>
          <w:tcPr>
            <w:tcW w:w="87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</w:t>
            </w:r>
          </w:p>
        </w:tc>
        <w:tc>
          <w:tcPr>
            <w:tcW w:w="8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Смешанное мнение</w:t>
            </w:r>
          </w:p>
        </w:tc>
        <w:tc>
          <w:tcPr>
            <w:tcW w:w="4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Нет мнения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Default="00F77276" w:rsidP="00731D83">
            <w:pPr>
              <w:jc w:val="both"/>
            </w:pPr>
            <w:r w:rsidRPr="00462417">
              <w:t xml:space="preserve">Р. Гроувз </w:t>
            </w:r>
          </w:p>
          <w:p w:rsidR="00F77276" w:rsidRPr="00462417" w:rsidRDefault="00F77276" w:rsidP="00731D83">
            <w:pPr>
              <w:jc w:val="both"/>
            </w:pPr>
            <w:r w:rsidRPr="00462417">
              <w:t>[1, р. 193]</w:t>
            </w:r>
          </w:p>
        </w:tc>
        <w:tc>
          <w:tcPr>
            <w:tcW w:w="97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48,7</w:t>
            </w:r>
          </w:p>
        </w:tc>
        <w:tc>
          <w:tcPr>
            <w:tcW w:w="7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22,9</w:t>
            </w:r>
          </w:p>
        </w:tc>
        <w:tc>
          <w:tcPr>
            <w:tcW w:w="87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21,8</w:t>
            </w:r>
          </w:p>
        </w:tc>
        <w:tc>
          <w:tcPr>
            <w:tcW w:w="8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1,6</w:t>
            </w:r>
          </w:p>
        </w:tc>
        <w:tc>
          <w:tcPr>
            <w:tcW w:w="4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5.0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Default="00F77276" w:rsidP="00731D83">
            <w:pPr>
              <w:jc w:val="both"/>
            </w:pPr>
            <w:r w:rsidRPr="00462417">
              <w:t xml:space="preserve">Дж. Фокс и П. Трэйси </w:t>
            </w:r>
          </w:p>
          <w:p w:rsidR="00F77276" w:rsidRDefault="00F77276" w:rsidP="00731D83">
            <w:pPr>
              <w:jc w:val="both"/>
            </w:pPr>
            <w:r w:rsidRPr="00462417">
              <w:t xml:space="preserve">[8, р. 15; </w:t>
            </w:r>
          </w:p>
          <w:p w:rsidR="00F77276" w:rsidRPr="00462417" w:rsidRDefault="00F77276" w:rsidP="00731D83">
            <w:pPr>
              <w:jc w:val="both"/>
            </w:pPr>
            <w:r w:rsidRPr="00462417">
              <w:t>9, р. 172]</w:t>
            </w:r>
          </w:p>
        </w:tc>
        <w:tc>
          <w:tcPr>
            <w:tcW w:w="97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51,0 </w:t>
            </w:r>
          </w:p>
        </w:tc>
        <w:tc>
          <w:tcPr>
            <w:tcW w:w="7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30,0</w:t>
            </w:r>
          </w:p>
        </w:tc>
        <w:tc>
          <w:tcPr>
            <w:tcW w:w="87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7,0</w:t>
            </w:r>
          </w:p>
        </w:tc>
        <w:tc>
          <w:tcPr>
            <w:tcW w:w="8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–</w:t>
            </w:r>
          </w:p>
        </w:tc>
        <w:tc>
          <w:tcPr>
            <w:tcW w:w="4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–</w:t>
            </w:r>
          </w:p>
        </w:tc>
      </w:tr>
    </w:tbl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</w:rPr>
      </w:pPr>
      <w:r w:rsidRPr="00462417">
        <w:rPr>
          <w:b/>
          <w:bCs/>
          <w:sz w:val="28"/>
          <w:szCs w:val="28"/>
        </w:rPr>
        <w:t>Некоторые теоретические предпосылки и объяснительные гипотезы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Объясняя различия в ответах респондентов, социологи связывают их скорее не с содержательной спецификой задаваемых вопросов, а с уникальной природой коммуникативных процессов, характерных для разных опросных методов. Процесс коммуникации в телефонном интервью, по мнению многих авторов [10, р. 68; 1, р. 195, 204; 4, р. 251-252], отличается следующими особенностями: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Опосредованный характер общения и связанный с ним "дефицит легитимности" во взаимоотношениях между сторонами.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Заметная "аффективная дистанция" между участниками телефонного интервью, возникающая в связи с отсутствием прямого визуального контакта.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Отчужденный характер коммуникации сторон, участвующих в интервью.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Исключительно вербальные способы коммуникации, невозможность использования иных средств общения.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Ускоренная интеракция при отсутствии вербальных инструментов регулирования "разговорного потока".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Восприятие респондентами телефонного интервью как механического процесса "задавания вопросов и формулирования ответов".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Повышенный риск возникновения коммуникативной неадекватности в ответах в связи с ограниченной "канальной способностью" телефона как средства общения.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Напряженность коммуникативных отношений в связи с состоянием "микростресса" респондентов.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Специфическая для телефонных интервью форма опосредованного, "незримого" общения на расстоянии ставит респондентов в необычную проблемную ситуацию с неконтролируемыми условиями и труднопредсказуемыми последствиями. Пытаясь найти простые, но в то же время действенные способы ее разрешения (то есть превратить негативную ситуацию в позитивную), индивиды, как показано в специальной литературе [11, 12, 13], чаще всего выбирают поведенческую стратегию, основанную на универсальном принципе "практической рациональности". Обычно они руководствуются не правилами, искусственно навязываемыми им "извне" (в нашем случае – интервьюером), а собственной интуицией, личным жизненным опытом или просто соображениями здравого смысла. Именно данная стратегия позволяет им быстрее и эффективнее адаптировать проблемную ситуацию к своим жизненным целям и потребностям, снизить ее неопределенность и элиминировать негативные последствия. Средствами такой адаптации, избираемыми респондентами в телефонных интервью, как раз и выступают различные формы "ситуативной лжи": социально желательные, конформные, услужливые (лицемерные), уклончивые и неопределенные ответы, а также отказ от участия в исследовании или преждевременное прерывание беседы.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Вместе с тем следует отметить, что данные о влиянии метода на характер ответов респондентов, полученные в американской социологии в предыдущие годы, несколько противоречивы и не дают достаточных оснований для окончательного вывода об ущербности телефонных опросов. Так, Дж. Хочстим в результате сравнительного исследования трех известных способов сбора данных пришел к заключению, что в телефонном интервью и при почтовом анкетировании женщины, отвечая на вопросы об употреблении алкоголя, были более искренними, чем в персональном интервью [14]. Исследования Т. Роджерс показали, что при телефонном опросе респонденты демонстрировали более точные и достоверные ответы на вопросы, касающиеся уровня их образования и факта участия в выборах, чем в личной беседе. В итоге Роджерс склоняется к выводу о сопоставимости результатов, полученных по установочным, познавательным и личным вопросам при использовании двух стратегий интервьюирования, и о взаимозаменяемости последних [3, р. 54, 59, 65], замечая однако, что непосредственная интеракция "лицом к лицу" вызывает смещения в ответах респондентов и в ряде случаев "может быть барьером при получении высококачественных данных" [3, р. 65]. Не было обнаружено значимых различий в склонности респондентов к социально желательным ответам в зависимости от используемого метода и в исследованиях Дж. Коломботоса [15]. </w:t>
      </w:r>
    </w:p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</w:rPr>
      </w:pPr>
      <w:r w:rsidRPr="00462417">
        <w:rPr>
          <w:b/>
          <w:bCs/>
          <w:sz w:val="28"/>
          <w:szCs w:val="28"/>
        </w:rPr>
        <w:t>Эмпирическая база и методы исследования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Учитывая противоречивый характер имеющихся сведений, а также гипотетический характер ряда теоретических положений, мы попытались подвергнуть некоторые из них эмпирической проверке с использованием методов вторичного анализа данных, полученных нами в ходе опросов, посвященных изучению социально-политических ориентаций и электорального поведения населения г. Иваново. В сентябре-октябре 1995 г. социологическим центром Ивановского государственного энергетического университета под руководством автора было проведено три обследования, синхронизированных по времени и основанных на сопоставимых однотипных (квотных) выборках, выравненных по полу, возрасту и роду занятий респондентов. Два исследования (N=700 и N=705) проводились методом анкетного опроса по месту жительства респондентов, в третьем (N=100) – использовался метод формализованного телефонного интервью. Для последующего сравнения результатов некоторые вопросы, задававшиеся респондентам, были продублированы без каких-либо изменений в инструментарии всех трех исследований. В этот же период службой представительства Президента по Ивановской области были проведены еще два телефонных экспресс-интервью (N=150 и N=157), также посвященных предвыборной проблематике и включавших вопросы, аналогичные нашим как по содержанию, так и по формулировкам. Учитывая временную и методологическую сопоставимость этих опросов с нашими исследованиями, мы сочли возможным использовать полученные в них данные в качестве дополнительной эмпирической базы. Кроме того, в марте 1998 года кафедрой социологии Ивановского государственного энергетического университета было предпринято специальное четырехфазное методическое исследование, ориентированное на сравнительный анализ данных, получаемых с помощью различных опросных методов. 190 человек, предварительно отобранных по случайной систематической выборке из электронного справочника телефонных абонентов г. Иваново, были опрошены по телефону на основе стандартизированного вопросника. Одновременно с этим проводились опросы ивановцев в режиме анкетирования (N=200) и персонального интервью (N=200). Для отбора респондентов использовалась квотная модель выборки, репрезентировавшая взрослое городское население по полу, возрасту и роду занятий. И, наконец, 23 человека повторно отвечали на ту же самую анкету через 3-5 дней, заполняя ее самостоятельно. В ходе этого исследования изучались также субъективные оценки респондентов и их предпочтения относительно четырех известных методов сбора социологических данных: персонального и телефонного интервью, раздаточного и почтового анкетирования. </w:t>
      </w:r>
    </w:p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</w:rPr>
      </w:pPr>
      <w:r w:rsidRPr="00462417">
        <w:rPr>
          <w:b/>
          <w:bCs/>
          <w:sz w:val="28"/>
          <w:szCs w:val="28"/>
        </w:rPr>
        <w:t>Обсуждение результатов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Сравнительный анализ результатов четырех независимых друг от друга исследований, проведенных в 1995 году и включавших аналогичные вопросы, свидетельствуют о явной близости ответов, зафиксированных одним и тем же методом, при существенном расхождении данных, полученных разными опросными процедурами. Внутрикластерные различия, как видно из табл. 2, оказываются значительно слабее (от 3 до 8%), чем различия межкластерные (достигающие 20%).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2. Распределение ответов на вопрос: "Вы собираетесь или не собираетесь участвовать в предстоящих выборах в Государственную Думу?" в исследованиях с использованием разных методов, %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1"/>
        <w:gridCol w:w="1801"/>
        <w:gridCol w:w="1801"/>
        <w:gridCol w:w="2003"/>
        <w:gridCol w:w="2050"/>
      </w:tblGrid>
      <w:tr w:rsidR="00F77276" w:rsidRPr="00462417" w:rsidTr="00731D83">
        <w:trPr>
          <w:tblCellSpacing w:w="7" w:type="dxa"/>
        </w:trPr>
        <w:tc>
          <w:tcPr>
            <w:tcW w:w="1071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3907" w:type="pct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071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(N=705)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(N=100)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(N=150)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071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Да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46,3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49,2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66,0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69,0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071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Нет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39,3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31,6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21,0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26,0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071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Затрудняюсь ответить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14,5</w:t>
            </w:r>
          </w:p>
        </w:tc>
        <w:tc>
          <w:tcPr>
            <w:tcW w:w="92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19,1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13,0</w:t>
            </w:r>
          </w:p>
        </w:tc>
        <w:tc>
          <w:tcPr>
            <w:tcW w:w="10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Приведенные данные позволяют утверждать, что доля неискренних ответов на вопросы о предполагаемом электоральном поведении респондентов в телефонных интервью заметно выше (в среднем на 16%), чем в традиционных анкетных опросах. Опосредованный способ общения без визуального восприятия собеседника способствует появлению явно завышенного числа "услужливых" и конформных ответов, обусловленных желанием респондентов "ублажить" интервьюеров посредством имитированной солидаризации с общепринятыми нормами и образцами одобряемого политического поведения, и тем самым избежать вероятных с точки зрения негативных санкций ("ублажающая" и "конформистская" стратегии поведения). Повышенный удельный вес неискренних ответов в телефонном интервью, как оказалось, характерен не только для интенциональных вопросов. Сопоставление данных по другим их типам (например, вопросам, предназначенным для выявления и фиксации политических мнений, оценок и самооценок) также обнаруживает влияние метода на характер вербального поведения респондентов.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Сравнительный анализ результатов исследований, проведенных в 1995</w:t>
      </w:r>
      <w:r>
        <w:t xml:space="preserve"> </w:t>
      </w:r>
      <w:r w:rsidRPr="00462417">
        <w:t xml:space="preserve">г. с использованием двух разных методов, приводит к выводу, что уровень искренности респондентов при ответах на вопросы, требующие оценок известных политических деятелей или государственных органов (например, Президента и правительства), в телефонных интервью заметно ниже. Здесь чаще, чем в анкетных опросах, встречаются положительные и реже – отрицательные ответы. Выше и удельный вес уклончивых, неопределенных ответов, свидетельствующих о нежелании значительного числа отвечающих (около четверти всех опрошенных) высказывать интервьюерам свою истинную точку зрения по телефону (табл. 3 и 4).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Более детальное рассмотрение полученных данных показывает, что превышение позитивных оценок деятельности Президента, наблюдаемое у телефонных респондентов, обеспечивается за счет большего числа твердых, уверенных, однозначно одобрительных ответов. Умеренные, осторожные высказывания в этой части шкалы у них встречается реже. И, наоборот, выражая негативное отношение к главе государства, респонденты, "работавшие" в режиме телефонного интервью, старались всячески сгладить, смягчить свои оценки и уйти от прямой критики в его адрес. Они чаще, чем участники анкетного опроса, выбирали срединные, промежуточные (и реже крайние) пункты оценочной шкалы, стремясь тем самым продемонстрировать свою внешнюю лояльность Президенту ("регрессия поведения") (табл. 3). В результате в телефонном интервью ответы в целом оказываются менее критичными и неестественно сдвинуты в сторону положительного спектра оценок.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3. Распределение ответов на вопрос: "Как вы оцениваете деятельность Президента России за последний год?", %</w:t>
      </w:r>
    </w:p>
    <w:tbl>
      <w:tblPr>
        <w:tblW w:w="5000" w:type="pct"/>
        <w:tblCellSpacing w:w="7" w:type="dxa"/>
        <w:tblInd w:w="-5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2"/>
        <w:gridCol w:w="1139"/>
        <w:gridCol w:w="1050"/>
        <w:gridCol w:w="1139"/>
        <w:gridCol w:w="1145"/>
        <w:gridCol w:w="1175"/>
        <w:gridCol w:w="936"/>
      </w:tblGrid>
      <w:tr w:rsidR="00F77276" w:rsidRPr="00462417" w:rsidTr="00731D83">
        <w:trPr>
          <w:tblCellSpacing w:w="7" w:type="dxa"/>
        </w:trPr>
        <w:tc>
          <w:tcPr>
            <w:tcW w:w="1616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3361" w:type="pct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16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1119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16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(N=705)</w:t>
            </w:r>
          </w:p>
        </w:tc>
        <w:tc>
          <w:tcPr>
            <w:tcW w:w="1059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Телефонные интервью (N=100)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16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Положительно </w:t>
            </w:r>
          </w:p>
          <w:p w:rsidR="00F77276" w:rsidRPr="00462417" w:rsidRDefault="00F77276" w:rsidP="00731D83">
            <w:pPr>
              <w:jc w:val="both"/>
            </w:pPr>
            <w:r w:rsidRPr="00462417">
              <w:t>Скорее положительно, чем отрицательно</w:t>
            </w:r>
          </w:p>
        </w:tc>
        <w:tc>
          <w:tcPr>
            <w:tcW w:w="58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1,7 </w:t>
            </w:r>
          </w:p>
          <w:p w:rsidR="00F77276" w:rsidRPr="00462417" w:rsidRDefault="00F77276" w:rsidP="00731D83">
            <w:pPr>
              <w:jc w:val="both"/>
            </w:pPr>
            <w:r w:rsidRPr="00462417">
              <w:t>7,0</w:t>
            </w:r>
          </w:p>
        </w:tc>
        <w:tc>
          <w:tcPr>
            <w:tcW w:w="52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8,7</w:t>
            </w:r>
          </w:p>
        </w:tc>
        <w:tc>
          <w:tcPr>
            <w:tcW w:w="58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1,3 </w:t>
            </w:r>
          </w:p>
          <w:p w:rsidR="00F77276" w:rsidRPr="00462417" w:rsidRDefault="00F77276" w:rsidP="00731D83">
            <w:pPr>
              <w:jc w:val="both"/>
            </w:pPr>
            <w:r w:rsidRPr="00462417">
              <w:t>12,0</w:t>
            </w:r>
          </w:p>
        </w:tc>
        <w:tc>
          <w:tcPr>
            <w:tcW w:w="57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13,3</w:t>
            </w:r>
          </w:p>
        </w:tc>
        <w:tc>
          <w:tcPr>
            <w:tcW w:w="60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10,0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5,0</w:t>
            </w:r>
          </w:p>
        </w:tc>
        <w:tc>
          <w:tcPr>
            <w:tcW w:w="4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15,0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16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Скорее отрицательно, чем положительно </w:t>
            </w:r>
          </w:p>
          <w:p w:rsidR="00F77276" w:rsidRPr="00462417" w:rsidRDefault="00F77276" w:rsidP="00731D83">
            <w:pPr>
              <w:jc w:val="both"/>
            </w:pPr>
            <w:r w:rsidRPr="00462417">
              <w:t>Отрицательно</w:t>
            </w:r>
          </w:p>
        </w:tc>
        <w:tc>
          <w:tcPr>
            <w:tcW w:w="58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Default="00F77276" w:rsidP="00731D83">
            <w:pPr>
              <w:jc w:val="both"/>
            </w:pPr>
          </w:p>
          <w:p w:rsidR="00F77276" w:rsidRPr="00462417" w:rsidRDefault="00F77276" w:rsidP="00731D83">
            <w:pPr>
              <w:jc w:val="both"/>
            </w:pPr>
            <w:r w:rsidRPr="00462417">
              <w:t xml:space="preserve">25,4 </w:t>
            </w:r>
          </w:p>
          <w:p w:rsidR="00F77276" w:rsidRPr="00462417" w:rsidRDefault="00F77276" w:rsidP="00731D83">
            <w:pPr>
              <w:jc w:val="both"/>
            </w:pPr>
            <w:r w:rsidRPr="00462417">
              <w:t>47,6</w:t>
            </w:r>
          </w:p>
        </w:tc>
        <w:tc>
          <w:tcPr>
            <w:tcW w:w="52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73,0</w:t>
            </w:r>
          </w:p>
        </w:tc>
        <w:tc>
          <w:tcPr>
            <w:tcW w:w="58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Default="00F77276" w:rsidP="00731D83">
            <w:pPr>
              <w:jc w:val="both"/>
            </w:pPr>
          </w:p>
          <w:p w:rsidR="00F77276" w:rsidRPr="00462417" w:rsidRDefault="00F77276" w:rsidP="00731D83">
            <w:pPr>
              <w:jc w:val="both"/>
            </w:pPr>
            <w:r w:rsidRPr="00462417">
              <w:t xml:space="preserve">32,0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40,7</w:t>
            </w:r>
          </w:p>
        </w:tc>
        <w:tc>
          <w:tcPr>
            <w:tcW w:w="57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72,7</w:t>
            </w:r>
          </w:p>
        </w:tc>
        <w:tc>
          <w:tcPr>
            <w:tcW w:w="60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Default="00F77276" w:rsidP="00731D83">
            <w:pPr>
              <w:jc w:val="both"/>
            </w:pPr>
          </w:p>
          <w:p w:rsidR="00F77276" w:rsidRPr="00462417" w:rsidRDefault="00F77276" w:rsidP="00731D83">
            <w:pPr>
              <w:jc w:val="both"/>
            </w:pPr>
            <w:r w:rsidRPr="00462417">
              <w:t xml:space="preserve">30,0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33,0</w:t>
            </w:r>
          </w:p>
        </w:tc>
        <w:tc>
          <w:tcPr>
            <w:tcW w:w="4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63,0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16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Затрудняюсь ответить</w:t>
            </w:r>
          </w:p>
        </w:tc>
        <w:tc>
          <w:tcPr>
            <w:tcW w:w="1119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18,2</w:t>
            </w:r>
          </w:p>
        </w:tc>
        <w:tc>
          <w:tcPr>
            <w:tcW w:w="116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14,1</w:t>
            </w:r>
          </w:p>
        </w:tc>
        <w:tc>
          <w:tcPr>
            <w:tcW w:w="1059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22,0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Сходная картина обнаруживается и при анализе частотных распределений, характеризующих мнения людей относительно дееспособности российского правительства: при незначительном превышении доли одобрительных (оптимистических) оценок удельный вес отрицательных в телефонном интервью заметно ниже, чем в анкетном опросе. При этом телефонные респонденты, как и в предыдущем случае, продемонстрировали повышенный уровень поведенческой регрессии (табл. 4).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По данным наших исследований, манипулирование вопросной техникой не приводит к изменению общих, отмеченных ранее тенденций в распределении ответов респондентов, опрошенных разными методами. В частности, использование в анкете и в телефонном вопроснике косвенного безличного вопроса (вместо личного прямого), ориентированного на повышение уровня искренности ответов и получение более достоверных данных об отношении населения к Президенту России, не дало ожидаемых результатов. Наша первичная гипотеза о вероятном ослаблении социальной желательности при использовании стимулирующих средств в условиях телефонного интервью не подтвердилась. Удельный вес позитивных оценок Президента при безличном обращении к опрашиваемым не сократился, а, наоборот, увеличился по сравнению с личным вопросом. И хотя это увеличение было замечено для обоих опросных методов, прирост в телефонном интервью оказался несколько выше, чем в анкетном опросе: 1,80 и 1,68 раза соответственно.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4. Распределение ответов на вопрос: "Как вы полагаете, сможет или не сможет нынешнее правительство вывести страну из кризиса?", %</w:t>
      </w:r>
    </w:p>
    <w:tbl>
      <w:tblPr>
        <w:tblW w:w="5000" w:type="pct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3306"/>
        <w:gridCol w:w="3331"/>
      </w:tblGrid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338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Телефонные интервью (N=100)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Да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1,0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2,0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Скорее да, чем нет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6,9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8,0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Скорее нет, чем да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28,7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24,0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Нет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47,6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43,0</w:t>
            </w:r>
          </w:p>
        </w:tc>
      </w:tr>
      <w:tr w:rsidR="00F77276" w:rsidRPr="00462417" w:rsidTr="00731D83">
        <w:trPr>
          <w:tblCellSpacing w:w="7" w:type="dxa"/>
          <w:jc w:val="center"/>
        </w:trPr>
        <w:tc>
          <w:tcPr>
            <w:tcW w:w="1590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Затрудняюсь ответить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15,8</w:t>
            </w:r>
          </w:p>
        </w:tc>
        <w:tc>
          <w:tcPr>
            <w:tcW w:w="168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23,0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Усилился и разрыв между числом положительных ответов, зафиксированных разными методами. В том случае, когда от респондентов требовали дать прямую оценку деятельности Президента страны, превышение одобрительных ответов, полученных по телефону, по сравнению с анкетированием составило 1,72 раза. При получении оценки косвенным путем эта разница достигла 1,85 раза (табл. 3 и 5). Это, по-видимому, свидетельствует о том, что традиционные способы повышения искренности (замена прямых вопросов косвенными, перевод личных вопросов в безличные и т. п.) не могут элиминировать влияние метода сбора данных на вербальное поведение респондентов. В телефонном интервью конформизм и социальная желательность – более частые явления, чем в обычном анкетном опросе.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5. Распределение ответов на вопрос: "Как вы считаете, изберут или не изберут нынешнего Президента России снова, если он выдвинет свою кандидатуру на очередных президентских выборах?", %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87"/>
        <w:gridCol w:w="1179"/>
        <w:gridCol w:w="2242"/>
        <w:gridCol w:w="1358"/>
        <w:gridCol w:w="1590"/>
      </w:tblGrid>
      <w:tr w:rsidR="00F77276" w:rsidRPr="00462417" w:rsidTr="00731D83">
        <w:trPr>
          <w:tblCellSpacing w:w="7" w:type="dxa"/>
        </w:trPr>
        <w:tc>
          <w:tcPr>
            <w:tcW w:w="1732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Варианты ответов </w:t>
            </w:r>
          </w:p>
        </w:tc>
        <w:tc>
          <w:tcPr>
            <w:tcW w:w="3244" w:type="pct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732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1745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492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(N=100)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732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Да </w:t>
            </w:r>
          </w:p>
          <w:p w:rsidR="00F77276" w:rsidRPr="00462417" w:rsidRDefault="00F77276" w:rsidP="00731D83">
            <w:pPr>
              <w:jc w:val="both"/>
            </w:pPr>
            <w:r w:rsidRPr="00462417">
              <w:t>Скорее да, чем нет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5,0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9,6</w:t>
            </w:r>
          </w:p>
        </w:tc>
        <w:tc>
          <w:tcPr>
            <w:tcW w:w="11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14,6</w:t>
            </w:r>
          </w:p>
        </w:tc>
        <w:tc>
          <w:tcPr>
            <w:tcW w:w="6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13,0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14,0</w:t>
            </w:r>
          </w:p>
        </w:tc>
        <w:tc>
          <w:tcPr>
            <w:tcW w:w="7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27,0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732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Скорее нет, чем да </w:t>
            </w:r>
          </w:p>
          <w:p w:rsidR="00F77276" w:rsidRPr="00462417" w:rsidRDefault="00F77276" w:rsidP="00731D83">
            <w:pPr>
              <w:jc w:val="both"/>
            </w:pPr>
            <w:r w:rsidRPr="00462417">
              <w:t>Нет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23,5 </w:t>
            </w:r>
          </w:p>
          <w:p w:rsidR="00F77276" w:rsidRPr="00462417" w:rsidRDefault="00F77276" w:rsidP="00731D83">
            <w:pPr>
              <w:jc w:val="both"/>
            </w:pPr>
            <w:r w:rsidRPr="00462417">
              <w:t>43,1</w:t>
            </w:r>
          </w:p>
        </w:tc>
        <w:tc>
          <w:tcPr>
            <w:tcW w:w="11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66,6</w:t>
            </w:r>
          </w:p>
        </w:tc>
        <w:tc>
          <w:tcPr>
            <w:tcW w:w="6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 xml:space="preserve">13,0 </w:t>
            </w:r>
          </w:p>
          <w:p w:rsidR="00F77276" w:rsidRPr="00462417" w:rsidRDefault="00F77276" w:rsidP="00731D83">
            <w:pPr>
              <w:jc w:val="both"/>
            </w:pPr>
            <w:r w:rsidRPr="00462417">
              <w:t>46,0</w:t>
            </w:r>
          </w:p>
        </w:tc>
        <w:tc>
          <w:tcPr>
            <w:tcW w:w="7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59,0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732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Затрудняюсь ответить</w:t>
            </w:r>
          </w:p>
        </w:tc>
        <w:tc>
          <w:tcPr>
            <w:tcW w:w="1745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18,9</w:t>
            </w:r>
          </w:p>
        </w:tc>
        <w:tc>
          <w:tcPr>
            <w:tcW w:w="1492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14,0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Описанные выше феномены объясняются на наш взгляд, спецификой коммуникативных ситуаций, возникающих в условиях применения различных опросных методов и вызывающих у респондентов разные поведенческие стратегии. Если при анкетировании вопросы, связанные с необходимостью оценки Президента и правительства, мало кем из участников опроса считаются острыми ("чувствительными") или деликатными, то в телефонных интервью их восприятие в качестве таковых заметно усиливается, что и стимулирует соответствующие вербальные реакции опрашиваемых. По данным нашего методического исследования, проведенного в 1998 году, большинство респондентов предпочитают высказываться относительно социально-экономической политики правительства либо в личной беседе с интервьюером "с глазу на глаз" (31,5 %), либо заполняя анкету самостоятельно (27,4 %). Телефонное общение на эту тему считают уместным лишь 14,7 % всех опрошенных (еще 5,8 % выбрали почтовый опрос и 20,6 % затруднились с ответом).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При анализе ответов на вопросы, касающихся оценок респондентами их жизненного уровня, а также требующих социально-групповой самоидентификации, обнаруживаются две достаточно характерные для подобного рода случаев тенденции. С одной стороны, в телефонных интервью более выражено стремление опрашиваемых к принятию семантически нейтральных, промежуточных, а потому "безопасных" или "малообязывающих", с их точки зрения, вариантов ответов. Это свидетельствует, скорее всего, об актуализации у значительной части респондентов в процессе беседы конформистской стратегии поведения, позволяющей им имитировать свою идентичность с основной массой населения, что для них кажется весьма немаловажным в условиях обострения криминогенной ситуации в стране. С другой стороны, в данных об уровне жизни, собираемых по телефону, просматривается более активное желание людей защитить свое "идеальное, социальное, настоящее (или прошлое) Я" от возможного разрушения в ходе опроса посредством самоотнесения к категории "средних слоев" населения ("самоконструирующая" стратегия самоподачи) (табл. 6 и 7). Самоидентификация со "средним слоем" дает респондентам возможность поддерживать и укреплять их собственные представления о своем материальном и социальном статусе, сложившиеся у большинства из них еще в прошлые годы, но резко пошатнувшиеся в период рыночных реформ.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6. Распределение ответов на вопрос: "Как изменился ваш жизненный уровень за последние полгода?", %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9"/>
        <w:gridCol w:w="1174"/>
        <w:gridCol w:w="1000"/>
        <w:gridCol w:w="1175"/>
        <w:gridCol w:w="1096"/>
        <w:gridCol w:w="1177"/>
        <w:gridCol w:w="1325"/>
      </w:tblGrid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3538" w:type="pct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1108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1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(N=705)</w:t>
            </w:r>
          </w:p>
        </w:tc>
        <w:tc>
          <w:tcPr>
            <w:tcW w:w="12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(N=100)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Заметно повысился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2,9</w:t>
            </w:r>
          </w:p>
        </w:tc>
        <w:tc>
          <w:tcPr>
            <w:tcW w:w="501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12,9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1,3</w:t>
            </w:r>
          </w:p>
        </w:tc>
        <w:tc>
          <w:tcPr>
            <w:tcW w:w="551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10,0</w:t>
            </w:r>
          </w:p>
        </w:tc>
        <w:tc>
          <w:tcPr>
            <w:tcW w:w="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5,0</w:t>
            </w:r>
          </w:p>
        </w:tc>
        <w:tc>
          <w:tcPr>
            <w:tcW w:w="649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12,0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Несколько повысился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10,0</w:t>
            </w:r>
          </w:p>
        </w:tc>
        <w:tc>
          <w:tcPr>
            <w:tcW w:w="501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8,7</w:t>
            </w:r>
          </w:p>
        </w:tc>
        <w:tc>
          <w:tcPr>
            <w:tcW w:w="551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  <w:tc>
          <w:tcPr>
            <w:tcW w:w="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7,0</w:t>
            </w:r>
          </w:p>
        </w:tc>
        <w:tc>
          <w:tcPr>
            <w:tcW w:w="649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 изменился</w:t>
            </w:r>
          </w:p>
        </w:tc>
        <w:tc>
          <w:tcPr>
            <w:tcW w:w="1108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16,0</w:t>
            </w:r>
          </w:p>
        </w:tc>
        <w:tc>
          <w:tcPr>
            <w:tcW w:w="11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11,6</w:t>
            </w:r>
          </w:p>
        </w:tc>
        <w:tc>
          <w:tcPr>
            <w:tcW w:w="12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26,0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Несколько понизился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17,0</w:t>
            </w:r>
          </w:p>
        </w:tc>
        <w:tc>
          <w:tcPr>
            <w:tcW w:w="501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69,2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29,3</w:t>
            </w:r>
          </w:p>
        </w:tc>
        <w:tc>
          <w:tcPr>
            <w:tcW w:w="551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76,2</w:t>
            </w:r>
          </w:p>
        </w:tc>
        <w:tc>
          <w:tcPr>
            <w:tcW w:w="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11,0</w:t>
            </w:r>
          </w:p>
        </w:tc>
        <w:tc>
          <w:tcPr>
            <w:tcW w:w="649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} 62,0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Заметно понизился</w:t>
            </w: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52,2</w:t>
            </w:r>
          </w:p>
        </w:tc>
        <w:tc>
          <w:tcPr>
            <w:tcW w:w="501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  <w:tc>
          <w:tcPr>
            <w:tcW w:w="5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46,9</w:t>
            </w:r>
          </w:p>
        </w:tc>
        <w:tc>
          <w:tcPr>
            <w:tcW w:w="551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  <w:tc>
          <w:tcPr>
            <w:tcW w:w="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51,0</w:t>
            </w:r>
          </w:p>
        </w:tc>
        <w:tc>
          <w:tcPr>
            <w:tcW w:w="649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vAlign w:val="center"/>
          </w:tcPr>
          <w:p w:rsidR="00F77276" w:rsidRPr="00462417" w:rsidRDefault="00F77276" w:rsidP="00731D83">
            <w:pPr>
              <w:jc w:val="both"/>
            </w:pPr>
          </w:p>
        </w:tc>
      </w:tr>
      <w:tr w:rsidR="00F77276" w:rsidRPr="00462417" w:rsidTr="00731D83">
        <w:trPr>
          <w:tblCellSpacing w:w="7" w:type="dxa"/>
        </w:trPr>
        <w:tc>
          <w:tcPr>
            <w:tcW w:w="1439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Затрудняюсь ответить</w:t>
            </w:r>
          </w:p>
        </w:tc>
        <w:tc>
          <w:tcPr>
            <w:tcW w:w="1108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1,9</w:t>
            </w:r>
          </w:p>
        </w:tc>
        <w:tc>
          <w:tcPr>
            <w:tcW w:w="11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2,3</w:t>
            </w:r>
          </w:p>
        </w:tc>
        <w:tc>
          <w:tcPr>
            <w:tcW w:w="125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7. Распределение ответов на вопрос: "К каким слоям населения по уровню жизни вы сами себя относите?", %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4"/>
        <w:gridCol w:w="2047"/>
        <w:gridCol w:w="2555"/>
      </w:tblGrid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2343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(N=100)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К богатым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0,1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К высокообеспеченным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0,9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К средним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34,2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45,0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К малообеспеченным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45,9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38,0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634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К бедным</w:t>
            </w:r>
          </w:p>
        </w:tc>
        <w:tc>
          <w:tcPr>
            <w:tcW w:w="10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18,9</w:t>
            </w:r>
          </w:p>
        </w:tc>
        <w:tc>
          <w:tcPr>
            <w:tcW w:w="129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16,0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Обе отмеченные тенденции отчетливо просматриваются и при сравнительном анализе ответов респондентов на вопросы о доходах и их соответствии прожиточному минимуму. Как следует из табл. 8, в телефонном интервью, по сравнению с анкетным опросом, люди намного чаще выбирают промежуточную градацию и прежде всего в тех случаях, когда от них требуется самооценка жизненного уровня. В результате доля людей, чьи доходы "примерно соответствуют прожиточному минимуму", оказывается здесь неестественно завышенной.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##h4Таблица 8. Распределение ответов респондентов на вопросы о доходах и их соответствии прожиточному минимуму в зависимости от метода сбора данных, % 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0"/>
        <w:gridCol w:w="2034"/>
        <w:gridCol w:w="2064"/>
        <w:gridCol w:w="2458"/>
      </w:tblGrid>
      <w:tr w:rsidR="00F77276" w:rsidRPr="00462417" w:rsidTr="00731D83">
        <w:trPr>
          <w:trHeight w:val="390"/>
          <w:tblCellSpacing w:w="7" w:type="dxa"/>
        </w:trPr>
        <w:tc>
          <w:tcPr>
            <w:tcW w:w="1633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3343" w:type="pct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33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10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(самоотчеты, N=705)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(самоотчеты N=157)*</w:t>
            </w:r>
          </w:p>
        </w:tc>
        <w:tc>
          <w:tcPr>
            <w:tcW w:w="123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(самооценки N=157)**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33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Доходы ниже прожиточного минимума</w:t>
            </w:r>
          </w:p>
        </w:tc>
        <w:tc>
          <w:tcPr>
            <w:tcW w:w="10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56,5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76,0</w:t>
            </w:r>
          </w:p>
        </w:tc>
        <w:tc>
          <w:tcPr>
            <w:tcW w:w="123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75,0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33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Доходы примерно на уровне прожиточного минимума</w:t>
            </w:r>
          </w:p>
        </w:tc>
        <w:tc>
          <w:tcPr>
            <w:tcW w:w="10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8,5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5,0</w:t>
            </w:r>
          </w:p>
        </w:tc>
        <w:tc>
          <w:tcPr>
            <w:tcW w:w="123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21,0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1633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Доходы выше прожиточного минимума</w:t>
            </w:r>
          </w:p>
        </w:tc>
        <w:tc>
          <w:tcPr>
            <w:tcW w:w="10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35,0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19,0</w:t>
            </w:r>
          </w:p>
        </w:tc>
        <w:tc>
          <w:tcPr>
            <w:tcW w:w="123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* Рассчитано по: [17, с. 1]. Здесь так же, как и в анкетном опросе, использовалась следующая формулировка вопроса: "Каков средний доход в вашей семье на одного человека в месяц?". Ответы респондентов кодировались с учетом величины прожиточного минимума для жителей г. Иваново на сентябрь-октябрь 1995 года.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** Для сбора первичных данных использовался вопрос: "Соответствуют ли доходы в вашей семье прожиточному минимуму?" с пятичленной оценочной шкалой [18, с. 1]. 1% респондентов затруднился ответить на данный вопрос.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Сопоставление ответов, полученных при использовании разных методов, высвечивает и еще один весьма примечательный факт. Судя по данным, приведенным в табл. 8, респонденты, опрашиваемые по телефону, склонны существенно занижать уровень своих реальных доходов, причем подобная поведенческая стратегия весьма устойчива и вызывается не только формой вопроса или его содержательной спецификой, сколько коммуникативными характеристиками телефонного интервью и особенностями опросной ситуации. Все вопросы, касающиеся размера и источников доходов, традиционно воспринимаются людьми как чрезвычайно острые и деликатные вне зависимости от способа их предъявления. В телефонном интервью, страдающем "дефицитом легитимности", степень их остроты для респондентов резко повышается. Не случайно, в нашем исследовании 1998 г. в качестве наиболее приемлемых способов обсуждения этой темы участники опроса назвали анкетирование (29,1%) и личное интервью (25,6%). Телефонному интервью в данном случае отдали предпочтение лишь 15,2% респондентов. В результате исследования выяснилось также, что в интервью по телефону вопрос о доходах оставили без ответа 26,3% опрошенных, в то время как при заполнении анкеты и в ходе личной беседы – лишь по 11,5% респондентов.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Влияние метода сбора данных ощущается и в ответах респондентов на вопросы о мнениях. "Работая" в режиме телефонных интервью, как видно из табл. 9, они чаще используют прием "искусственной манифестации мнений" (Ф. Олпорт), охотнее принимая "подсказки", содержащие шаблонные и стереотипные ответы ("бывшая партноменклатура", "руководители крупных промышленных предприятий и банков"), и, напротив, слабее реагируя на те из них, которые, по их мнению, могут иметь для них негативные последствия (ответы типа: "мафия", "новая буржуазия" и т. д.).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Таблица 9. Распределение ответов на вопрос: "Кто, по вашему мнению, является сегодня реальным хозяином в нашем городе?", %</w:t>
      </w:r>
    </w:p>
    <w:tbl>
      <w:tblPr>
        <w:tblW w:w="5000" w:type="pct"/>
        <w:tblCellSpacing w:w="7" w:type="dxa"/>
        <w:tblInd w:w="-6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06"/>
        <w:gridCol w:w="1861"/>
        <w:gridCol w:w="2089"/>
      </w:tblGrid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Варианты ответов</w:t>
            </w:r>
          </w:p>
        </w:tc>
        <w:tc>
          <w:tcPr>
            <w:tcW w:w="2008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Метод исследования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>
              <w:t xml:space="preserve"> 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Анкетный опрос (N=700)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Телефонное интервью (N=100)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Бывшая партийно-государственная верхушка (номенклатура)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15,5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19,0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Руководители крупных промышленных предприятий и банков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10,9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16,0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Политические партии, движения, общественные организации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1,0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Различные коммерческие структуры, "новая буржуазия"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14,9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7,0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Городская администрация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12,6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5,0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Мафия, дельцы теневой экономики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43,5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32,0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Иностранный капитал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2,8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Настоящего хозяина в городе нет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37,8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24,0</w:t>
            </w:r>
          </w:p>
        </w:tc>
      </w:tr>
      <w:tr w:rsidR="00F77276" w:rsidRPr="00462417" w:rsidTr="00731D83">
        <w:trPr>
          <w:tblCellSpacing w:w="7" w:type="dxa"/>
        </w:trPr>
        <w:tc>
          <w:tcPr>
            <w:tcW w:w="2968" w:type="pct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Иные ответы</w:t>
            </w:r>
          </w:p>
        </w:tc>
        <w:tc>
          <w:tcPr>
            <w:tcW w:w="94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0,6</w:t>
            </w:r>
          </w:p>
        </w:tc>
        <w:tc>
          <w:tcPr>
            <w:tcW w:w="105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F77276" w:rsidRPr="00462417" w:rsidRDefault="00F77276" w:rsidP="00731D83">
            <w:pPr>
              <w:jc w:val="both"/>
            </w:pPr>
            <w:r w:rsidRPr="00462417">
              <w:t>0,0</w:t>
            </w:r>
          </w:p>
        </w:tc>
      </w:tr>
    </w:tbl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Такой тип вербального поведения также можно считать вполне объяснимым с учетом фактора "незримого" общения по телефону с неизвестным собеседником. </w:t>
      </w:r>
    </w:p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</w:rPr>
      </w:pPr>
      <w:r w:rsidRPr="00462417">
        <w:rPr>
          <w:b/>
          <w:bCs/>
          <w:sz w:val="28"/>
          <w:szCs w:val="28"/>
        </w:rPr>
        <w:t>Заключение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Метод сбора социологических данных действительно влияет на ответы респондентов. Из восьми вопросов ответы только на один из них оказались не зависимы от способа его предъявления. При этом уровень искренности респондентов в значительно меньшей степени связан с содержанием и целевым назначением вопроса, чем с используемым в исследовании методом. Разные способы опроса обладают, соответственно, и разной способностью стимулировать искренние, достоверные ответы респондентов. Как показано выше, качество и достоверность сведений, собираемых по телефону, оказывается заметно ниже, чем у данных, полученных другими способами. Это связано прежде всего с тем, что телефонное общение воспринимается респондентами как ситуация, обладающая наименьшим уровнем анонимности, а потому допускающая возможность нарушения конфиденциальности сообщаемой ими информации. Метод накладывает определенные, порой очень серьезные, ограничения на исследуемую проблематику. Телефонные интервью демонстрируют меньшую надежность при изучении, например, таких тем, как фактическое и предполагаемое электоральное поведение, политические оценки и мнения граждан, доходы и уровень жизни населения. Поэтому использование телефонных опросов при прогнозировании исхода голосований, а также при сборе данных по социально-экономическим и политическим вопросам является весьма проблематичным. </w:t>
      </w:r>
    </w:p>
    <w:p w:rsidR="00F77276" w:rsidRPr="00462417" w:rsidRDefault="00F77276" w:rsidP="00F7727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462417">
        <w:rPr>
          <w:b/>
          <w:bCs/>
          <w:sz w:val="28"/>
          <w:szCs w:val="28"/>
        </w:rPr>
        <w:t>Список</w:t>
      </w:r>
      <w:r w:rsidRPr="00462417">
        <w:rPr>
          <w:b/>
          <w:bCs/>
          <w:sz w:val="28"/>
          <w:szCs w:val="28"/>
          <w:lang w:val="en-US"/>
        </w:rPr>
        <w:t xml:space="preserve"> </w:t>
      </w:r>
      <w:r w:rsidRPr="00462417">
        <w:rPr>
          <w:b/>
          <w:bCs/>
          <w:sz w:val="28"/>
          <w:szCs w:val="28"/>
        </w:rPr>
        <w:t>литературы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Groves R. Actors and questions in telephone and personal interview survey // Public Opinion Quarterly. 1979. Vol. 43. No. 2.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t xml:space="preserve">Wiseman F. Methodological bias in public opinion surveys // Public Opinion Quarterly. </w:t>
      </w:r>
      <w:r w:rsidRPr="00462417">
        <w:rPr>
          <w:lang w:val="en-US"/>
        </w:rPr>
        <w:t xml:space="preserve">1972. Vol. 36. No. 1.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Rogers T. Interviews by telephone and in person: quality of responses and field performance // Public Opinion Quarterly. 1976. Vol. 40. No. 1.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rPr>
          <w:lang w:val="en-US"/>
        </w:rPr>
        <w:t xml:space="preserve">Miller P.V., Cannell Ch.F. A study of experimental techniques for telephone interviewing // Public Opinion Quarterly. </w:t>
      </w:r>
      <w:r w:rsidRPr="00462417">
        <w:t xml:space="preserve">1982. Vol. 46. No. 2.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Мичурин В.А., Ягодина О.А. Социологические прогнозы и реальность // Социологические исследования. 1992. No. 1.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Дмитриев А.В., Тощенко Ж.Т. Социологические опросы и политика // Социологические исследования. 1994. No. 5.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t xml:space="preserve">Растов Ю.В. Выборы губернатора: точность социологических прогнозов // Социологические исследования. </w:t>
      </w:r>
      <w:r w:rsidRPr="00462417">
        <w:rPr>
          <w:lang w:val="en-US"/>
        </w:rPr>
        <w:t xml:space="preserve">1997. N 12.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Fox J.A., Tracy P.E. Randomized response: A method for sensitive surveys. Beverly Hills, CA.: SQASS, 1986.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Makkai T., Mcallister I. Measuring social indicators in opinion surveys: A method to improve accuracy on sensitive questions // Social Indicators Research. 1992. Vol. 27. No. 2.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Dillman D.A., Gallegos J.G., Frey J.H. Reducing refusal rates for telephone interviews // Public Opinion Quarterly. 1976. Vol. 40. No. 1.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Molotch H. Sociology and economy. Santa Barbara: University </w:t>
      </w:r>
      <w:r w:rsidRPr="00462417">
        <w:t>о</w:t>
      </w:r>
      <w:r w:rsidRPr="00462417">
        <w:rPr>
          <w:lang w:val="en-US"/>
        </w:rPr>
        <w:t xml:space="preserve">f California Press, 1989.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Барская О.Л. Социальная идентификация и практическая рациональность // Социально-политическая идентификация в условиях перестройки. М.: Институт социологии РАН, 1991.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t>Давыдов А.А. Респондент как источник информации. М</w:t>
      </w:r>
      <w:r w:rsidRPr="00462417">
        <w:rPr>
          <w:lang w:val="en-US"/>
        </w:rPr>
        <w:t xml:space="preserve">.: </w:t>
      </w:r>
      <w:r w:rsidRPr="00462417">
        <w:t>Институт</w:t>
      </w:r>
      <w:r w:rsidRPr="00462417">
        <w:rPr>
          <w:lang w:val="en-US"/>
        </w:rPr>
        <w:t xml:space="preserve"> </w:t>
      </w:r>
      <w:r w:rsidRPr="00462417">
        <w:t>социологии</w:t>
      </w:r>
      <w:r w:rsidRPr="00462417">
        <w:rPr>
          <w:lang w:val="en-US"/>
        </w:rPr>
        <w:t xml:space="preserve"> </w:t>
      </w:r>
      <w:r w:rsidRPr="00462417">
        <w:t>РАН</w:t>
      </w:r>
      <w:r w:rsidRPr="00462417">
        <w:rPr>
          <w:lang w:val="en-US"/>
        </w:rPr>
        <w:t xml:space="preserve">, 1993. </w:t>
      </w:r>
    </w:p>
    <w:p w:rsidR="00F77276" w:rsidRPr="00462417" w:rsidRDefault="00F77276" w:rsidP="00F77276">
      <w:pPr>
        <w:spacing w:before="120"/>
        <w:ind w:firstLine="567"/>
        <w:jc w:val="both"/>
        <w:rPr>
          <w:lang w:val="en-US"/>
        </w:rPr>
      </w:pPr>
      <w:r w:rsidRPr="00462417">
        <w:rPr>
          <w:lang w:val="en-US"/>
        </w:rPr>
        <w:t xml:space="preserve">Hochstim J.R. A Critical comparison of three strategies of collecting data from households // Journal of the American Statistical Association. 1967. Vol. 62. No. 6.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rPr>
          <w:lang w:val="en-US"/>
        </w:rPr>
        <w:t xml:space="preserve">Colombotos J. Personal versus telephone interviews: Effect on responses // Public Health Reports. </w:t>
      </w:r>
      <w:r w:rsidRPr="00462417">
        <w:t xml:space="preserve">1969. Vol. 84. No. 5.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Сомневающихся стало больше // Ивановская газета. 1995. 22 сентября.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 xml:space="preserve">Бедные мы… бедные? // Ивановская газета. 1995. 16 ноября. </w:t>
      </w:r>
    </w:p>
    <w:p w:rsidR="00F77276" w:rsidRPr="00462417" w:rsidRDefault="00F77276" w:rsidP="00F77276">
      <w:pPr>
        <w:spacing w:before="120"/>
        <w:ind w:firstLine="567"/>
        <w:jc w:val="both"/>
      </w:pPr>
      <w:r w:rsidRPr="00462417">
        <w:t>Как вам живется, ивановцы? // Рабочий край. 1995. 15 ноября.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76"/>
    <w:rsid w:val="002324B9"/>
    <w:rsid w:val="00462417"/>
    <w:rsid w:val="00616072"/>
    <w:rsid w:val="00731D83"/>
    <w:rsid w:val="008B35EE"/>
    <w:rsid w:val="00B42C45"/>
    <w:rsid w:val="00B47B6A"/>
    <w:rsid w:val="00B558CE"/>
    <w:rsid w:val="00F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D269EB-0BAE-44A9-B13A-3E684AE7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77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17986</Words>
  <Characters>10253</Characters>
  <Application>Microsoft Office Word</Application>
  <DocSecurity>0</DocSecurity>
  <Lines>85</Lines>
  <Paragraphs>56</Paragraphs>
  <ScaleCrop>false</ScaleCrop>
  <Company>Home</Company>
  <LinksUpToDate>false</LinksUpToDate>
  <CharactersWithSpaces>28183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метода сбора данных на вербальное поведение респондентов </dc:title>
  <dc:subject/>
  <dc:creator>User</dc:creator>
  <cp:keywords/>
  <dc:description/>
  <cp:lastModifiedBy>admin</cp:lastModifiedBy>
  <cp:revision>2</cp:revision>
  <dcterms:created xsi:type="dcterms:W3CDTF">2014-01-24T17:15:00Z</dcterms:created>
  <dcterms:modified xsi:type="dcterms:W3CDTF">2014-01-24T17:15:00Z</dcterms:modified>
</cp:coreProperties>
</file>