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C30" w:rsidRDefault="00EC3C30" w:rsidP="007F16CC">
      <w:pPr>
        <w:pStyle w:val="a3"/>
        <w:spacing w:before="0" w:beforeAutospacing="0" w:after="0" w:afterAutospacing="0" w:line="360" w:lineRule="auto"/>
        <w:jc w:val="both"/>
        <w:rPr>
          <w:rStyle w:val="a4"/>
          <w:sz w:val="28"/>
          <w:szCs w:val="28"/>
        </w:rPr>
      </w:pPr>
    </w:p>
    <w:p w:rsidR="000534C7" w:rsidRDefault="000534C7" w:rsidP="007F16CC">
      <w:pPr>
        <w:pStyle w:val="a3"/>
        <w:spacing w:before="0" w:beforeAutospacing="0" w:after="0" w:afterAutospacing="0" w:line="360" w:lineRule="auto"/>
        <w:jc w:val="both"/>
        <w:rPr>
          <w:rStyle w:val="a4"/>
          <w:sz w:val="28"/>
          <w:szCs w:val="28"/>
        </w:rPr>
      </w:pPr>
      <w:r w:rsidRPr="007F16CC">
        <w:rPr>
          <w:rStyle w:val="a4"/>
          <w:sz w:val="28"/>
          <w:szCs w:val="28"/>
        </w:rPr>
        <w:t>1</w:t>
      </w:r>
      <w:r>
        <w:rPr>
          <w:rStyle w:val="a4"/>
          <w:sz w:val="28"/>
          <w:szCs w:val="28"/>
        </w:rPr>
        <w:t xml:space="preserve"> </w:t>
      </w:r>
      <w:r w:rsidRPr="007F16CC">
        <w:rPr>
          <w:rStyle w:val="a4"/>
          <w:sz w:val="28"/>
          <w:szCs w:val="28"/>
        </w:rPr>
        <w:t>П</w:t>
      </w:r>
      <w:r>
        <w:rPr>
          <w:rStyle w:val="a4"/>
          <w:sz w:val="28"/>
          <w:szCs w:val="28"/>
        </w:rPr>
        <w:t>рогноз вероятности возникновения чрезвычайных ситуаций природного характера</w:t>
      </w:r>
    </w:p>
    <w:p w:rsidR="000534C7" w:rsidRPr="007F16CC" w:rsidRDefault="000534C7" w:rsidP="007F16CC">
      <w:pPr>
        <w:pStyle w:val="a3"/>
        <w:spacing w:before="0" w:beforeAutospacing="0" w:after="0" w:afterAutospacing="0" w:line="360" w:lineRule="auto"/>
        <w:jc w:val="both"/>
        <w:rPr>
          <w:sz w:val="28"/>
          <w:szCs w:val="28"/>
        </w:rPr>
      </w:pPr>
    </w:p>
    <w:p w:rsidR="000534C7" w:rsidRDefault="000534C7" w:rsidP="007F16CC">
      <w:pPr>
        <w:pStyle w:val="a3"/>
        <w:spacing w:before="0" w:beforeAutospacing="0" w:after="0" w:afterAutospacing="0" w:line="360" w:lineRule="auto"/>
        <w:ind w:firstLine="567"/>
        <w:jc w:val="both"/>
        <w:rPr>
          <w:sz w:val="28"/>
          <w:szCs w:val="28"/>
        </w:rPr>
      </w:pPr>
      <w:r w:rsidRPr="007F16CC">
        <w:rPr>
          <w:sz w:val="28"/>
          <w:szCs w:val="28"/>
        </w:rPr>
        <w:t>Повышение климатической температуры формировало нарушения сезонной атмосферной циркуляции, вызывающие повышение частоты внесезонного столкновения холодных и теплых воздушных масс с высоким уровнем температурного контраста. В результате складывались благоприятные условия для роста количества природных явлений и процессов с аномальными параметрами (сильные ветры, сильные осадки и т.д.). Республика Коми: на фоне повышения глобальной</w:t>
      </w:r>
      <w:r>
        <w:rPr>
          <w:sz w:val="28"/>
          <w:szCs w:val="28"/>
        </w:rPr>
        <w:t xml:space="preserve"> среднегодовой температуры атмо</w:t>
      </w:r>
      <w:r w:rsidRPr="007F16CC">
        <w:rPr>
          <w:sz w:val="28"/>
          <w:szCs w:val="28"/>
        </w:rPr>
        <w:t>сферного воздуха, не исключена вероятность повышения температуры и в Республике Коми. В первую очередь это б</w:t>
      </w:r>
      <w:r>
        <w:rPr>
          <w:sz w:val="28"/>
          <w:szCs w:val="28"/>
        </w:rPr>
        <w:t>удет связано в основном с увели</w:t>
      </w:r>
      <w:r w:rsidRPr="007F16CC">
        <w:rPr>
          <w:sz w:val="28"/>
          <w:szCs w:val="28"/>
        </w:rPr>
        <w:t xml:space="preserve">чением температур в зимний период, в теплое время года изменение климатической температуры будет незначительным. </w:t>
      </w:r>
    </w:p>
    <w:p w:rsidR="000534C7" w:rsidRDefault="000534C7" w:rsidP="007F16CC">
      <w:pPr>
        <w:pStyle w:val="a3"/>
        <w:spacing w:before="0" w:beforeAutospacing="0" w:after="0" w:afterAutospacing="0" w:line="360" w:lineRule="auto"/>
        <w:ind w:firstLine="567"/>
        <w:jc w:val="both"/>
        <w:rPr>
          <w:sz w:val="28"/>
          <w:szCs w:val="28"/>
        </w:rPr>
      </w:pPr>
      <w:r w:rsidRPr="007F16CC">
        <w:rPr>
          <w:sz w:val="28"/>
          <w:szCs w:val="28"/>
        </w:rPr>
        <w:t>По прогнозу Гидрометцентра России за 6 месяцев холодного периода температурный фон на территории Республики Коми ожидается около и выше средних многолетних значений. Выше нормы средняя месячная температура предполагается в октябре, январе. В ноябре, декабре, феврале и марте средняя месячная температура ожидается около средних многолетних значений. Климатическая норма: - в октябре: в южных районах 0...+1 0С, в центральных и северных -1...-3 0С, на крайнем северо-востоке -5 0С, - в ноябре: -6...-10 0С, на северо-востоке -11...-14 0С, - в декабре: -12...-17 0С, - в январе: -15...-18 0С, на северо-востоке до -20 0С, - в феврале: -13... -16 0С, на северо-востоке -18...-21 0С, - в марте: в южных районах -7...-9 0С, в северных -11...-16 0С. Общеклиматическое изменение температуры, указывающее на потеп-ление на большей части территории Российской Федерации, в сочетании с особенностями атмосферной циркуляции последних 10 лет увеличило частоту аномальных отклонений параметров природных источников ЧС от среднемноголетних значений. Повторяемость опасных природных явлений и процессов в последние годы возросла. В 2010 г. неблагоприятные особенности современной циркуляции ат-мосферы сохранятся, что позволяет утверждать о повышенной вероятности возникновения природных источнико</w:t>
      </w:r>
      <w:r>
        <w:rPr>
          <w:sz w:val="28"/>
          <w:szCs w:val="28"/>
        </w:rPr>
        <w:t>в ЧС с аномальными параметрами.</w:t>
      </w:r>
    </w:p>
    <w:p w:rsidR="000534C7" w:rsidRPr="007F16CC" w:rsidRDefault="000534C7" w:rsidP="007F16CC">
      <w:pPr>
        <w:pStyle w:val="a3"/>
        <w:spacing w:before="0" w:beforeAutospacing="0" w:after="0" w:afterAutospacing="0" w:line="360" w:lineRule="auto"/>
        <w:ind w:firstLine="567"/>
        <w:jc w:val="both"/>
        <w:rPr>
          <w:sz w:val="28"/>
          <w:szCs w:val="28"/>
        </w:rPr>
      </w:pPr>
      <w:r w:rsidRPr="007F16CC">
        <w:rPr>
          <w:sz w:val="28"/>
          <w:szCs w:val="28"/>
        </w:rPr>
        <w:t xml:space="preserve">Неблагоприятные или опасные гидрометеорологические явления прогнозируются на уровне среднегодовых значений (1 – 2 в год). В результате штормовых ветров могут происходить обрывы линий электропередач и связи с нарушением энергоснабжения населенных пунктов и объектов экономики. </w:t>
      </w:r>
    </w:p>
    <w:p w:rsidR="000534C7" w:rsidRDefault="000534C7" w:rsidP="00393466">
      <w:pPr>
        <w:pStyle w:val="a3"/>
        <w:spacing w:before="0" w:beforeAutospacing="0" w:after="0" w:afterAutospacing="0" w:line="360" w:lineRule="auto"/>
        <w:ind w:firstLine="567"/>
        <w:jc w:val="both"/>
        <w:rPr>
          <w:sz w:val="28"/>
          <w:szCs w:val="28"/>
        </w:rPr>
      </w:pPr>
      <w:r w:rsidRPr="00393466">
        <w:rPr>
          <w:sz w:val="28"/>
          <w:szCs w:val="28"/>
        </w:rPr>
        <w:t>Природные пожары</w:t>
      </w:r>
      <w:r>
        <w:rPr>
          <w:sz w:val="28"/>
          <w:szCs w:val="28"/>
        </w:rPr>
        <w:t xml:space="preserve">. </w:t>
      </w:r>
      <w:r w:rsidRPr="007F16CC">
        <w:rPr>
          <w:sz w:val="28"/>
          <w:szCs w:val="28"/>
        </w:rPr>
        <w:t>Одной из основных причин лесных пожаров был и остается человеческий фактор. Более 90 % пожаров происходят в местах пребывания и деятельности человека. Основными источниками (местами возникновения) пожаров явились стоянки рыбаков, места посещения охотниками и туристами, места традиционного отдыха населения, обочины дорог общего пользования, места лесозаготовок. Республика Коми: параметры природных пожаров на территории республики в 2009 году находились ниже уровня среднемноголетних значений в связи с более низкими температурами теплого периода. За пожароопасный период 2009 года чрезвычайных ситуаций, связанных с возникновением природных пожаров не происходило. Проведенный анализ показывает, что существует определенная закономерность в возникновении лесных пожаров: цикличный период 10-12 лет. Анализ погодных условий за последние 14 лет показал, что пожарный максимум (период пожароопасного сезона, в течение которого число пожаров превышает среднемесячное) приходится на III декаду июня – I декаду августа; пожарный пик – на II декаду июля – I декаду августа. Анализ временного отрезка 1950-2009 гг. показал, что пики количества лесных пожаров повторяются каждые 12-14 л</w:t>
      </w:r>
      <w:r>
        <w:rPr>
          <w:sz w:val="28"/>
          <w:szCs w:val="28"/>
        </w:rPr>
        <w:t>ет (1960, 1974, 1988, 2000гг.).</w:t>
      </w:r>
    </w:p>
    <w:p w:rsidR="000534C7" w:rsidRDefault="000534C7" w:rsidP="00393466">
      <w:pPr>
        <w:pStyle w:val="a3"/>
        <w:spacing w:before="0" w:beforeAutospacing="0" w:after="0" w:afterAutospacing="0" w:line="360" w:lineRule="auto"/>
        <w:ind w:firstLine="567"/>
        <w:jc w:val="both"/>
        <w:rPr>
          <w:sz w:val="28"/>
          <w:szCs w:val="28"/>
        </w:rPr>
      </w:pPr>
      <w:r w:rsidRPr="007F16CC">
        <w:rPr>
          <w:sz w:val="28"/>
          <w:szCs w:val="28"/>
        </w:rPr>
        <w:t xml:space="preserve">Наиболее пожароопасным является период июнь-август, когда дли-тельное время сохраняется ветреная и сухая погода, способствующая быстрому высыханию лесных горючих материалов (подстилающий слой) и распространению возникших очагов пожаров на значительные площади. Прогнозируется превышение среднемноголетних значений параметров ЧС, обусловленных природными и торфяными пожарами в муниципальных образованиях: Троицко-Печорский, Ижемский, Удорский, Сосногорский, Усть-Куломский, Печосркий, Усть-Вымский, Вуктыльский районы. Архангельская область: на основании многолетних наблюдений в лесах области в период с мая по сентябрь возможно возникновение до 150 очагов пожаров общей площадью до 300 га. Наиболее пожароопасным является период июнь-август, когда длительное время сохраняется ветреная и сухая погода, способствующая быстрому высыханию лесных горючих материалов (подстилающий слой) и распространению возникших очагов пожаров на значительные площади. Прогноз возможной пожарной обстановки на 2009 г. подтвердился полностью. Пик лесных пожаров пришелся на июль месяц, в котором про-изошло 23 пожара на площади 54,63 га. </w:t>
      </w:r>
    </w:p>
    <w:p w:rsidR="000534C7" w:rsidRDefault="000534C7" w:rsidP="00393466">
      <w:pPr>
        <w:pStyle w:val="a3"/>
        <w:spacing w:before="0" w:beforeAutospacing="0" w:after="0" w:afterAutospacing="0" w:line="360" w:lineRule="auto"/>
        <w:ind w:firstLine="567"/>
        <w:jc w:val="both"/>
        <w:rPr>
          <w:sz w:val="28"/>
          <w:szCs w:val="28"/>
        </w:rPr>
      </w:pPr>
      <w:r w:rsidRPr="007F16CC">
        <w:rPr>
          <w:sz w:val="28"/>
          <w:szCs w:val="28"/>
        </w:rPr>
        <w:t xml:space="preserve">Особую опасность представляют леса в усыхающей зоне на территории Вельского, Плесецкого, Шенкурского, Вилегодского, Ленского, Лешуконского районов, площадь которых достигает более 2,1 млн.га. По данным Агентства лесного хозяйства за последние 10 лет наблюдения очередной пик горимости пришелся на 2001 год. В последующие годы идет значительное снижение количества лесных пожаров и площадей, пораженных пожарами. 2010 год пройдет на уровне средних показателей и пожароопасный период прогнозируется с мая месяца. Исходя из динамики лесных пожаров на территории области за последние годы, совершенствования структуры управления лесами, материального и технического обеспечения, прогнозируется до 150 очагов. </w:t>
      </w:r>
    </w:p>
    <w:p w:rsidR="000534C7" w:rsidRDefault="000534C7" w:rsidP="007F16CC">
      <w:pPr>
        <w:pStyle w:val="a3"/>
        <w:spacing w:before="0" w:beforeAutospacing="0" w:after="0" w:afterAutospacing="0" w:line="360" w:lineRule="auto"/>
        <w:jc w:val="both"/>
        <w:rPr>
          <w:sz w:val="28"/>
          <w:szCs w:val="28"/>
        </w:rPr>
      </w:pPr>
    </w:p>
    <w:p w:rsidR="000534C7" w:rsidRDefault="000534C7" w:rsidP="007F16CC">
      <w:pPr>
        <w:pStyle w:val="a3"/>
        <w:spacing w:before="0" w:beforeAutospacing="0" w:after="0" w:afterAutospacing="0" w:line="360" w:lineRule="auto"/>
        <w:jc w:val="both"/>
        <w:rPr>
          <w:rStyle w:val="a4"/>
          <w:sz w:val="28"/>
          <w:szCs w:val="28"/>
        </w:rPr>
      </w:pPr>
      <w:r>
        <w:rPr>
          <w:rStyle w:val="a4"/>
          <w:sz w:val="28"/>
          <w:szCs w:val="28"/>
        </w:rPr>
        <w:t xml:space="preserve">2 </w:t>
      </w:r>
      <w:r w:rsidRPr="007F16CC">
        <w:rPr>
          <w:rStyle w:val="a4"/>
          <w:sz w:val="28"/>
          <w:szCs w:val="28"/>
        </w:rPr>
        <w:t>П</w:t>
      </w:r>
      <w:r>
        <w:rPr>
          <w:rStyle w:val="a4"/>
          <w:sz w:val="28"/>
          <w:szCs w:val="28"/>
        </w:rPr>
        <w:t>рогноз вероятности возникновения чрезвычайных ситуаций техногенного характера</w:t>
      </w:r>
    </w:p>
    <w:p w:rsidR="000534C7" w:rsidRDefault="000534C7" w:rsidP="007F16CC">
      <w:pPr>
        <w:pStyle w:val="a3"/>
        <w:spacing w:before="0" w:beforeAutospacing="0" w:after="0" w:afterAutospacing="0" w:line="360" w:lineRule="auto"/>
        <w:jc w:val="both"/>
        <w:rPr>
          <w:rStyle w:val="a4"/>
          <w:sz w:val="28"/>
          <w:szCs w:val="28"/>
        </w:rPr>
      </w:pPr>
    </w:p>
    <w:p w:rsidR="000534C7" w:rsidRDefault="000534C7" w:rsidP="00393466">
      <w:pPr>
        <w:pStyle w:val="a3"/>
        <w:spacing w:before="0" w:beforeAutospacing="0" w:after="0" w:afterAutospacing="0" w:line="360" w:lineRule="auto"/>
        <w:ind w:firstLine="567"/>
        <w:jc w:val="both"/>
        <w:rPr>
          <w:sz w:val="28"/>
          <w:szCs w:val="28"/>
        </w:rPr>
      </w:pPr>
      <w:r w:rsidRPr="007F16CC">
        <w:rPr>
          <w:sz w:val="28"/>
          <w:szCs w:val="28"/>
        </w:rPr>
        <w:t xml:space="preserve"> В общей структуре техногенных ЧС будут преобладать пожары в жилом секторе и на промышленных объектах, аварии на транспорте (автомо-бильном, водном, воздушном, железнодорожном), аварии на энергетических и коммунальных системах жизнеобеспечения. Наибольшее количество и вероятность возникновения ЧС, обусловленных пожарами в жилом секторе, прогнозируется на отопительный период (ноябрь-декабрь, февраль-март). Возможно возникновение ЧС, не выше локального уровня, связанных с разливами нефти и нефтепродуктов, по причине разгерметизации трубопроводов, опрокидывании автотранспорта и разгерметизации железнодорожных цистерн при транспортировке нефти, аварий технологического оборудования на предприятиях. Высока вероятность возникновения ЧС, не выше местного уровня, связанных с авариями на коммунальных и энергетических системах (обрыв ЛЭП и линий связи). Наибольшее количество и вероятность возникновения ЧС на электроэнергетических системах – в ноябре-феврале. В январе - марте, и ноябре – декабре повышается вероятность возникновения ЧС, не выше муниципального уровня, связанных с нарушениями функционирования систем ЖКХ. Анализ угроз, обусловленных техническим состоянием объектов жилищно-коммунального хозяйства показал, что из-за значительного физического износа наибольшую опасность представляют следующие объекты: - трансформаторные электрические подстанции; - очистные сооружения; - сети (тепловые, канализационные, водопроводные и электрические); Это обусловлено неустойчивым финансовым положением большинства объектов ЖКХ, высокой степенью износа основных производственных фондов, увеличением количества аварийного жилья из-за его несвоевременного ремонта. Сохранится тенденция увеличения количества ДТП и количества лю-дей, погибших и пострадавших в ДТП. Это связано с резко возросшим количеством автомобильного транспорта, принадлежащего физическим лицам, ослаблением персональной дисциплины участников дорожного движения, недостаточной пропускной способностью и оборудованием ав-томобильных дорог. Причинами ДТП продолжают оставаться плохое состояние дорожного покрытия, отсутствие разметки на дорогах, неисправные светофорные перекрестки. В основном ДТП происходят по вине водителя из-за выезда на встречную полосу. Анализ показывает, что наибольшее число ДТП происходит в выходные дни в период с 16 до 20 часов. В период навигации прогнозируется возникновение ЧС на водном транспорте, не выше локального уровня. Основными причинами всех навигационных аварии являлись: навигационные ошибки персонала, плохие погодные условия. Сохраняется вероятность возникновения ЧС на потенциально опасных объектах повсеместно, не выше местного уровня. Сохраняется риск ЧС, обусловленных несанкционированным выходом людей и техники на неокрепший лед водоемов, что наиболее вероятно при установлении или разрушении ледяного покрова (ноябрь-декабрь, март-апрель). Основные угрозы возникновения чрезвычайных ситуаций техногенного характера на потенциально опасных объектах связаны с износом основных производственных фондов, не соблюдением правил личной безопасности. </w:t>
      </w:r>
    </w:p>
    <w:p w:rsidR="000534C7" w:rsidRPr="007F16CC" w:rsidRDefault="000534C7" w:rsidP="007F16CC">
      <w:pPr>
        <w:pStyle w:val="a3"/>
        <w:spacing w:before="0" w:beforeAutospacing="0" w:after="0" w:afterAutospacing="0" w:line="360" w:lineRule="auto"/>
        <w:jc w:val="both"/>
        <w:rPr>
          <w:sz w:val="28"/>
          <w:szCs w:val="28"/>
        </w:rPr>
      </w:pPr>
    </w:p>
    <w:p w:rsidR="000534C7" w:rsidRDefault="000534C7" w:rsidP="007F16CC">
      <w:pPr>
        <w:pStyle w:val="a3"/>
        <w:spacing w:before="0" w:beforeAutospacing="0" w:after="0" w:afterAutospacing="0" w:line="360" w:lineRule="auto"/>
        <w:jc w:val="both"/>
        <w:rPr>
          <w:sz w:val="28"/>
          <w:szCs w:val="28"/>
        </w:rPr>
      </w:pPr>
      <w:r>
        <w:rPr>
          <w:rStyle w:val="a4"/>
          <w:sz w:val="28"/>
          <w:szCs w:val="28"/>
        </w:rPr>
        <w:t xml:space="preserve">3 </w:t>
      </w:r>
      <w:r w:rsidRPr="007F16CC">
        <w:rPr>
          <w:rStyle w:val="a4"/>
          <w:sz w:val="28"/>
          <w:szCs w:val="28"/>
        </w:rPr>
        <w:t>П</w:t>
      </w:r>
      <w:r>
        <w:rPr>
          <w:rStyle w:val="a4"/>
          <w:sz w:val="28"/>
          <w:szCs w:val="28"/>
        </w:rPr>
        <w:t>рогноз вероятности возникновения чрезвычайных ситуаций биолого-социального характера</w:t>
      </w:r>
      <w:r w:rsidRPr="007F16CC">
        <w:rPr>
          <w:sz w:val="28"/>
          <w:szCs w:val="28"/>
        </w:rPr>
        <w:t xml:space="preserve"> </w:t>
      </w:r>
    </w:p>
    <w:p w:rsidR="000534C7" w:rsidRPr="007F16CC" w:rsidRDefault="000534C7" w:rsidP="007F16CC">
      <w:pPr>
        <w:pStyle w:val="a3"/>
        <w:spacing w:before="0" w:beforeAutospacing="0" w:after="0" w:afterAutospacing="0" w:line="360" w:lineRule="auto"/>
        <w:jc w:val="both"/>
        <w:rPr>
          <w:sz w:val="28"/>
          <w:szCs w:val="28"/>
        </w:rPr>
      </w:pPr>
    </w:p>
    <w:p w:rsidR="000534C7" w:rsidRDefault="000534C7" w:rsidP="007F16CC">
      <w:pPr>
        <w:pStyle w:val="a3"/>
        <w:spacing w:before="0" w:beforeAutospacing="0" w:after="0" w:afterAutospacing="0" w:line="360" w:lineRule="auto"/>
        <w:jc w:val="both"/>
        <w:rPr>
          <w:rStyle w:val="a4"/>
          <w:sz w:val="28"/>
          <w:szCs w:val="28"/>
        </w:rPr>
      </w:pPr>
      <w:r>
        <w:rPr>
          <w:rStyle w:val="a4"/>
          <w:sz w:val="28"/>
          <w:szCs w:val="28"/>
        </w:rPr>
        <w:t>3.1 Эпидемическая обстановка</w:t>
      </w:r>
    </w:p>
    <w:p w:rsidR="000534C7" w:rsidRDefault="000534C7" w:rsidP="007F16CC">
      <w:pPr>
        <w:pStyle w:val="a3"/>
        <w:spacing w:before="0" w:beforeAutospacing="0" w:after="0" w:afterAutospacing="0" w:line="360" w:lineRule="auto"/>
        <w:jc w:val="both"/>
        <w:rPr>
          <w:rStyle w:val="a4"/>
          <w:sz w:val="28"/>
          <w:szCs w:val="28"/>
        </w:rPr>
      </w:pPr>
    </w:p>
    <w:p w:rsidR="000534C7" w:rsidRDefault="000534C7" w:rsidP="007F16CC">
      <w:pPr>
        <w:pStyle w:val="a3"/>
        <w:spacing w:before="0" w:beforeAutospacing="0" w:after="0" w:afterAutospacing="0" w:line="360" w:lineRule="auto"/>
        <w:jc w:val="both"/>
        <w:rPr>
          <w:sz w:val="28"/>
          <w:szCs w:val="28"/>
        </w:rPr>
      </w:pPr>
      <w:r w:rsidRPr="007F16CC">
        <w:rPr>
          <w:sz w:val="28"/>
          <w:szCs w:val="28"/>
        </w:rPr>
        <w:t xml:space="preserve">Эпидемический рост болезней с воздушно-капельным механизмом передачи (острые инфекции верхних дыхательных путей), а также инфекционных болезней, в субъектах Северо-Западного региона прогнозируется с января по март 2010 года. Прогнозируется, что рост заболеваемости будет отмечаться преимущественно среди детей, посещающих дошкольные и школьные учреждения, а также среди взрослого населения, в силу социального положения имеющего ограниченный доступ для проведения прививок (инвалиды, пенсионеры, лица без определенного места жительства). Не исключены и случаи заболевания населения области гриппом A/H1N1. Останется напряженной эпидемическая ситуация по социально обу-словленным болезням - туберкулезу, ВИЧ-инфекции. Сохранится тенденция нарастания удельного веса ВИЧ-инфицированных в структуре впервые выявленных больных туберкулезом. В летний период не исключается возникновение вспышек острых ки-шечных инфекций среди населения при употреблении в пищу недостаточно обработанных овощей и фруктов, некачественной воды, скоропортящихся продуктов. Проводимая центрами государственного санитарно-эпидемиологического надзора субъектов оценка водоемов по комплексным показателям свидетельствует о сохраняющейся высокой степени загрязнения воды в местах водопользования по санитарно-химическим и микробиологическим показателям, превышающим аналогичные средне-федеральные показатели. Остается сложной обстановка по заболеваемости населения региона клещевым весенне-летним энцефалитом. В Республике Карелия, Республике Коми, Архангельской, Вологодской, Калининградской, Ленинградской, Новгородской, Псковской областях, в г. Санкт-Петербург сформировались стойкие природные очаги клещевого энцефалита, расположенные вблизи населенных пунктов, в местах отдыха и оздоровительных зонах, первый период активности клещей продлится с апреля до середины июня, вторая волна активности ожидается в июле-сентябре. На территории Ненецкого АО и Мурманской области климатические условия отрицательно влияют на биологический цикл развития энцефалитных клещей, случаи заболевания клещевым энцефалитом не регистрировались. С началом периода летних отпусков не исключаются отдельные случаи завозных инфекций (малярия, холера и др.заболевания). </w:t>
      </w:r>
    </w:p>
    <w:p w:rsidR="000534C7" w:rsidRPr="007F16CC" w:rsidRDefault="000534C7" w:rsidP="007F16CC">
      <w:pPr>
        <w:pStyle w:val="a3"/>
        <w:spacing w:before="0" w:beforeAutospacing="0" w:after="0" w:afterAutospacing="0" w:line="360" w:lineRule="auto"/>
        <w:jc w:val="both"/>
        <w:rPr>
          <w:sz w:val="28"/>
          <w:szCs w:val="28"/>
        </w:rPr>
      </w:pPr>
    </w:p>
    <w:p w:rsidR="000534C7" w:rsidRDefault="000534C7" w:rsidP="00393466">
      <w:pPr>
        <w:pStyle w:val="a3"/>
        <w:spacing w:before="0" w:beforeAutospacing="0" w:after="0" w:afterAutospacing="0" w:line="360" w:lineRule="auto"/>
        <w:ind w:firstLine="567"/>
        <w:jc w:val="both"/>
        <w:rPr>
          <w:rStyle w:val="a4"/>
          <w:sz w:val="28"/>
          <w:szCs w:val="28"/>
        </w:rPr>
      </w:pPr>
      <w:r w:rsidRPr="00393466">
        <w:rPr>
          <w:rStyle w:val="a4"/>
          <w:sz w:val="28"/>
          <w:szCs w:val="28"/>
        </w:rPr>
        <w:t xml:space="preserve">3.2 Эпизоотическая обстановка </w:t>
      </w:r>
    </w:p>
    <w:p w:rsidR="000534C7" w:rsidRPr="00393466" w:rsidRDefault="000534C7" w:rsidP="00393466">
      <w:pPr>
        <w:pStyle w:val="a3"/>
        <w:spacing w:before="0" w:beforeAutospacing="0" w:after="0" w:afterAutospacing="0" w:line="360" w:lineRule="auto"/>
        <w:ind w:firstLine="567"/>
        <w:jc w:val="both"/>
        <w:rPr>
          <w:sz w:val="28"/>
          <w:szCs w:val="28"/>
        </w:rPr>
      </w:pPr>
    </w:p>
    <w:p w:rsidR="000534C7" w:rsidRDefault="000534C7" w:rsidP="00393466">
      <w:pPr>
        <w:pStyle w:val="a3"/>
        <w:spacing w:before="0" w:beforeAutospacing="0" w:after="0" w:afterAutospacing="0" w:line="360" w:lineRule="auto"/>
        <w:ind w:firstLine="567"/>
        <w:jc w:val="both"/>
        <w:rPr>
          <w:sz w:val="28"/>
          <w:szCs w:val="28"/>
        </w:rPr>
      </w:pPr>
      <w:r w:rsidRPr="007F16CC">
        <w:rPr>
          <w:sz w:val="28"/>
          <w:szCs w:val="28"/>
        </w:rPr>
        <w:t xml:space="preserve"> Эпизоотическая обстановка на территории региона благоприятная. Степень опасности возникновения эпизоотий незначительна, так как восприимчивое поголовье своевременно вакцинируется. Вновь ввозимое поголовье согласовывается с ветеринарной службой по вопросу благополучия местности, откуда завозится, а также осуществляются мероприятия по карантину с проведением всех диагностических исследований. На территории региона проведен и проводится ряд мероприятий, на-правленных на предупреждение возникновения и распространения заболеваний птичьим гриппом, но вероятность заноса вируса гриппа птиц на территорию региона сохраняется. Это, в первую очередь субъекты, на территории которых расположены водоемы с приоритетным гнездованием дикой птицы. С началом пролета водоплавающей птицы с середины марта возникнет потенциальная угроза заноса вируса гриппа птиц, в том числе на птицеводческие хозяйства. В 2010 году не исключаются отдельные случаи заболевания животных калибактериозом, туляремией, ГЛПС, пастереллезом, лептоспирозом и хламидиозом. Период угрозы заболевания прогнозируется в начале пастбищного сезона. Своевременно проведённая вакцинация позволяет прогнозировать относительно стабильную ситуацию в отношении возможности заболевания животных. Не исключается вероятность заноса вируса бешенства диких и домашних животных. </w:t>
      </w:r>
    </w:p>
    <w:p w:rsidR="000534C7" w:rsidRPr="007F16CC" w:rsidRDefault="000534C7" w:rsidP="007F16CC">
      <w:pPr>
        <w:pStyle w:val="a3"/>
        <w:spacing w:before="0" w:beforeAutospacing="0" w:after="0" w:afterAutospacing="0" w:line="360" w:lineRule="auto"/>
        <w:jc w:val="both"/>
        <w:rPr>
          <w:sz w:val="28"/>
          <w:szCs w:val="28"/>
        </w:rPr>
      </w:pPr>
    </w:p>
    <w:p w:rsidR="000534C7" w:rsidRDefault="000534C7" w:rsidP="00393466">
      <w:pPr>
        <w:pStyle w:val="a3"/>
        <w:spacing w:before="0" w:beforeAutospacing="0" w:after="0" w:afterAutospacing="0" w:line="360" w:lineRule="auto"/>
        <w:ind w:firstLine="567"/>
        <w:jc w:val="both"/>
        <w:rPr>
          <w:rStyle w:val="a4"/>
          <w:sz w:val="28"/>
          <w:szCs w:val="28"/>
        </w:rPr>
      </w:pPr>
      <w:r w:rsidRPr="00393466">
        <w:rPr>
          <w:rStyle w:val="a4"/>
          <w:sz w:val="28"/>
          <w:szCs w:val="28"/>
        </w:rPr>
        <w:t xml:space="preserve">3.3 Фитосанитарная обстановка </w:t>
      </w:r>
    </w:p>
    <w:p w:rsidR="000534C7" w:rsidRPr="00393466" w:rsidRDefault="000534C7" w:rsidP="00393466">
      <w:pPr>
        <w:pStyle w:val="a3"/>
        <w:spacing w:before="0" w:beforeAutospacing="0" w:after="0" w:afterAutospacing="0" w:line="360" w:lineRule="auto"/>
        <w:ind w:firstLine="567"/>
        <w:jc w:val="both"/>
        <w:rPr>
          <w:rStyle w:val="a4"/>
          <w:sz w:val="28"/>
          <w:szCs w:val="28"/>
        </w:rPr>
      </w:pPr>
    </w:p>
    <w:p w:rsidR="000534C7" w:rsidRPr="007F16CC" w:rsidRDefault="000534C7" w:rsidP="00393466">
      <w:pPr>
        <w:pStyle w:val="a3"/>
        <w:spacing w:before="0" w:beforeAutospacing="0" w:after="0" w:afterAutospacing="0" w:line="360" w:lineRule="auto"/>
        <w:ind w:firstLine="567"/>
        <w:jc w:val="both"/>
        <w:rPr>
          <w:sz w:val="28"/>
          <w:szCs w:val="28"/>
        </w:rPr>
      </w:pPr>
      <w:r w:rsidRPr="007F16CC">
        <w:rPr>
          <w:sz w:val="28"/>
          <w:szCs w:val="28"/>
        </w:rPr>
        <w:t xml:space="preserve"> Фитосанитарная обстановка на территории региона, в том числе и возможные масштабы эпифитотий, будет определяться рядом факторов: погодные условия в зимний период и весенне-летние месяцы; качество семенного материала, комплекс и сроки агротехнических работ; обеспеченность средствами защиты растений и протравливания семян; финансовое состояние и возможности сельхозпроизводителей. На посадках картофеля возможно увеличение вредоносности колорадского жука и формирование очагов фитофтороза; на злаковых - эпифитотийные вспышки инфекционных заболеваний растений (ржавчина хлебных злаков, злаковая тля, мучнистая роса, фузариоз</w:t>
      </w:r>
      <w:r>
        <w:rPr>
          <w:sz w:val="28"/>
          <w:szCs w:val="28"/>
        </w:rPr>
        <w:t xml:space="preserve"> колоса, споры</w:t>
      </w:r>
      <w:r w:rsidRPr="007F16CC">
        <w:rPr>
          <w:sz w:val="28"/>
          <w:szCs w:val="28"/>
        </w:rPr>
        <w:t xml:space="preserve">нья). </w:t>
      </w:r>
    </w:p>
    <w:p w:rsidR="000534C7" w:rsidRDefault="000534C7" w:rsidP="007F16CC">
      <w:pPr>
        <w:spacing w:after="0" w:line="360" w:lineRule="auto"/>
        <w:jc w:val="both"/>
        <w:rPr>
          <w:rFonts w:ascii="Times New Roman" w:hAnsi="Times New Roman"/>
          <w:sz w:val="28"/>
          <w:szCs w:val="28"/>
        </w:rPr>
      </w:pPr>
    </w:p>
    <w:p w:rsidR="000534C7" w:rsidRDefault="000534C7" w:rsidP="007F16CC">
      <w:pPr>
        <w:spacing w:after="0" w:line="360" w:lineRule="auto"/>
        <w:jc w:val="both"/>
        <w:rPr>
          <w:rFonts w:ascii="Times New Roman" w:hAnsi="Times New Roman"/>
          <w:b/>
          <w:color w:val="000000"/>
          <w:sz w:val="28"/>
          <w:szCs w:val="28"/>
          <w:lang w:eastAsia="ru-RU"/>
        </w:rPr>
      </w:pPr>
      <w:r w:rsidRPr="00A31895">
        <w:rPr>
          <w:rFonts w:ascii="Times New Roman" w:hAnsi="Times New Roman"/>
          <w:b/>
          <w:sz w:val="28"/>
          <w:szCs w:val="28"/>
        </w:rPr>
        <w:t xml:space="preserve">4 </w:t>
      </w:r>
      <w:r w:rsidRPr="00A31895">
        <w:rPr>
          <w:rFonts w:ascii="Times New Roman" w:hAnsi="Times New Roman"/>
          <w:b/>
          <w:color w:val="000000"/>
          <w:sz w:val="28"/>
          <w:szCs w:val="28"/>
          <w:lang w:eastAsia="ru-RU"/>
        </w:rPr>
        <w:t>Глобальные изменения климата планеты</w:t>
      </w:r>
    </w:p>
    <w:p w:rsidR="000534C7" w:rsidRPr="00A31895" w:rsidRDefault="000534C7" w:rsidP="007F16CC">
      <w:pPr>
        <w:spacing w:after="0" w:line="360" w:lineRule="auto"/>
        <w:jc w:val="both"/>
        <w:rPr>
          <w:rFonts w:ascii="Times New Roman" w:hAnsi="Times New Roman"/>
          <w:b/>
          <w:sz w:val="28"/>
          <w:szCs w:val="28"/>
        </w:rPr>
      </w:pPr>
    </w:p>
    <w:p w:rsidR="000534C7" w:rsidRPr="00D42A59" w:rsidRDefault="000534C7" w:rsidP="00D42A59">
      <w:pPr>
        <w:spacing w:after="0" w:line="360" w:lineRule="auto"/>
        <w:ind w:firstLine="567"/>
        <w:jc w:val="both"/>
        <w:rPr>
          <w:rFonts w:ascii="Times New Roman" w:hAnsi="Times New Roman"/>
          <w:color w:val="000000"/>
          <w:sz w:val="28"/>
          <w:szCs w:val="28"/>
          <w:lang w:eastAsia="ru-RU"/>
        </w:rPr>
      </w:pPr>
      <w:r w:rsidRPr="00D42A59">
        <w:rPr>
          <w:rFonts w:ascii="Times New Roman" w:hAnsi="Times New Roman"/>
          <w:color w:val="000000"/>
          <w:sz w:val="28"/>
          <w:szCs w:val="28"/>
          <w:lang w:eastAsia="ru-RU"/>
        </w:rPr>
        <w:t>Российские ученые, как и их коллеги по всему миру, уделяют большое внимание проблеме глобальных изменений климата планеты. Одна из лучших в мире систем моделирования климатических изменений создана в Институте вычислительной математики РАН.</w:t>
      </w:r>
    </w:p>
    <w:p w:rsidR="000534C7" w:rsidRPr="00D42A59" w:rsidRDefault="000534C7" w:rsidP="00D42A59">
      <w:pPr>
        <w:spacing w:after="0" w:line="360" w:lineRule="auto"/>
        <w:ind w:firstLine="567"/>
        <w:jc w:val="both"/>
        <w:rPr>
          <w:rFonts w:ascii="Times New Roman" w:hAnsi="Times New Roman"/>
          <w:color w:val="000000"/>
          <w:sz w:val="28"/>
          <w:szCs w:val="28"/>
          <w:lang w:eastAsia="ru-RU"/>
        </w:rPr>
      </w:pPr>
      <w:r w:rsidRPr="00D42A59">
        <w:rPr>
          <w:rFonts w:ascii="Times New Roman" w:hAnsi="Times New Roman"/>
          <w:color w:val="000000"/>
          <w:sz w:val="28"/>
          <w:szCs w:val="28"/>
          <w:lang w:eastAsia="ru-RU"/>
        </w:rPr>
        <w:t>Проблеме глобального потепления уделяется все больше внимания с каждым годом. Огромные выбросы парниковых газов, прежде всего, диоксида углерода, метана и других углеводородов, ведут к постепенному потеплению климата планеты. Это потепление приведет к таянию полярных льдов и неизбежному затоплению части суши. В связи с этим предпринимаются попытки ограничения выбросов парниковых газов. Методы для этого используются самые разные: от поощрения внедрения новых технологий с меньшими парниковыми выбросами до решительного запрета на использование технологий устаревших. Одной из таких мер является и знаменитый Киотский протокол, недавно ратифицированный Госдумой и подписанный президентом, несмотря на протесты представителей государственной власти и российской науки. Напомним, что страны-участники протокола обязуются значительно сократить выбросы углекислого и других парниковых газов в атмосферу Земли. Однако в случае России такие ограничения могут привести к замедлению экономического роста страны. А в Российской академии наук вообще считают неверными и необоснованными расчеты, лежащие в основе Киотского протокола. Так что причины ратификации Россией этого документа скорее политические - ведь вместе с Россией участники протокола обеспечивают более 55% выбросов парниковых газов в атмосферу, что означает, что протокол может вступить в силу.</w:t>
      </w:r>
    </w:p>
    <w:p w:rsidR="000534C7" w:rsidRPr="00D42A59" w:rsidRDefault="000534C7" w:rsidP="00D42A59">
      <w:pPr>
        <w:spacing w:after="0" w:line="360" w:lineRule="auto"/>
        <w:ind w:firstLine="567"/>
        <w:jc w:val="both"/>
        <w:rPr>
          <w:rFonts w:ascii="Times New Roman" w:hAnsi="Times New Roman"/>
          <w:color w:val="000000"/>
          <w:sz w:val="28"/>
          <w:szCs w:val="28"/>
          <w:lang w:eastAsia="ru-RU"/>
        </w:rPr>
      </w:pPr>
      <w:r w:rsidRPr="00D42A59">
        <w:rPr>
          <w:rFonts w:ascii="Times New Roman" w:hAnsi="Times New Roman"/>
          <w:color w:val="000000"/>
          <w:sz w:val="28"/>
          <w:szCs w:val="28"/>
          <w:lang w:eastAsia="ru-RU"/>
        </w:rPr>
        <w:t>Однако споры вокруг обоснованности Киотского протокола не означают, что проблема парникового эффекта и глобального потепления неактуальна. Напротив, проблема существует и требует оперативного решения. Однако для того, чтобы выработать адекватное решение необходимо знать, какие изменения будут происходить в климате в зависимости от различных воздействий. Без математического моделирования тут не обойтись.</w:t>
      </w:r>
    </w:p>
    <w:p w:rsidR="000534C7" w:rsidRPr="00D42A59" w:rsidRDefault="000534C7" w:rsidP="00D42A59">
      <w:pPr>
        <w:spacing w:after="0" w:line="360" w:lineRule="auto"/>
        <w:ind w:firstLine="567"/>
        <w:jc w:val="both"/>
        <w:rPr>
          <w:rFonts w:ascii="Times New Roman" w:hAnsi="Times New Roman"/>
          <w:color w:val="000000"/>
          <w:sz w:val="28"/>
          <w:szCs w:val="28"/>
          <w:lang w:eastAsia="ru-RU"/>
        </w:rPr>
      </w:pPr>
      <w:r w:rsidRPr="00D42A59">
        <w:rPr>
          <w:rFonts w:ascii="Times New Roman" w:hAnsi="Times New Roman"/>
          <w:color w:val="000000"/>
          <w:sz w:val="28"/>
          <w:szCs w:val="28"/>
          <w:lang w:eastAsia="ru-RU"/>
        </w:rPr>
        <w:t>Модели, позволяющие оценить степень климатических изменений в зависимости от различных факторов, разрабатываются во многих странах, в том числе и в России. Наибольших успехов в этой области удалось добиться Институту вычислительной математики РАН (ИВМ РАН). В конце октября институт провел совместную пресс-конференцию с компанией Intel, на которой было рассказано о последних достижениях в области моделирования климатических изменений.</w:t>
      </w:r>
    </w:p>
    <w:p w:rsidR="000534C7" w:rsidRPr="00D42A59" w:rsidRDefault="000534C7" w:rsidP="00D42A59">
      <w:pPr>
        <w:spacing w:after="0" w:line="360" w:lineRule="auto"/>
        <w:ind w:firstLine="567"/>
        <w:jc w:val="both"/>
        <w:rPr>
          <w:rFonts w:ascii="Times New Roman" w:hAnsi="Times New Roman"/>
          <w:color w:val="000000"/>
          <w:sz w:val="28"/>
          <w:szCs w:val="28"/>
          <w:lang w:eastAsia="ru-RU"/>
        </w:rPr>
      </w:pPr>
      <w:r w:rsidRPr="00D42A59">
        <w:rPr>
          <w:rFonts w:ascii="Times New Roman" w:hAnsi="Times New Roman"/>
          <w:color w:val="000000"/>
          <w:sz w:val="28"/>
          <w:szCs w:val="28"/>
          <w:lang w:eastAsia="ru-RU"/>
        </w:rPr>
        <w:t>Моделированием климата в России занимаются не первый год. Традиционно задачи по моделированию процессов, связанных с климатом и погодой, занимались в советском, а затем и в российском Гидрометцентре с целью прогнозирования погоды. Однако между прогнозом погоды на несколько дней и прогнозом климатических изменений на сто-двести лет вперед есть существенная разница. Как рассказал на пресс-конференции директор ИВМ РАН академик В.П. Дымников, в обоих случаях для расчета одного состояния требуется учесть несколько миллиардов параметров. В случае прогноза погоды, когда необходимо получить точную информацию о температуре, атмосферном давлении и других параметров в конкретный момент времени и в конкретной точке пространства, даже небольшие флуктуации этих параметров могут привести к ошибкам в прогнозе. Моделирование климата на десятки лет вперед к случайным флуктуациям, как правило, устойчиво, но в то же время модель должна обладать высокой чувствительностью к малым изменениям параметров, способных привести к значительным изменениям в будущем. В частности, к таким параметрам можно отнести изменение концентрации парниковых газов в атмосфере Земли. Единственная модель долгосрочного моделирования климата, способная на равных соперничать с лучшими зарубежными аналогами, создана в ИВМ РАН.</w:t>
      </w:r>
    </w:p>
    <w:p w:rsidR="000534C7" w:rsidRPr="00D42A59" w:rsidRDefault="000534C7" w:rsidP="00D42A59">
      <w:pPr>
        <w:spacing w:after="0" w:line="360" w:lineRule="auto"/>
        <w:ind w:firstLine="567"/>
        <w:jc w:val="both"/>
        <w:rPr>
          <w:rFonts w:ascii="Times New Roman" w:hAnsi="Times New Roman"/>
          <w:color w:val="000000"/>
          <w:sz w:val="28"/>
          <w:szCs w:val="28"/>
          <w:lang w:eastAsia="ru-RU"/>
        </w:rPr>
      </w:pPr>
      <w:r w:rsidRPr="00D42A59">
        <w:rPr>
          <w:rFonts w:ascii="Times New Roman" w:hAnsi="Times New Roman"/>
          <w:color w:val="000000"/>
          <w:sz w:val="28"/>
          <w:szCs w:val="28"/>
          <w:lang w:eastAsia="ru-RU"/>
        </w:rPr>
        <w:t>Работа над созданием модели общей циркуляции атмосферы в Институте вычислительной математики начались достаточно давно - еще в конце 1970-х годов. Тогда эта организация называлась "Отдел вычислительной математики АН СССР" и располагалась в Новосибирске. После переезда института в Москву в начале 1980-х работы по разработке модели продолжились. По словам старшего научного сотрудника ИВМ РАН доктора физико-математических наук Евгения Володина, код модели был написан сотрудниками института, но при этом, конечно, использовались и алгоритмы, разработанные в других институтах, нередко зарубежных. Для расчетов по модели использовались самые разные компьютеры. В 1980-х и начале 1990-х годов модель работала на отечественных машинах СВС (этот компьютер близок к БЭСМ-6), на "Эльбрусе-2", позже расчеты были переведены на персональные компьютеры и рабочие станции DEC с чипами Alpha. Затем расчеты модели велись на двухпроцессорном комплексе на процессорах Itanium 2.</w:t>
      </w:r>
    </w:p>
    <w:p w:rsidR="000534C7" w:rsidRPr="00D42A59" w:rsidRDefault="000534C7" w:rsidP="00D42A59">
      <w:pPr>
        <w:spacing w:after="0" w:line="360" w:lineRule="auto"/>
        <w:ind w:firstLine="567"/>
        <w:jc w:val="both"/>
        <w:rPr>
          <w:rFonts w:ascii="Times New Roman" w:hAnsi="Times New Roman"/>
          <w:color w:val="000000"/>
          <w:sz w:val="28"/>
          <w:szCs w:val="28"/>
          <w:lang w:eastAsia="ru-RU"/>
        </w:rPr>
      </w:pPr>
      <w:r w:rsidRPr="00D42A59">
        <w:rPr>
          <w:rFonts w:ascii="Times New Roman" w:hAnsi="Times New Roman"/>
          <w:color w:val="000000"/>
          <w:sz w:val="28"/>
          <w:szCs w:val="28"/>
          <w:lang w:eastAsia="ru-RU"/>
        </w:rPr>
        <w:t>Во всех этих случаях расчеты велись на модели, ориентированной на последовательную обработку данных. Разработка нынешнего, параллельного, варианта модели началась относительно недавно - в 2001 году. Тогда в Межведомственном суперкомпьютерном центре был введен в строй суперкомпьютер МВС-1000М, под который и была переработана модель. Процесс написания параллельной версии модели был достаточно сложным - на него потребовалось около двух лет. Кроме этого, в ИВМ РАН столкнулись с проблемой высокой загруженности МВС-1000М. Поэтому расчеты проводились также на 20-процессорном кластере, расположенном в НИВЦ МГУ им. М.В. Ломоносова. Окончательно проблему вычислительной мощности удалось решить с помощью собственного кластера из восьми узлов, каждый из которых включает по два процессора Intel Itanium 2. Именно на этом кластере были получены наиболее важные результаты, касающиеся изменений климата нашей планеты в XXI и XXII веках.</w:t>
      </w:r>
    </w:p>
    <w:p w:rsidR="000534C7" w:rsidRPr="00D42A59" w:rsidRDefault="000534C7" w:rsidP="00D42A59">
      <w:pPr>
        <w:spacing w:after="0" w:line="360" w:lineRule="auto"/>
        <w:ind w:firstLine="567"/>
        <w:jc w:val="both"/>
        <w:rPr>
          <w:rFonts w:ascii="Times New Roman" w:hAnsi="Times New Roman"/>
          <w:color w:val="000000"/>
          <w:sz w:val="28"/>
          <w:szCs w:val="28"/>
          <w:lang w:eastAsia="ru-RU"/>
        </w:rPr>
      </w:pPr>
      <w:r w:rsidRPr="00D42A59">
        <w:rPr>
          <w:rFonts w:ascii="Times New Roman" w:hAnsi="Times New Roman"/>
          <w:color w:val="000000"/>
          <w:sz w:val="28"/>
          <w:szCs w:val="28"/>
          <w:lang w:eastAsia="ru-RU"/>
        </w:rPr>
        <w:t xml:space="preserve">В нынешнем виде модель климата Земли ИВМ РАН представляет собой сложнейшую систему. По словам Евгения Володина, в модели учитываются все основные климатообразующие факторы. "В основе лежит решение трехмерных уравнений гидротермодинамики атмосферы и океана, которые получены из уравнений Навье-Стокса. Это значит, что в каждом узле модельной сетки на каждом шаге по времени рассчитываются компоненты скорости ветра, температура и влажность, а также давление воздуха на поверхности Земли. Решение уравнений происходит конечно-разностным методом," - уточнил Евгений Володин, - "Модель учитывает также так называемые подсеточные процессы, то есть те процессы, характерный масштаб которых меньше размера ячейки модели, но которые влияют на крупномасштабную гидротермодинамику". </w:t>
      </w:r>
    </w:p>
    <w:p w:rsidR="000534C7" w:rsidRPr="00D42A59" w:rsidRDefault="000534C7" w:rsidP="00D42A59">
      <w:pPr>
        <w:spacing w:after="0" w:line="360" w:lineRule="auto"/>
        <w:ind w:firstLine="567"/>
        <w:jc w:val="both"/>
        <w:rPr>
          <w:rFonts w:ascii="Times New Roman" w:hAnsi="Times New Roman"/>
          <w:color w:val="000000"/>
          <w:sz w:val="28"/>
          <w:szCs w:val="28"/>
          <w:lang w:eastAsia="ru-RU"/>
        </w:rPr>
      </w:pPr>
      <w:r w:rsidRPr="00D42A59">
        <w:rPr>
          <w:rFonts w:ascii="Times New Roman" w:hAnsi="Times New Roman"/>
          <w:color w:val="000000"/>
          <w:sz w:val="28"/>
          <w:szCs w:val="28"/>
          <w:lang w:eastAsia="ru-RU"/>
        </w:rPr>
        <w:t>К последним относятся прежде всего радиационные процессы. В модели вычисляются источники тепла, связанные с поглощением, отражением и рассеянием солнечной (коротковолновой) и длинноволновой радиации компонентами атмосферы, а также поверхностью Земли. Именно здесь учитывается влияние на климат имеющихся в атмосфере озона, углекислого газа, различных аэрозолей, метана, закиси азота, водяных паров и других веществ.</w:t>
      </w:r>
    </w:p>
    <w:p w:rsidR="000534C7" w:rsidRPr="00D42A59" w:rsidRDefault="000534C7" w:rsidP="00D42A59">
      <w:pPr>
        <w:spacing w:after="0" w:line="360" w:lineRule="auto"/>
        <w:ind w:firstLine="567"/>
        <w:jc w:val="both"/>
        <w:rPr>
          <w:rFonts w:ascii="Times New Roman" w:hAnsi="Times New Roman"/>
          <w:color w:val="000000"/>
          <w:sz w:val="28"/>
          <w:szCs w:val="28"/>
          <w:lang w:eastAsia="ru-RU"/>
        </w:rPr>
      </w:pPr>
      <w:r w:rsidRPr="00D42A59">
        <w:rPr>
          <w:rFonts w:ascii="Times New Roman" w:hAnsi="Times New Roman"/>
          <w:color w:val="000000"/>
          <w:sz w:val="28"/>
          <w:szCs w:val="28"/>
          <w:lang w:eastAsia="ru-RU"/>
        </w:rPr>
        <w:t>Качество модели ИВМ РАН признано как в России, так и за рубежом. Модель участвует в международной программе CMIP (Coupled Model Intercomparison Project), целью которой является сравнение моделей климата по точности воспроизведения современного климата и чувствительности модели к малым внешним воздействиям, таким как изменение содержания парниковых газов. В программе участвуют на настоящий момент около двух десятков моделей из разных стран: США, Германии, Франции, Австралии, Великобритании, Канады, Китая. Сравнение результатов моделирования современного климата показывает, что по основным показателям качество модели ИВМ близко к качеству лучших моделей, участвующих в программе.</w:t>
      </w:r>
    </w:p>
    <w:p w:rsidR="000534C7" w:rsidRPr="00D42A59" w:rsidRDefault="000534C7" w:rsidP="00D42A59">
      <w:pPr>
        <w:spacing w:after="0" w:line="360" w:lineRule="auto"/>
        <w:jc w:val="both"/>
        <w:rPr>
          <w:rFonts w:ascii="Times New Roman" w:hAnsi="Times New Roman"/>
          <w:color w:val="000000"/>
          <w:sz w:val="28"/>
          <w:szCs w:val="28"/>
          <w:lang w:eastAsia="ru-RU"/>
        </w:rPr>
      </w:pPr>
      <w:r w:rsidRPr="00D42A59">
        <w:rPr>
          <w:rFonts w:ascii="Times New Roman" w:hAnsi="Times New Roman"/>
          <w:color w:val="000000"/>
          <w:sz w:val="28"/>
          <w:szCs w:val="28"/>
          <w:lang w:eastAsia="ru-RU"/>
        </w:rPr>
        <w:t xml:space="preserve">О точности моделирования можно судить по сопоставлению данных наблюдений за температурой в период с 1875 по 1995 гг. и расчетами на модели. Такое сопоставление показывает, что модель ИВМ РАН демонстрирует результаты, очень близкие к реальным. В частности, в модели фиксируется замедление роста температуры в 1950-1970 гг. и последовавший за этим быстрый рост. </w:t>
      </w:r>
    </w:p>
    <w:p w:rsidR="000534C7" w:rsidRPr="00D42A59" w:rsidRDefault="00295E11" w:rsidP="00D42A59">
      <w:pPr>
        <w:spacing w:after="0" w:line="360" w:lineRule="auto"/>
        <w:jc w:val="both"/>
        <w:rPr>
          <w:rFonts w:ascii="Times New Roman" w:hAnsi="Times New Roman"/>
          <w:color w:val="000000"/>
          <w:sz w:val="28"/>
          <w:szCs w:val="28"/>
          <w:lang w:eastAsia="ru-RU"/>
        </w:rPr>
      </w:pPr>
      <w:r>
        <w:rPr>
          <w:rFonts w:ascii="Times New Roman" w:hAnsi="Times New Roman"/>
          <w:noProof/>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Сравнение данных наблюдений и модели " style="width:282.75pt;height:201.75pt;visibility:visible">
            <v:imagedata r:id="rId4" o:title=""/>
          </v:shape>
        </w:pict>
      </w:r>
    </w:p>
    <w:p w:rsidR="000534C7" w:rsidRPr="00D42A59" w:rsidRDefault="000534C7" w:rsidP="00D42A59">
      <w:pPr>
        <w:spacing w:after="0" w:line="360" w:lineRule="auto"/>
        <w:ind w:firstLine="567"/>
        <w:jc w:val="both"/>
        <w:rPr>
          <w:rFonts w:ascii="Times New Roman" w:hAnsi="Times New Roman"/>
          <w:color w:val="000000"/>
          <w:sz w:val="28"/>
          <w:szCs w:val="28"/>
          <w:lang w:eastAsia="ru-RU"/>
        </w:rPr>
      </w:pPr>
      <w:r w:rsidRPr="00D42A59">
        <w:rPr>
          <w:rFonts w:ascii="Times New Roman" w:hAnsi="Times New Roman"/>
          <w:color w:val="000000"/>
          <w:sz w:val="28"/>
          <w:szCs w:val="28"/>
          <w:lang w:eastAsia="ru-RU"/>
        </w:rPr>
        <w:t>Естественно, что модель продолжит совершенствоваться. Уже в ближайшее время благодаря увеличению количества процессоров в кластере ИВМ РАН можно будет увеличить разрешение модели по пространству. Запланировано и совершенствование самой модели, включение в нее новых блоков. В частности, в модель планируется ввести подсистему расчета углеродного цикла, то есть интерактивный учет источников и стоков парниковых и других газов.</w:t>
      </w:r>
    </w:p>
    <w:p w:rsidR="000534C7" w:rsidRPr="00D42A59" w:rsidRDefault="000534C7" w:rsidP="00D42A59">
      <w:pPr>
        <w:spacing w:after="0" w:line="360" w:lineRule="auto"/>
        <w:ind w:firstLine="567"/>
        <w:jc w:val="both"/>
        <w:outlineLvl w:val="1"/>
        <w:rPr>
          <w:rFonts w:ascii="Times New Roman" w:hAnsi="Times New Roman"/>
          <w:b/>
          <w:bCs/>
          <w:color w:val="000000"/>
          <w:sz w:val="28"/>
          <w:szCs w:val="28"/>
          <w:lang w:eastAsia="ru-RU"/>
        </w:rPr>
      </w:pPr>
      <w:r w:rsidRPr="00D42A59">
        <w:rPr>
          <w:rFonts w:ascii="Times New Roman" w:hAnsi="Times New Roman"/>
          <w:b/>
          <w:bCs/>
          <w:color w:val="000000"/>
          <w:sz w:val="28"/>
          <w:szCs w:val="28"/>
          <w:lang w:eastAsia="ru-RU"/>
        </w:rPr>
        <w:t>Таяние арктических льдов</w:t>
      </w:r>
      <w:r>
        <w:rPr>
          <w:rFonts w:ascii="Times New Roman" w:hAnsi="Times New Roman"/>
          <w:b/>
          <w:bCs/>
          <w:color w:val="000000"/>
          <w:sz w:val="28"/>
          <w:szCs w:val="28"/>
          <w:lang w:eastAsia="ru-RU"/>
        </w:rPr>
        <w:t xml:space="preserve">. </w:t>
      </w:r>
      <w:r w:rsidRPr="00D42A59">
        <w:rPr>
          <w:rFonts w:ascii="Times New Roman" w:hAnsi="Times New Roman"/>
          <w:color w:val="000000"/>
          <w:sz w:val="28"/>
          <w:szCs w:val="28"/>
          <w:lang w:eastAsia="ru-RU"/>
        </w:rPr>
        <w:t>Чрезвычайно интересные результаты удалось получить исследователям ИВМ РАН в ходе работ про прогнозированию изменений климата, проводимых под эгидой Межправительственной группы экспертов по изменению климата (МГЭИК). Всего в расчетах по программам МГЭИК участвуют 14 моделей, включая разработку ИВМ РАН. Для оценки возможных климатических изменений МГЭИК предложено несколько глобальных сценариев будущего. В них заложены различные варианты демографического, социально-экономического и технологического развития, которые будут приводить к различной динамике выброса парниковых газов.</w:t>
      </w:r>
    </w:p>
    <w:p w:rsidR="000534C7" w:rsidRDefault="000534C7" w:rsidP="00D42A59">
      <w:pPr>
        <w:spacing w:after="0" w:line="360" w:lineRule="auto"/>
        <w:jc w:val="both"/>
        <w:rPr>
          <w:rFonts w:ascii="Times New Roman" w:hAnsi="Times New Roman"/>
          <w:color w:val="000000"/>
          <w:sz w:val="28"/>
          <w:szCs w:val="28"/>
          <w:lang w:eastAsia="ru-RU"/>
        </w:rPr>
      </w:pPr>
    </w:p>
    <w:p w:rsidR="000534C7" w:rsidRPr="00D42A59" w:rsidRDefault="000534C7" w:rsidP="00D42A59">
      <w:pPr>
        <w:spacing w:after="0" w:line="360" w:lineRule="auto"/>
        <w:ind w:firstLine="567"/>
        <w:jc w:val="both"/>
        <w:rPr>
          <w:rFonts w:ascii="Times New Roman" w:hAnsi="Times New Roman"/>
          <w:color w:val="000000"/>
          <w:sz w:val="28"/>
          <w:szCs w:val="28"/>
          <w:lang w:eastAsia="ru-RU"/>
        </w:rPr>
      </w:pPr>
      <w:r w:rsidRPr="00D42A59">
        <w:rPr>
          <w:rFonts w:ascii="Times New Roman" w:hAnsi="Times New Roman"/>
          <w:color w:val="000000"/>
          <w:sz w:val="28"/>
          <w:szCs w:val="28"/>
          <w:lang w:eastAsia="ru-RU"/>
        </w:rPr>
        <w:t>Модель ИВМ РАН использовалась для исследования климатических изменений по сценариям В1, А1 и А2. Согласно сценарию А2, увеличение содержания парниковых газов будет расти по экспоненте в течение XXI столетия, а в сценариях А1 и В1 выбросы будут ограничены. В настоящее время в ИВМ РАН просчитаны сценарии А1 и А2. Расчеты производились со скоростью 10 лет модельного времени за сутки времени реального. Блок моделирования атмосферы имел разрешение 5 x 4 градуса по широте и долготе и 21 уровень по вертикали. При моделировании океанических процессов разрешение составило 2,5 x 2 градуса при 33 уровнях по вертикали.</w:t>
      </w:r>
    </w:p>
    <w:p w:rsidR="000534C7" w:rsidRPr="00D42A59" w:rsidRDefault="00295E11" w:rsidP="00D42A59">
      <w:pPr>
        <w:spacing w:after="0" w:line="360" w:lineRule="auto"/>
        <w:jc w:val="both"/>
        <w:rPr>
          <w:rFonts w:ascii="Times New Roman" w:hAnsi="Times New Roman"/>
          <w:color w:val="000000"/>
          <w:sz w:val="28"/>
          <w:szCs w:val="28"/>
          <w:lang w:eastAsia="ru-RU"/>
        </w:rPr>
      </w:pPr>
      <w:r>
        <w:rPr>
          <w:rFonts w:ascii="Times New Roman" w:hAnsi="Times New Roman"/>
          <w:noProof/>
          <w:color w:val="000000"/>
          <w:sz w:val="28"/>
          <w:szCs w:val="28"/>
          <w:lang w:eastAsia="ru-RU"/>
        </w:rPr>
        <w:pict>
          <v:shape id="Рисунок 2" o:spid="_x0000_i1026" type="#_x0000_t75" alt="Прогноз роста среднегодовой температуры" style="width:282.75pt;height:204pt;visibility:visible">
            <v:imagedata r:id="rId5" o:title=""/>
          </v:shape>
        </w:pict>
      </w:r>
    </w:p>
    <w:p w:rsidR="000534C7" w:rsidRDefault="000534C7" w:rsidP="00D42A59">
      <w:pPr>
        <w:spacing w:after="0" w:line="360" w:lineRule="auto"/>
        <w:jc w:val="both"/>
        <w:rPr>
          <w:rFonts w:ascii="Times New Roman" w:hAnsi="Times New Roman"/>
          <w:color w:val="000000"/>
          <w:sz w:val="28"/>
          <w:szCs w:val="28"/>
          <w:lang w:eastAsia="ru-RU"/>
        </w:rPr>
      </w:pPr>
      <w:r w:rsidRPr="00D42A59">
        <w:rPr>
          <w:rFonts w:ascii="Times New Roman" w:hAnsi="Times New Roman"/>
          <w:color w:val="000000"/>
          <w:sz w:val="28"/>
          <w:szCs w:val="28"/>
          <w:lang w:eastAsia="ru-RU"/>
        </w:rPr>
        <w:t>"</w:t>
      </w:r>
    </w:p>
    <w:p w:rsidR="000534C7" w:rsidRPr="00D42A59" w:rsidRDefault="000534C7" w:rsidP="00D42A59">
      <w:pPr>
        <w:spacing w:after="0" w:line="360" w:lineRule="auto"/>
        <w:ind w:firstLine="567"/>
        <w:jc w:val="both"/>
        <w:rPr>
          <w:rFonts w:ascii="Times New Roman" w:hAnsi="Times New Roman"/>
          <w:color w:val="000000"/>
          <w:sz w:val="28"/>
          <w:szCs w:val="28"/>
          <w:lang w:eastAsia="ru-RU"/>
        </w:rPr>
      </w:pPr>
      <w:r w:rsidRPr="00D42A59">
        <w:rPr>
          <w:rFonts w:ascii="Times New Roman" w:hAnsi="Times New Roman"/>
          <w:color w:val="000000"/>
          <w:sz w:val="28"/>
          <w:szCs w:val="28"/>
          <w:lang w:eastAsia="ru-RU"/>
        </w:rPr>
        <w:t>Значительное потепление климата произойдет и в Арктике. Даже по сценарию A1, во второй половине XXII века температура в Арктике вырастет примерно на 10 градусов по сравнению со второй половиной XX века. Не исключено, что уже менее чем через 200 лет полярные льды будут сохраняться лишь зимой, а летом будут таять. Важно отметить и то, что хотя, согласно условиям расчета, в XXII веке выбросы парниковых газов фиксировались на одном уровне, рост температуры на Земле продолжался "по инерции" в течение первых нескольких десятилетий следующего столетия. Значительно - на 4-6 градусов, в соответствии со сценарием A1 - потеплеет в умеренных широтах континентов северного полушария. Наименее сильным будет потепление над океанами в южном полушарии - здесь потеплеет на 2-3 градуса.</w:t>
      </w:r>
    </w:p>
    <w:p w:rsidR="000534C7" w:rsidRPr="00D42A59" w:rsidRDefault="00295E11" w:rsidP="00D42A59">
      <w:pPr>
        <w:spacing w:after="0" w:line="360" w:lineRule="auto"/>
        <w:jc w:val="both"/>
        <w:rPr>
          <w:rFonts w:ascii="Times New Roman" w:hAnsi="Times New Roman"/>
          <w:color w:val="000000"/>
          <w:sz w:val="28"/>
          <w:szCs w:val="28"/>
          <w:lang w:eastAsia="ru-RU"/>
        </w:rPr>
      </w:pPr>
      <w:r>
        <w:rPr>
          <w:rFonts w:ascii="Times New Roman" w:hAnsi="Times New Roman"/>
          <w:noProof/>
          <w:color w:val="000000"/>
          <w:sz w:val="28"/>
          <w:szCs w:val="28"/>
          <w:lang w:eastAsia="ru-RU"/>
        </w:rPr>
        <w:pict>
          <v:shape id="Рисунок 3" o:spid="_x0000_i1027" type="#_x0000_t75" alt="Распределение потепления по районам Земли" style="width:282.75pt;height:174.75pt;visibility:visible">
            <v:imagedata r:id="rId6" o:title=""/>
          </v:shape>
        </w:pict>
      </w:r>
    </w:p>
    <w:p w:rsidR="000534C7" w:rsidRPr="00D42A59" w:rsidRDefault="000534C7" w:rsidP="00D42A59">
      <w:pPr>
        <w:spacing w:after="0" w:line="360" w:lineRule="auto"/>
        <w:ind w:firstLine="567"/>
        <w:jc w:val="both"/>
        <w:rPr>
          <w:rFonts w:ascii="Times New Roman" w:hAnsi="Times New Roman"/>
          <w:color w:val="000000"/>
          <w:sz w:val="28"/>
          <w:szCs w:val="28"/>
          <w:lang w:eastAsia="ru-RU"/>
        </w:rPr>
      </w:pPr>
      <w:r w:rsidRPr="00D42A59">
        <w:rPr>
          <w:rFonts w:ascii="Times New Roman" w:hAnsi="Times New Roman"/>
          <w:color w:val="000000"/>
          <w:sz w:val="28"/>
          <w:szCs w:val="28"/>
          <w:lang w:eastAsia="ru-RU"/>
        </w:rPr>
        <w:t>Изменение среднегодовой температуры воздуха в 2151-2200 гг. по сравнению с 1951-2000 гг. по данным модели ИВМ РАН (сценарий А1)</w:t>
      </w:r>
    </w:p>
    <w:p w:rsidR="000534C7" w:rsidRPr="00D42A59" w:rsidRDefault="000534C7" w:rsidP="00D42A59">
      <w:pPr>
        <w:spacing w:after="0" w:line="360" w:lineRule="auto"/>
        <w:jc w:val="both"/>
        <w:rPr>
          <w:rFonts w:ascii="Times New Roman" w:hAnsi="Times New Roman"/>
          <w:color w:val="000000"/>
          <w:sz w:val="28"/>
          <w:szCs w:val="28"/>
          <w:lang w:eastAsia="ru-RU"/>
        </w:rPr>
      </w:pPr>
      <w:r w:rsidRPr="00D42A59">
        <w:rPr>
          <w:rFonts w:ascii="Times New Roman" w:hAnsi="Times New Roman"/>
          <w:color w:val="000000"/>
          <w:sz w:val="28"/>
          <w:szCs w:val="28"/>
          <w:lang w:eastAsia="ru-RU"/>
        </w:rPr>
        <w:t>Разумеется, в случае реализации сценария A2 потепление будет более сильным. Конечно, стоит понимать, что все эти выводы справедливы лишь применительно к модели. Влияние каких-либо неучтенных факторов или неожиданные воздействия на климат могут как ускорить так и замедлить процесс потепления на Земле. Тем не менее, расчеты еще раз доказывают, что проблема потепления климата не является надуманной и требует решения. И решение это состоит не только в ограничении выбросов парниковых газов - человечество должно быть готовым к изменению климата и по возможности адаптироваться к нему. И данные расчетов ИВМ РАН и других научных организаций здесь очень ценны, так как позволяют оценить масштабы климатических изменений и предсказать их последствия.</w:t>
      </w:r>
    </w:p>
    <w:p w:rsidR="000534C7" w:rsidRDefault="000534C7" w:rsidP="00D42A59"/>
    <w:p w:rsidR="000534C7" w:rsidRPr="007F16CC" w:rsidRDefault="000534C7" w:rsidP="007F16CC">
      <w:pPr>
        <w:spacing w:after="0" w:line="360" w:lineRule="auto"/>
        <w:jc w:val="both"/>
        <w:rPr>
          <w:rFonts w:ascii="Times New Roman" w:hAnsi="Times New Roman"/>
          <w:sz w:val="28"/>
          <w:szCs w:val="28"/>
        </w:rPr>
      </w:pPr>
    </w:p>
    <w:p w:rsidR="000534C7" w:rsidRPr="007F16CC" w:rsidRDefault="000534C7" w:rsidP="007F16CC">
      <w:pPr>
        <w:spacing w:after="0" w:line="360" w:lineRule="auto"/>
        <w:jc w:val="both"/>
        <w:rPr>
          <w:rFonts w:ascii="Times New Roman" w:hAnsi="Times New Roman"/>
          <w:sz w:val="28"/>
          <w:szCs w:val="28"/>
        </w:rPr>
      </w:pPr>
    </w:p>
    <w:p w:rsidR="000534C7" w:rsidRPr="007F16CC" w:rsidRDefault="000534C7" w:rsidP="007F16CC">
      <w:pPr>
        <w:spacing w:after="0" w:line="360" w:lineRule="auto"/>
        <w:jc w:val="both"/>
        <w:rPr>
          <w:rFonts w:ascii="Times New Roman" w:hAnsi="Times New Roman"/>
          <w:sz w:val="28"/>
          <w:szCs w:val="28"/>
        </w:rPr>
      </w:pPr>
    </w:p>
    <w:p w:rsidR="000534C7" w:rsidRPr="007F16CC" w:rsidRDefault="000534C7" w:rsidP="007F16CC">
      <w:pPr>
        <w:spacing w:after="0" w:line="360" w:lineRule="auto"/>
        <w:jc w:val="both"/>
        <w:rPr>
          <w:rFonts w:ascii="Times New Roman" w:hAnsi="Times New Roman"/>
          <w:sz w:val="28"/>
          <w:szCs w:val="28"/>
        </w:rPr>
      </w:pPr>
    </w:p>
    <w:p w:rsidR="000534C7" w:rsidRPr="007F16CC" w:rsidRDefault="000534C7" w:rsidP="007F16CC">
      <w:pPr>
        <w:spacing w:after="0" w:line="360" w:lineRule="auto"/>
        <w:jc w:val="both"/>
        <w:rPr>
          <w:rFonts w:ascii="Times New Roman" w:hAnsi="Times New Roman"/>
          <w:sz w:val="28"/>
          <w:szCs w:val="28"/>
        </w:rPr>
      </w:pPr>
    </w:p>
    <w:p w:rsidR="000534C7" w:rsidRPr="007F16CC" w:rsidRDefault="000534C7" w:rsidP="007F16CC">
      <w:pPr>
        <w:spacing w:after="0" w:line="360" w:lineRule="auto"/>
        <w:jc w:val="both"/>
        <w:rPr>
          <w:rFonts w:ascii="Times New Roman" w:hAnsi="Times New Roman"/>
          <w:sz w:val="28"/>
          <w:szCs w:val="28"/>
        </w:rPr>
      </w:pPr>
    </w:p>
    <w:p w:rsidR="000534C7" w:rsidRPr="007F16CC" w:rsidRDefault="000534C7" w:rsidP="007F16CC">
      <w:pPr>
        <w:spacing w:after="0" w:line="360" w:lineRule="auto"/>
        <w:jc w:val="both"/>
        <w:rPr>
          <w:rFonts w:ascii="Times New Roman" w:hAnsi="Times New Roman"/>
          <w:sz w:val="28"/>
          <w:szCs w:val="28"/>
        </w:rPr>
      </w:pPr>
    </w:p>
    <w:p w:rsidR="000534C7" w:rsidRPr="007F16CC" w:rsidRDefault="000534C7" w:rsidP="007F16CC">
      <w:pPr>
        <w:spacing w:after="0" w:line="360" w:lineRule="auto"/>
        <w:jc w:val="both"/>
        <w:rPr>
          <w:rFonts w:ascii="Times New Roman" w:hAnsi="Times New Roman"/>
          <w:sz w:val="28"/>
          <w:szCs w:val="28"/>
        </w:rPr>
      </w:pPr>
    </w:p>
    <w:p w:rsidR="000534C7" w:rsidRPr="007F16CC" w:rsidRDefault="000534C7" w:rsidP="007F16CC">
      <w:pPr>
        <w:spacing w:after="0" w:line="360" w:lineRule="auto"/>
        <w:jc w:val="both"/>
        <w:rPr>
          <w:rFonts w:ascii="Times New Roman" w:hAnsi="Times New Roman"/>
          <w:sz w:val="28"/>
          <w:szCs w:val="28"/>
        </w:rPr>
      </w:pPr>
    </w:p>
    <w:p w:rsidR="000534C7" w:rsidRPr="007F16CC" w:rsidRDefault="000534C7" w:rsidP="007F16CC">
      <w:pPr>
        <w:spacing w:after="0" w:line="360" w:lineRule="auto"/>
        <w:jc w:val="both"/>
        <w:rPr>
          <w:rFonts w:ascii="Times New Roman" w:hAnsi="Times New Roman"/>
          <w:sz w:val="28"/>
          <w:szCs w:val="28"/>
        </w:rPr>
      </w:pPr>
    </w:p>
    <w:p w:rsidR="000534C7" w:rsidRPr="007F16CC" w:rsidRDefault="000534C7" w:rsidP="007F16CC">
      <w:pPr>
        <w:spacing w:after="0" w:line="360" w:lineRule="auto"/>
        <w:jc w:val="both"/>
        <w:rPr>
          <w:rFonts w:ascii="Times New Roman" w:hAnsi="Times New Roman"/>
          <w:sz w:val="28"/>
          <w:szCs w:val="28"/>
        </w:rPr>
      </w:pPr>
    </w:p>
    <w:p w:rsidR="000534C7" w:rsidRPr="007F16CC" w:rsidRDefault="000534C7" w:rsidP="007F16CC">
      <w:pPr>
        <w:spacing w:after="0" w:line="360" w:lineRule="auto"/>
        <w:jc w:val="both"/>
        <w:rPr>
          <w:rFonts w:ascii="Times New Roman" w:hAnsi="Times New Roman"/>
          <w:sz w:val="28"/>
          <w:szCs w:val="28"/>
        </w:rPr>
      </w:pPr>
    </w:p>
    <w:p w:rsidR="000534C7" w:rsidRPr="007F16CC" w:rsidRDefault="000534C7" w:rsidP="007F16CC">
      <w:pPr>
        <w:spacing w:after="0" w:line="360" w:lineRule="auto"/>
        <w:jc w:val="both"/>
        <w:rPr>
          <w:rFonts w:ascii="Times New Roman" w:hAnsi="Times New Roman"/>
          <w:sz w:val="28"/>
          <w:szCs w:val="28"/>
        </w:rPr>
      </w:pPr>
    </w:p>
    <w:p w:rsidR="000534C7" w:rsidRPr="007F16CC" w:rsidRDefault="000534C7" w:rsidP="007F16CC">
      <w:pPr>
        <w:spacing w:after="0" w:line="360" w:lineRule="auto"/>
        <w:jc w:val="both"/>
        <w:rPr>
          <w:rFonts w:ascii="Times New Roman" w:hAnsi="Times New Roman"/>
          <w:sz w:val="28"/>
          <w:szCs w:val="28"/>
        </w:rPr>
      </w:pPr>
    </w:p>
    <w:p w:rsidR="000534C7" w:rsidRPr="007F16CC" w:rsidRDefault="000534C7" w:rsidP="007F16CC">
      <w:pPr>
        <w:spacing w:after="0" w:line="360" w:lineRule="auto"/>
        <w:jc w:val="both"/>
        <w:rPr>
          <w:rFonts w:ascii="Times New Roman" w:hAnsi="Times New Roman"/>
          <w:sz w:val="28"/>
          <w:szCs w:val="28"/>
        </w:rPr>
      </w:pPr>
      <w:bookmarkStart w:id="0" w:name="_GoBack"/>
      <w:bookmarkEnd w:id="0"/>
    </w:p>
    <w:sectPr w:rsidR="000534C7" w:rsidRPr="007F16CC" w:rsidSect="00B15B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5983"/>
    <w:rsid w:val="00047E2A"/>
    <w:rsid w:val="000534C7"/>
    <w:rsid w:val="0012342B"/>
    <w:rsid w:val="00133EB4"/>
    <w:rsid w:val="00295E11"/>
    <w:rsid w:val="00393466"/>
    <w:rsid w:val="005F5C58"/>
    <w:rsid w:val="006F1E5A"/>
    <w:rsid w:val="007F16CC"/>
    <w:rsid w:val="008A3DEA"/>
    <w:rsid w:val="0098297E"/>
    <w:rsid w:val="00A31895"/>
    <w:rsid w:val="00B15B88"/>
    <w:rsid w:val="00D4239D"/>
    <w:rsid w:val="00D42A59"/>
    <w:rsid w:val="00EC3C30"/>
    <w:rsid w:val="00F35983"/>
    <w:rsid w:val="00F446C8"/>
    <w:rsid w:val="00FD3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A5F4C1E8-28DA-4D81-A278-8AFE275E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B88"/>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35983"/>
    <w:pPr>
      <w:spacing w:before="100" w:beforeAutospacing="1" w:after="100" w:afterAutospacing="1" w:line="240" w:lineRule="auto"/>
    </w:pPr>
    <w:rPr>
      <w:rFonts w:ascii="Times New Roman" w:eastAsia="Calibri" w:hAnsi="Times New Roman"/>
      <w:sz w:val="24"/>
      <w:szCs w:val="24"/>
      <w:lang w:eastAsia="ru-RU"/>
    </w:rPr>
  </w:style>
  <w:style w:type="character" w:styleId="a4">
    <w:name w:val="Strong"/>
    <w:basedOn w:val="a0"/>
    <w:qFormat/>
    <w:rsid w:val="00F35983"/>
    <w:rPr>
      <w:rFonts w:cs="Times New Roman"/>
      <w:b/>
      <w:bCs/>
    </w:rPr>
  </w:style>
  <w:style w:type="paragraph" w:styleId="a5">
    <w:name w:val="Balloon Text"/>
    <w:basedOn w:val="a"/>
    <w:link w:val="a6"/>
    <w:semiHidden/>
    <w:rsid w:val="00D42A59"/>
    <w:pPr>
      <w:spacing w:after="0" w:line="240" w:lineRule="auto"/>
    </w:pPr>
    <w:rPr>
      <w:rFonts w:ascii="Tahoma" w:hAnsi="Tahoma" w:cs="Tahoma"/>
      <w:sz w:val="16"/>
      <w:szCs w:val="16"/>
    </w:rPr>
  </w:style>
  <w:style w:type="character" w:customStyle="1" w:styleId="a6">
    <w:name w:val="Текст у виносці Знак"/>
    <w:basedOn w:val="a0"/>
    <w:link w:val="a5"/>
    <w:semiHidden/>
    <w:locked/>
    <w:rsid w:val="00D42A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3614</Words>
  <Characters>20604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1 Прогноз вероятности возникновения чрезвычайных ситуаций природного характера</vt:lpstr>
    </vt:vector>
  </TitlesOfParts>
  <Company/>
  <LinksUpToDate>false</LinksUpToDate>
  <CharactersWithSpaces>24170</CharactersWithSpaces>
  <SharedDoc>false</SharedDoc>
  <HLinks>
    <vt:vector size="54" baseType="variant">
      <vt:variant>
        <vt:i4>6750240</vt:i4>
      </vt:variant>
      <vt:variant>
        <vt:i4>24</vt:i4>
      </vt:variant>
      <vt:variant>
        <vt:i4>0</vt:i4>
      </vt:variant>
      <vt:variant>
        <vt:i4>5</vt:i4>
      </vt:variant>
      <vt:variant>
        <vt:lpwstr>http://www.ipcc.ch/</vt:lpwstr>
      </vt:variant>
      <vt:variant>
        <vt:lpwstr/>
      </vt:variant>
      <vt:variant>
        <vt:i4>2293799</vt:i4>
      </vt:variant>
      <vt:variant>
        <vt:i4>21</vt:i4>
      </vt:variant>
      <vt:variant>
        <vt:i4>0</vt:i4>
      </vt:variant>
      <vt:variant>
        <vt:i4>5</vt:i4>
      </vt:variant>
      <vt:variant>
        <vt:lpwstr>http://www-pcmdi.llnl.gov/projects/cmip/index.html</vt:lpwstr>
      </vt:variant>
      <vt:variant>
        <vt:lpwstr/>
      </vt:variant>
      <vt:variant>
        <vt:i4>3997738</vt:i4>
      </vt:variant>
      <vt:variant>
        <vt:i4>18</vt:i4>
      </vt:variant>
      <vt:variant>
        <vt:i4>0</vt:i4>
      </vt:variant>
      <vt:variant>
        <vt:i4>5</vt:i4>
      </vt:variant>
      <vt:variant>
        <vt:lpwstr>http://www.srcc.msu.su/</vt:lpwstr>
      </vt:variant>
      <vt:variant>
        <vt:lpwstr/>
      </vt:variant>
      <vt:variant>
        <vt:i4>1769547</vt:i4>
      </vt:variant>
      <vt:variant>
        <vt:i4>15</vt:i4>
      </vt:variant>
      <vt:variant>
        <vt:i4>0</vt:i4>
      </vt:variant>
      <vt:variant>
        <vt:i4>5</vt:i4>
      </vt:variant>
      <vt:variant>
        <vt:lpwstr>http://www.compulenta.ru/2001/8/1/16655/</vt:lpwstr>
      </vt:variant>
      <vt:variant>
        <vt:lpwstr/>
      </vt:variant>
      <vt:variant>
        <vt:i4>3473519</vt:i4>
      </vt:variant>
      <vt:variant>
        <vt:i4>12</vt:i4>
      </vt:variant>
      <vt:variant>
        <vt:i4>0</vt:i4>
      </vt:variant>
      <vt:variant>
        <vt:i4>5</vt:i4>
      </vt:variant>
      <vt:variant>
        <vt:lpwstr>http://www.compulenta.ru/2004/10/27/51315/</vt:lpwstr>
      </vt:variant>
      <vt:variant>
        <vt:lpwstr/>
      </vt:variant>
      <vt:variant>
        <vt:i4>7536682</vt:i4>
      </vt:variant>
      <vt:variant>
        <vt:i4>9</vt:i4>
      </vt:variant>
      <vt:variant>
        <vt:i4>0</vt:i4>
      </vt:variant>
      <vt:variant>
        <vt:i4>5</vt:i4>
      </vt:variant>
      <vt:variant>
        <vt:lpwstr>http://www.inm.ras.ru/</vt:lpwstr>
      </vt:variant>
      <vt:variant>
        <vt:lpwstr/>
      </vt:variant>
      <vt:variant>
        <vt:i4>3080231</vt:i4>
      </vt:variant>
      <vt:variant>
        <vt:i4>6</vt:i4>
      </vt:variant>
      <vt:variant>
        <vt:i4>0</vt:i4>
      </vt:variant>
      <vt:variant>
        <vt:i4>5</vt:i4>
      </vt:variant>
      <vt:variant>
        <vt:lpwstr>http://www.kioto2004.ru/facts/protocol.html</vt:lpwstr>
      </vt:variant>
      <vt:variant>
        <vt:lpwstr/>
      </vt:variant>
      <vt:variant>
        <vt:i4>8060979</vt:i4>
      </vt:variant>
      <vt:variant>
        <vt:i4>3</vt:i4>
      </vt:variant>
      <vt:variant>
        <vt:i4>0</vt:i4>
      </vt:variant>
      <vt:variant>
        <vt:i4>5</vt:i4>
      </vt:variant>
      <vt:variant>
        <vt:lpwstr>http://lenta.ru/russia/2004/10/22/protocol/</vt:lpwstr>
      </vt:variant>
      <vt:variant>
        <vt:lpwstr/>
      </vt:variant>
      <vt:variant>
        <vt:i4>3080231</vt:i4>
      </vt:variant>
      <vt:variant>
        <vt:i4>0</vt:i4>
      </vt:variant>
      <vt:variant>
        <vt:i4>0</vt:i4>
      </vt:variant>
      <vt:variant>
        <vt:i4>5</vt:i4>
      </vt:variant>
      <vt:variant>
        <vt:lpwstr>http://www.kioto2004.ru/facts/protocol.html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Прогноз вероятности возникновения чрезвычайных ситуаций природного характера</dc:title>
  <dc:subject/>
  <dc:creator>555</dc:creator>
  <cp:keywords/>
  <dc:description/>
  <cp:lastModifiedBy>Irina</cp:lastModifiedBy>
  <cp:revision>2</cp:revision>
  <cp:lastPrinted>2010-11-21T15:59:00Z</cp:lastPrinted>
  <dcterms:created xsi:type="dcterms:W3CDTF">2014-09-13T18:14:00Z</dcterms:created>
  <dcterms:modified xsi:type="dcterms:W3CDTF">2014-09-13T18:14:00Z</dcterms:modified>
</cp:coreProperties>
</file>