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F3" w:rsidRPr="00710772" w:rsidRDefault="007D2DF3" w:rsidP="007D2DF3">
      <w:pPr>
        <w:spacing w:before="120"/>
        <w:jc w:val="center"/>
        <w:rPr>
          <w:b/>
          <w:bCs/>
          <w:sz w:val="32"/>
          <w:szCs w:val="32"/>
        </w:rPr>
      </w:pPr>
      <w:r w:rsidRPr="00710772">
        <w:rPr>
          <w:b/>
          <w:bCs/>
          <w:sz w:val="32"/>
          <w:szCs w:val="32"/>
        </w:rPr>
        <w:t xml:space="preserve">Неотложная помощь и лечение поствакцинальных осложнений </w:t>
      </w:r>
    </w:p>
    <w:p w:rsidR="007D2DF3" w:rsidRPr="00710772" w:rsidRDefault="007D2DF3" w:rsidP="007D2DF3">
      <w:pPr>
        <w:spacing w:before="120"/>
        <w:ind w:firstLine="567"/>
        <w:jc w:val="both"/>
        <w:rPr>
          <w:sz w:val="28"/>
          <w:szCs w:val="28"/>
        </w:rPr>
      </w:pPr>
      <w:r w:rsidRPr="00710772">
        <w:rPr>
          <w:sz w:val="28"/>
          <w:szCs w:val="28"/>
        </w:rPr>
        <w:t>Мельник А.И., доцент, заведующий кафедрой детских болезней № 1 ДонГМУ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Тяжелые поствакцинальные реакции являются достаточно редкими, но не настолько, что бы их не принимать во внимание. По статистике США: 50 детей ежегодно остаются с неустранимыми изменениями со стороны ЦНС, возникшими после вакцинации. По СНГ таких данных нет. А если и публикуются, вспомним материалы из газеты "КДМПомольская правда" 80-х годов, то могут нанести непоправимый вред делу вакцинации.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Экстренное извещение о реакции на прививку направляется в местную СЭС, затем ОБЛ СЭС, а после в институт имени Тарасевича. После получения определенного количества таких извещение решается вопрос о дальнейшей судьбе данной серии вакцины.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Будут или не будут реакции - прогнозировать их чрезвычайно сложно. Это обусловливается тем, что реакции на вакцинацию зависят от множества факторов: состояния здоровья ребенка, степени реактогенности вакцины и качества ее хранения, способа введения, против чего прививали, как подготавливали к вакцинации. Прогнозировать очень сложно. Попытки проводились и есть положительные сдвиги.</w:t>
      </w:r>
    </w:p>
    <w:p w:rsidR="007D2DF3" w:rsidRPr="00710772" w:rsidRDefault="007D2DF3" w:rsidP="007D2DF3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Осложнения: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Внезапная смерть после профилактической прививки: в момент проведения манипуляции и в течение 3-х недель после нее.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Аллергические реакции: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анафилактический шок;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синдром бронхиальной обструкции;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бронхиальная астма;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отек Квинке;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кожные аллергические проявления;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синдром Лайела и Стивенса-Джонса;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геморрагитческий васкулит;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аутоиммунная тромбоцитопеническая пурпура;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поствакцинальные нефропатии и нефриты;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миокардиты;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другие аллергические и токсико-аллергические осложнения.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Гипертермический поствакцинальный синдром.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Судорожный и другие неврологические синдромы.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Увеличеине в размерах вилочковой железы может быть связано с синдромом внезапной смерти. А непосредственной причиной ее - служат внезапный спазм или нарушение проходимости воздухопроводящих путей, бронхоспазм, остановка сердца, пароксизмальная тахикардия, блокада сердца и др.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В Санкт-Петербурге группа исследователей во главе с Цинзерлингом провела работу по изучению ретроспективного анализа смерти от увеличения тимуса. Необходимо проводить постоянный мониторинг - и т.к. смерть в ночное время - ставить датчики, которые сигнализировали бы об остановке сердца. Синдром внезапной смерти наблюдается при тимомегалии. Поэтому следует исследовать рентгенограмму органов грудной клетки в двух проекциях - прямой и боковой. Альтернативная диагностика - Узи тимуса и термография. Можно обнаружить увеличение, уплотнение, а также локальную гипертермию в 1-2° С и выше.</w:t>
      </w:r>
    </w:p>
    <w:p w:rsidR="007D2DF3" w:rsidRPr="00710772" w:rsidRDefault="007D2DF3" w:rsidP="007D2DF3">
      <w:pPr>
        <w:spacing w:before="120"/>
        <w:jc w:val="center"/>
        <w:rPr>
          <w:b/>
          <w:bCs/>
          <w:sz w:val="28"/>
          <w:szCs w:val="28"/>
        </w:rPr>
      </w:pPr>
      <w:r w:rsidRPr="00710772">
        <w:rPr>
          <w:b/>
          <w:bCs/>
          <w:sz w:val="28"/>
          <w:szCs w:val="28"/>
        </w:rPr>
        <w:t>Механизмы развития поствакцинальных реакций.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Все реакции подразделяются на реакции немедленного и замедленного типа. Почти все неотложные состояния являются следствием аллергических реакций немедленного типа. Высвобождающиеся из гранул тучных клеток шоковые токсины - гистамин, серотонин, брадикинин, плазмин, гепарин в обычных условиях являются необходимыми веществами и в адекватных количествах регулируют свой участок гомеостаза. Так серотонин сокращает концевой отдел сосуда, брадикинин - поддерживает сосудистый тонус, гистамин - регулирует процессы пищеварения и иммунитета. Высвобождение (либерация) и последующее воздействие на рецепторы залпового (взрывоподобного) выброса биологически активных веществ вызывают тяжелые аллергические реакции. Либераторами могут быть любыми веществами, в т.ч. и вакцинные антигены.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РИЛ (Реакция иммунолейкоцитолиза) основана на смешивании антигена и крови ребенка in vitro. Гибель 20% и более клеток свидетельствует о высоком уровне сенсибилизации к данному антигену и возможному взрывоподобному выходу биологически активных веществ. Примерно можно судить о степени цитолиза в организме ребенка и уровне возможного высвобождения биологически активных веществ в крови.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Важен анамнез - были ли раньше аллергические реакции на какие-либо вещества, вакцинацию, введение сыворотки, иммуноглобулинов у ребенка и у его родителей или других членов семьи.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Чаще всего аллергические реакции и анафилактический шок возникают при повторном введении разрешающей дозы антигена, но возможны и на однократное ее введение. Сила аллергической рекции напрямую не зависит от величины веденной дозы антигена. Нет и четкой зависимости от того, куда и каким способом вводится антиген - в/к, п/к, в/м, в/в, в/а. Конечно большая тяжесть бывает при в/в или в/а введении, но может быть и при попадании на слизистую.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Обследование (общий анализ крови, термометрия, УЗИ тимуса, РИЛ, анамнез) дает некоторый эффект, но все же оно не достаточно надежно.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Анафилактический шок - возникает очень быстро (минуты) после введения разрешающей дозы антигена. Иногда возникают предвестники - боли в месте инъекции, интенсивное покраснение кожи, отек мягких тканей. В отдельных случаях - насморк, слезотечение, кожный зуд или зуд слизистых. В связи с мгновенным выбросом шоковых токсинов падает сосудистый тонус, снижается АД за счет повышенной проницаемости сосудов (гистамин). Расстраивается микроциркуляция в капиллярах. Снижается ОЦК и повышается проницаемость. нарастает одышка, тахикардия, явления, связанные с отеком и набуханием вещества мозга. Если оказываемая помощь запаздывает, степень тяжести состояния прогрессивно нарастает. Усиливается расстройство регуляции сердечно-сосудистого и дыхательного центра - нарушается деятельность жизненноважных функций и прогрессивно ухудшается состояние.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Примерный перечень препаратов, необходимых для оказания медикаментозной помощи.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Пресорные амины: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0,01% раствор адреналина;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норадреналин;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мезатон;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эфедрин;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Дыхательные аналептики: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лобелин и цититон - заменить на 1,5% раствор этимизола гидлрохлорида;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кофеин;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Водорастворимые кортикостероидные гормоны: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преднизолон, гидрокортизона ацетат;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солюмедрол, который обладает более высоким прессорным действием;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Сердечные гликозиды: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строфантин, коргликон;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кардиамин;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димедрол;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пипольфен, дипразин, прометазин;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супрастин;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глюконат кальция;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эуфиллин;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новокаин;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глюкоза;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физиологический раствор;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стерильные шприцы;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вата;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жгуты;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кислородная подушка;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Противосудорожные средства: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ГОМК;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реланиум, седуксен;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дроперидол;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Жаропонижающие средства: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анальгин;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 xml:space="preserve">парацетомол; 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сульфокамфокаин.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Необходимо следить за набором, менять по истечению срока годности препараты и возобновлять по мере необходимости.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АДРЕНАЛИН: уменьшает резорбцию из места инъекции. Поэтому необходимо проводить обкалывание. Разводят адреналин - 1 мл + 9 мл физраствора. Обкалывают из нескольких точек. Правильно обколотое место бледнеет и становится более холодным. Можно применять лед. Повторное обкалывание через 15 - 20 минут. Можно повторять несколько раз.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Если инъекции производились в конечности, то необходимо ее изолировать, наложив жгут на небольшое время 1-1,5 часа.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Воздействие на сосудистый тонус и восстановление ОЦК: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Норадреналин вводится только внутривенно, медленно, капельно. Затем для восстановления ОЦК введение кровезаменяющие растворы - гемодез, полиглюкин, реополиглюкин, неокомпенсан, макродез.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Борьба с локальным или генерализованным отеком мозга: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Салуретики (лазикс, фурасемид) по 2-5 мг/кг, но не менее 10 мг в первое введение - в/в.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Осмотически активные вещества, возвращающие жидкость из тканей в сосудистое русло: глюкоза 10%. При упущении ситуации может быть вклинение миндалин мозжечка в большое затылочное отверстие.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Если возникнет судорожный синдром в/в ввести ГОМК - 50-100 мг/кг 20% раствора - 0,5 мл/кг в сутки.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Для улучшения микроциркуляции эфиры никотиновой кислоты - трентал, теоникол, комплавин, ксавин.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Дыхательные аналептики - этимизола гидрохлорид 1-1,5 мг/кг массы. Стимулируют дыхательный центр, кору надпочечников, прессорное действие.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Глюкокртикоидные гормоны - защитное действие - протекторы при реакции антиген-антитело и уменьшают либирирующий эффект иммунных комплексов на клетки и высвобождение биологически активных веществ - гидрокортизон, преднизолон, солюмедрол.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Сердечные гликозиды. После стабилизации артериального давления - перевод в реанимационное отделение или палату интенсивной терапии, т.к. возможно волнообразное течение процесса.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Отек Квинке: Склонность к нему генетически детерминирована (в пределах одной семьи). Отек может быть локальным, лица, века, ушной раковины, гортани, языка, миокарда. Может быть в месте инъекции.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Синдром Лайела: характеризуется буллезным процессом на коже - возникают пузыри, затем эрозии. Склонен к саморазрешению - с экссудатом вытекает и а/г, однако теряется много жидкости. Похож на ожог. Участки поражения обрабатвают фукарцином, осторожно.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Синдром Стивенса - Джонсона: возникают высыпания вокруг естественных отверстий.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Закономерности оказания помощи, как и при анафилактическом шоке.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Лечение то же и при сывороточной болезни: глюкокортикоиды, антигистаминные препараты; сердечные гликозиды, дыхательные аналептики, прессорные амины.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Ряд "виновных " антигенов выводится через ЖКТ - дача энтеросорбентов: активированного угля, холестирамина, энтеросгеля, вазозана по 1 порошку 3 раза в день. Не сочетать с другими пероральными препаратами.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BCG - поствакцинальная побочная реакция ч/з 6 мес и более. Одним из осложнений - остеомиелит. Для доказательства - выделение из очага вакцинного штамма. Возможен сепсис. Прием фтивазида. Для купирования судорожного синдрома (как осложнение лечения препаратом)- давать вит В6 или пиридоксаль фосфат.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Факт реакции заносится в амбулаторную карточку!</w:t>
      </w:r>
    </w:p>
    <w:p w:rsidR="007D2DF3" w:rsidRPr="004B53AC" w:rsidRDefault="007D2DF3" w:rsidP="007D2DF3">
      <w:pPr>
        <w:spacing w:before="120"/>
        <w:ind w:firstLine="567"/>
        <w:jc w:val="both"/>
      </w:pPr>
      <w:r w:rsidRPr="004B53AC">
        <w:t>Заполнить экстренное извещение. Затем переслать в СЭС. Проводится расследование при участии эпидемиолога СЭС, администрации больницы, иммунолога (педиатра). Составляется акт расследования поствакцинальной побочной реакции.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DF3"/>
    <w:rsid w:val="003D3D55"/>
    <w:rsid w:val="004B53AC"/>
    <w:rsid w:val="00616072"/>
    <w:rsid w:val="00710772"/>
    <w:rsid w:val="007D2DF3"/>
    <w:rsid w:val="008B35EE"/>
    <w:rsid w:val="00A0739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2A0D88-365E-4B01-B9C3-45B3290B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F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D2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6095</Words>
  <Characters>3475</Characters>
  <Application>Microsoft Office Word</Application>
  <DocSecurity>0</DocSecurity>
  <Lines>28</Lines>
  <Paragraphs>19</Paragraphs>
  <ScaleCrop>false</ScaleCrop>
  <Company>Home</Company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Неотложная помощь и лечение поствакцинальных осложнений </dc:title>
  <dc:subject/>
  <dc:creator>User</dc:creator>
  <cp:keywords/>
  <dc:description/>
  <cp:lastModifiedBy>admin</cp:lastModifiedBy>
  <cp:revision>2</cp:revision>
  <dcterms:created xsi:type="dcterms:W3CDTF">2014-01-25T11:27:00Z</dcterms:created>
  <dcterms:modified xsi:type="dcterms:W3CDTF">2014-01-25T11:27:00Z</dcterms:modified>
</cp:coreProperties>
</file>