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7F6" w:rsidRDefault="00894353" w:rsidP="000C77F6">
      <w:pPr>
        <w:pStyle w:val="1"/>
        <w:rPr>
          <w:lang w:val="uk-UA"/>
        </w:rPr>
      </w:pPr>
      <w:r w:rsidRPr="000C77F6">
        <w:rPr>
          <w:kern w:val="0"/>
          <w:lang w:val="uk-UA"/>
        </w:rPr>
        <w:t>Державний кредит</w:t>
      </w:r>
      <w:r w:rsidR="000C77F6" w:rsidRPr="000C77F6">
        <w:rPr>
          <w:lang w:val="uk-UA"/>
        </w:rPr>
        <w:t xml:space="preserve"> </w:t>
      </w:r>
    </w:p>
    <w:p w:rsidR="000C77F6" w:rsidRDefault="000C77F6" w:rsidP="000C77F6">
      <w:pPr>
        <w:widowControl w:val="0"/>
        <w:autoSpaceDE w:val="0"/>
        <w:autoSpaceDN w:val="0"/>
        <w:adjustRightInd w:val="0"/>
        <w:rPr>
          <w:lang w:val="uk-UA"/>
        </w:rPr>
      </w:pPr>
    </w:p>
    <w:p w:rsidR="000C77F6" w:rsidRPr="000C77F6" w:rsidRDefault="00894353" w:rsidP="000C77F6">
      <w:pPr>
        <w:widowControl w:val="0"/>
        <w:autoSpaceDE w:val="0"/>
        <w:autoSpaceDN w:val="0"/>
        <w:adjustRightInd w:val="0"/>
        <w:rPr>
          <w:lang w:val="uk-UA"/>
        </w:rPr>
      </w:pPr>
      <w:r w:rsidRPr="000C77F6">
        <w:rPr>
          <w:lang w:val="uk-UA"/>
        </w:rPr>
        <w:t>Державний кредит</w:t>
      </w:r>
      <w:r w:rsidR="000C77F6" w:rsidRPr="000C77F6">
        <w:rPr>
          <w:lang w:val="uk-UA"/>
        </w:rPr>
        <w:t xml:space="preserve"> - </w:t>
      </w:r>
      <w:r w:rsidRPr="000C77F6">
        <w:rPr>
          <w:lang w:val="uk-UA"/>
        </w:rPr>
        <w:t>складова фінансової системи держави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Інститут держав</w:t>
      </w:r>
      <w:r w:rsidR="00DB30CB">
        <w:rPr>
          <w:lang w:val="uk-UA"/>
        </w:rPr>
        <w:t>ного кредиту є інститутом о</w:t>
      </w:r>
      <w:r w:rsidRPr="000C77F6">
        <w:rPr>
          <w:lang w:val="uk-UA"/>
        </w:rPr>
        <w:t>собливої частини фінансового права, на який поширюють свою дію норми Загальної частини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Йдеться про методи правового регулювання, характерні також для відносин у сфері державного та муніципального кредиту, особливості фінансово-правових норм, статус суб'єктів фінансових відносин, що виникають у сфері залучення коштів шляхом оформлення зовнішніх або внутрішніх позик та повернення таких коштів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Як і в будь-якій іншій сфері фінансової діяльності, у сфері державного кредиту актуальним є питання організації і проведення фінансового контролю, роль якого є визначальною у цій сфері, оскільки йдеться про необхідність обов'язкового повернення залучених коштів та сплату процентів за придбаним кредитом</w:t>
      </w:r>
      <w:r w:rsidR="000C77F6" w:rsidRPr="000C77F6">
        <w:rPr>
          <w:lang w:val="uk-UA"/>
        </w:rPr>
        <w:t>.</w:t>
      </w:r>
    </w:p>
    <w:p w:rsidR="000C77F6" w:rsidRPr="000C77F6" w:rsidRDefault="00894353" w:rsidP="000C77F6">
      <w:pPr>
        <w:widowControl w:val="0"/>
        <w:autoSpaceDE w:val="0"/>
        <w:autoSpaceDN w:val="0"/>
        <w:adjustRightInd w:val="0"/>
        <w:rPr>
          <w:lang w:val="uk-UA"/>
        </w:rPr>
      </w:pPr>
      <w:r w:rsidRPr="000C77F6">
        <w:rPr>
          <w:lang w:val="uk-UA"/>
        </w:rPr>
        <w:t>Державний кредит як метод мобілізації державою додаткових грошових коштів</w:t>
      </w:r>
      <w:r w:rsidR="000C77F6" w:rsidRPr="000C77F6">
        <w:rPr>
          <w:lang w:val="uk-UA"/>
        </w:rPr>
        <w:t xml:space="preserve"> - </w:t>
      </w:r>
      <w:r w:rsidRPr="000C77F6">
        <w:rPr>
          <w:lang w:val="uk-UA"/>
        </w:rPr>
        <w:t>явище складне й неординарне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Цей процес супроводжується певним ризиком як на стадії виникнення даного виду правовідносин (тобто чи зацікавляться кредитори можливістю вкласти свої гроші в державні цінні папери</w:t>
      </w:r>
      <w:r w:rsidR="000C77F6" w:rsidRPr="000C77F6">
        <w:rPr>
          <w:lang w:val="uk-UA"/>
        </w:rPr>
        <w:t>),</w:t>
      </w:r>
      <w:r w:rsidRPr="000C77F6">
        <w:rPr>
          <w:lang w:val="uk-UA"/>
        </w:rPr>
        <w:t xml:space="preserve"> так і з точки зору доцільності використання запозичених коштів та можливості їх повернути, сплативши передбачену винагороду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Йдеться про наслідки, адже показником ефективності таких операцій є державний борг</w:t>
      </w:r>
      <w:r w:rsidR="000C77F6" w:rsidRPr="000C77F6">
        <w:rPr>
          <w:lang w:val="uk-UA"/>
        </w:rPr>
        <w:t>.</w:t>
      </w:r>
    </w:p>
    <w:p w:rsidR="000C77F6" w:rsidRPr="000C77F6" w:rsidRDefault="00894353" w:rsidP="000C77F6">
      <w:pPr>
        <w:widowControl w:val="0"/>
        <w:autoSpaceDE w:val="0"/>
        <w:autoSpaceDN w:val="0"/>
        <w:adjustRightInd w:val="0"/>
        <w:rPr>
          <w:lang w:val="uk-UA"/>
        </w:rPr>
      </w:pPr>
      <w:r w:rsidRPr="000C77F6">
        <w:rPr>
          <w:lang w:val="uk-UA"/>
        </w:rPr>
        <w:t>Економічний зміст і юридична природа державного кредиту водночас передбачають надходження до державного бюджету, оскільки суми державних позик становлять його доходну частину, та разом з тим ці кошти не дають нових прибутків і повинні погашатися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Власне характерні ознаки добровільності, терміновості, платності і повороткості відмежовують кошти, акумульовані шляхом державного кредиту, від доходів держави</w:t>
      </w:r>
      <w:r w:rsidR="000C77F6" w:rsidRPr="000C77F6">
        <w:rPr>
          <w:lang w:val="uk-UA"/>
        </w:rPr>
        <w:t>.</w:t>
      </w:r>
    </w:p>
    <w:p w:rsidR="000C77F6" w:rsidRPr="000C77F6" w:rsidRDefault="00894353" w:rsidP="000C77F6">
      <w:pPr>
        <w:widowControl w:val="0"/>
        <w:autoSpaceDE w:val="0"/>
        <w:autoSpaceDN w:val="0"/>
        <w:adjustRightInd w:val="0"/>
        <w:rPr>
          <w:lang w:val="uk-UA"/>
        </w:rPr>
      </w:pPr>
      <w:r w:rsidRPr="000C77F6">
        <w:rPr>
          <w:lang w:val="uk-UA"/>
        </w:rPr>
        <w:t>Суми державних позик</w:t>
      </w:r>
      <w:r w:rsidR="000C77F6" w:rsidRPr="000C77F6">
        <w:rPr>
          <w:lang w:val="uk-UA"/>
        </w:rPr>
        <w:t xml:space="preserve"> - </w:t>
      </w:r>
      <w:r w:rsidRPr="000C77F6">
        <w:rPr>
          <w:lang w:val="uk-UA"/>
        </w:rPr>
        <w:t>державні кошти, оскільки держава може їх вільно використовувати і повністю ними розпоряджатися, однак за своїм фінансовим і економічним характером вони істотно відрізняються від постійних доходів, оскільки пов'язані з певними видатками</w:t>
      </w:r>
      <w:r w:rsidR="000C77F6" w:rsidRPr="000C77F6">
        <w:rPr>
          <w:lang w:val="uk-UA"/>
        </w:rPr>
        <w:t xml:space="preserve">: </w:t>
      </w:r>
      <w:r w:rsidRPr="000C77F6">
        <w:rPr>
          <w:lang w:val="uk-UA"/>
        </w:rPr>
        <w:t>відшкодуванням вартості державного цінного папера</w:t>
      </w:r>
      <w:r w:rsidR="000C77F6" w:rsidRPr="000C77F6">
        <w:rPr>
          <w:lang w:val="uk-UA"/>
        </w:rPr>
        <w:t xml:space="preserve">; </w:t>
      </w:r>
      <w:r w:rsidRPr="000C77F6">
        <w:rPr>
          <w:lang w:val="uk-UA"/>
        </w:rPr>
        <w:t>виплатою процентів за державними позиками тощо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Отже, одержані державою суми державних позик згодом тягнуть за собою видатки з державного бюджету на погашення державного боргу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Як і інші сфери фінансової діяльності держави, відносини у галузі зовнішніх та внутрішніх запозичень є предметом постійного контролю з боку уповноважених фінансових органів та органів загальної компетенції</w:t>
      </w:r>
      <w:r w:rsidR="000C77F6" w:rsidRPr="000C77F6">
        <w:rPr>
          <w:lang w:val="uk-UA"/>
        </w:rPr>
        <w:t>.</w:t>
      </w:r>
    </w:p>
    <w:p w:rsidR="00894353" w:rsidRPr="000C77F6" w:rsidRDefault="00894353" w:rsidP="000C77F6">
      <w:pPr>
        <w:widowControl w:val="0"/>
        <w:autoSpaceDE w:val="0"/>
        <w:autoSpaceDN w:val="0"/>
        <w:adjustRightInd w:val="0"/>
        <w:rPr>
          <w:lang w:val="uk-UA"/>
        </w:rPr>
      </w:pPr>
      <w:r w:rsidRPr="000C77F6">
        <w:rPr>
          <w:lang w:val="uk-UA"/>
        </w:rPr>
        <w:t>Інститут державного кредиту не допускає однобічності вирішення питання і є надзвичайно чутливим до політичних, економічних змін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Обслуговування і погашення державного боргу</w:t>
      </w:r>
      <w:r w:rsidR="000C77F6" w:rsidRPr="000C77F6">
        <w:rPr>
          <w:lang w:val="uk-UA"/>
        </w:rPr>
        <w:t xml:space="preserve"> - </w:t>
      </w:r>
      <w:r w:rsidRPr="000C77F6">
        <w:rPr>
          <w:lang w:val="uk-UA"/>
        </w:rPr>
        <w:t>одна з найвагоміших витратних статей державного бюджету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Проте, з власного досвіду і досвіду зарубіжних країн відомо, що найкраще запозичені кошти спрямовувати до виробничої сфери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Залежно від того, які галузі народного господарства фінансуватимуться за рахунок цих коштів, визначаються терміни, на які можна їх вкладати, з тим щоб сплата процентів здійснювалася за рахунок одержаних доходів від проінвестованих галузей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Принцип цільового використання позичених коштів є виправданим на будь-якому рівні чи за будь-якої форми кредитування</w:t>
      </w:r>
      <w:r w:rsidR="000C77F6" w:rsidRPr="000C77F6">
        <w:rPr>
          <w:lang w:val="uk-UA"/>
        </w:rPr>
        <w:t xml:space="preserve">: </w:t>
      </w:r>
      <w:r w:rsidRPr="000C77F6">
        <w:rPr>
          <w:lang w:val="uk-UA"/>
        </w:rPr>
        <w:t>банківський кредит, державне кредитування, кредити, надані міжнародними фінансово-кредитними установами тощо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Водночас використання позик на погашення заборгованості з заробітної плати, погашення раніше випущених позик тощо не вирішує проблему в глобальному розумінні, а лише збільшує незабезпечений борг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В умовах перебудови економіки слід налагоджувати, розширювати, за потреби перебудовувати національне виробництво, з тим щоб створювати робочі місця, конкурентоспроможну національну продукцію, оживляти міжнародні економічні зв'язки тощо</w:t>
      </w:r>
      <w:r w:rsidR="000C77F6" w:rsidRPr="000C77F6">
        <w:rPr>
          <w:lang w:val="uk-UA"/>
        </w:rPr>
        <w:t xml:space="preserve">. </w:t>
      </w:r>
    </w:p>
    <w:p w:rsidR="000C77F6" w:rsidRPr="000C77F6" w:rsidRDefault="00894353" w:rsidP="000C77F6">
      <w:pPr>
        <w:widowControl w:val="0"/>
        <w:autoSpaceDE w:val="0"/>
        <w:autoSpaceDN w:val="0"/>
        <w:adjustRightInd w:val="0"/>
        <w:rPr>
          <w:lang w:val="uk-UA"/>
        </w:rPr>
      </w:pPr>
      <w:r w:rsidRPr="000C77F6">
        <w:rPr>
          <w:lang w:val="uk-UA"/>
        </w:rPr>
        <w:t>Державний кредит дістає своє відображення у сумах державного боргу, який виникає у держави перед зовнішніми та внутрішніми позичальниками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Зрозуміло, що державний борг, як і будь-яка інша категорія фінансового права, є водночас предметом дослідження фінансової науки, економіки тощо, тобто має складну природу</w:t>
      </w:r>
      <w:r w:rsidR="000C77F6" w:rsidRPr="000C77F6">
        <w:rPr>
          <w:lang w:val="uk-UA"/>
        </w:rPr>
        <w:t>.</w:t>
      </w:r>
    </w:p>
    <w:p w:rsidR="000C77F6" w:rsidRPr="000C77F6" w:rsidRDefault="00894353" w:rsidP="000C77F6">
      <w:pPr>
        <w:widowControl w:val="0"/>
        <w:autoSpaceDE w:val="0"/>
        <w:autoSpaceDN w:val="0"/>
        <w:adjustRightInd w:val="0"/>
        <w:rPr>
          <w:lang w:val="uk-UA"/>
        </w:rPr>
      </w:pPr>
      <w:r w:rsidRPr="000C77F6">
        <w:rPr>
          <w:lang w:val="uk-UA"/>
        </w:rPr>
        <w:t>Державний борг</w:t>
      </w:r>
      <w:r w:rsidR="000C77F6" w:rsidRPr="000C77F6">
        <w:rPr>
          <w:lang w:val="uk-UA"/>
        </w:rPr>
        <w:t xml:space="preserve"> - </w:t>
      </w:r>
      <w:r w:rsidRPr="000C77F6">
        <w:rPr>
          <w:lang w:val="uk-UA"/>
        </w:rPr>
        <w:t>це загальний розмір, накопиченої заборгованості уряду власникам державних цінних паперів, який дорівнює сумі минулих бюджетних дефіцитів за вирахуванням бюджетних надлишків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Державний борг складається з внутрішнього та зовнішнього боргу держави</w:t>
      </w:r>
      <w:r w:rsidR="000C77F6" w:rsidRPr="000C77F6">
        <w:rPr>
          <w:lang w:val="uk-UA"/>
        </w:rPr>
        <w:t>.</w:t>
      </w:r>
    </w:p>
    <w:p w:rsidR="000C77F6" w:rsidRPr="000C77F6" w:rsidRDefault="00894353" w:rsidP="000C77F6">
      <w:pPr>
        <w:widowControl w:val="0"/>
        <w:autoSpaceDE w:val="0"/>
        <w:autoSpaceDN w:val="0"/>
        <w:adjustRightInd w:val="0"/>
        <w:rPr>
          <w:lang w:val="uk-UA"/>
        </w:rPr>
      </w:pPr>
      <w:r w:rsidRPr="000C77F6">
        <w:rPr>
          <w:lang w:val="uk-UA"/>
        </w:rPr>
        <w:t>Відповідно до ст</w:t>
      </w:r>
      <w:r w:rsidR="000C77F6" w:rsidRPr="000C77F6">
        <w:rPr>
          <w:lang w:val="uk-UA"/>
        </w:rPr>
        <w:t>.1</w:t>
      </w:r>
      <w:r w:rsidRPr="000C77F6">
        <w:rPr>
          <w:lang w:val="uk-UA"/>
        </w:rPr>
        <w:t>2 Бюджетного кодексу України класифікація боргу систематизує інформацію про всі боргові зобов'язання держави, Автономної Республіки Крим, місцевого самоврядування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Борг класифікується за типом кредитора та за типом боргового зобов'язання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Бюджетне законодавство встановлює також вимоги щодо граничного обсягу боргу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Зокрема, граничний обсяг внутрішнього та зовнішнього державного боргу, боргу Автономної Республіки Крим чи місцевого самоврядування, граничний обсяг надання гарантій встановлюються на кожний бюджетний період згідно з Законом про Державний бюджет України чи рішенням про місцевий бюджет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Величина основної суми державного боргу має не перевищувати 60</w:t>
      </w:r>
      <w:r w:rsidR="000C77F6" w:rsidRPr="000C77F6">
        <w:rPr>
          <w:lang w:val="uk-UA"/>
        </w:rPr>
        <w:t>%</w:t>
      </w:r>
      <w:r w:rsidRPr="000C77F6">
        <w:rPr>
          <w:lang w:val="uk-UA"/>
        </w:rPr>
        <w:t xml:space="preserve"> фактичного річного обсягу валового внутрішнього продукту України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У разі перевищення зазначеної граничної величини Кабінет Міністрів України зобов'язаний вжити заходів для приведення цієї величини у відповідність з встановленими законодавством вимогами</w:t>
      </w:r>
      <w:r w:rsidR="000C77F6" w:rsidRPr="000C77F6">
        <w:rPr>
          <w:lang w:val="uk-UA"/>
        </w:rPr>
        <w:t>.</w:t>
      </w:r>
    </w:p>
    <w:p w:rsidR="000C77F6" w:rsidRPr="000C77F6" w:rsidRDefault="00894353" w:rsidP="000C77F6">
      <w:pPr>
        <w:widowControl w:val="0"/>
        <w:autoSpaceDE w:val="0"/>
        <w:autoSpaceDN w:val="0"/>
        <w:adjustRightInd w:val="0"/>
        <w:rPr>
          <w:lang w:val="uk-UA"/>
        </w:rPr>
      </w:pPr>
      <w:r w:rsidRPr="000C77F6">
        <w:rPr>
          <w:lang w:val="uk-UA"/>
        </w:rPr>
        <w:t>Внутрішній державний борг</w:t>
      </w:r>
      <w:r w:rsidR="000C77F6" w:rsidRPr="000C77F6">
        <w:rPr>
          <w:lang w:val="uk-UA"/>
        </w:rPr>
        <w:t xml:space="preserve"> - </w:t>
      </w:r>
      <w:r w:rsidRPr="000C77F6">
        <w:rPr>
          <w:lang w:val="uk-UA"/>
        </w:rPr>
        <w:t>заборгованість держави домогосподарствам і фірмам даної країни, які володіють цінними паперами, випущеними її урядом</w:t>
      </w:r>
      <w:r w:rsidR="000C77F6" w:rsidRPr="000C77F6">
        <w:rPr>
          <w:lang w:val="uk-UA"/>
        </w:rPr>
        <w:t>.</w:t>
      </w:r>
    </w:p>
    <w:p w:rsidR="000C77F6" w:rsidRPr="000C77F6" w:rsidRDefault="00894353" w:rsidP="000C77F6">
      <w:pPr>
        <w:widowControl w:val="0"/>
        <w:autoSpaceDE w:val="0"/>
        <w:autoSpaceDN w:val="0"/>
        <w:adjustRightInd w:val="0"/>
        <w:rPr>
          <w:lang w:val="uk-UA"/>
        </w:rPr>
      </w:pPr>
      <w:r w:rsidRPr="000C77F6">
        <w:rPr>
          <w:lang w:val="uk-UA"/>
        </w:rPr>
        <w:t>Внутрішній борг України умовно можна поділити на боргові зобов'язання двох видів</w:t>
      </w:r>
      <w:r w:rsidR="000C77F6" w:rsidRPr="000C77F6">
        <w:rPr>
          <w:lang w:val="uk-UA"/>
        </w:rPr>
        <w:t xml:space="preserve">: </w:t>
      </w:r>
      <w:r w:rsidRPr="000C77F6">
        <w:rPr>
          <w:lang w:val="uk-UA"/>
        </w:rPr>
        <w:t>ринкові, що існують у формі державних емісійних цінних паперів, та неринкові, що виникли за підсумками виконання державного бюджету, інші позики та зобов'язання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До нього належить також заборгованість, що утворилася в результаті компенсації гарантованих заощаджень громадян чи інших державних боргових сертифікатів Радянського Союзу, розміщених свого часу серед населення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В Україні виник специфічний державний борг перед населенням через несвоєчасну виплату заробітної плати, пенсій, стипендій, інші соціальні програми та виплати</w:t>
      </w:r>
      <w:r w:rsidR="000C77F6" w:rsidRPr="000C77F6">
        <w:rPr>
          <w:lang w:val="uk-UA"/>
        </w:rPr>
        <w:t>.</w:t>
      </w:r>
    </w:p>
    <w:p w:rsidR="000C77F6" w:rsidRPr="000C77F6" w:rsidRDefault="00894353" w:rsidP="000C77F6">
      <w:pPr>
        <w:widowControl w:val="0"/>
        <w:autoSpaceDE w:val="0"/>
        <w:autoSpaceDN w:val="0"/>
        <w:adjustRightInd w:val="0"/>
        <w:rPr>
          <w:lang w:val="uk-UA"/>
        </w:rPr>
      </w:pPr>
      <w:r w:rsidRPr="000C77F6">
        <w:rPr>
          <w:lang w:val="uk-UA"/>
        </w:rPr>
        <w:t>Відповідно до законів України "Про державний внутрішній борг України", "Про структуру державного внутрішнього боргу України за станом на 1 січня 1996 р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і граничний розмір державного внутрішнього боргу України на 1996 та 1997 роки", постанови Верховної Ради України "Про структуру бюджетної класифікації" * державний внутрішній борг має свою структуру, в якій відображається заборгованість Уряду України</w:t>
      </w:r>
      <w:r w:rsidR="000C77F6" w:rsidRPr="000C77F6">
        <w:rPr>
          <w:lang w:val="uk-UA"/>
        </w:rPr>
        <w:t>.</w:t>
      </w:r>
    </w:p>
    <w:p w:rsidR="000C77F6" w:rsidRPr="000C77F6" w:rsidRDefault="00894353" w:rsidP="000C77F6">
      <w:pPr>
        <w:widowControl w:val="0"/>
        <w:autoSpaceDE w:val="0"/>
        <w:autoSpaceDN w:val="0"/>
        <w:adjustRightInd w:val="0"/>
        <w:rPr>
          <w:lang w:val="uk-UA"/>
        </w:rPr>
      </w:pPr>
      <w:r w:rsidRPr="000C77F6">
        <w:rPr>
          <w:lang w:val="uk-UA"/>
        </w:rPr>
        <w:t>1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Заборгованість перед юридичними особами</w:t>
      </w:r>
      <w:r w:rsidR="000C77F6" w:rsidRPr="000C77F6">
        <w:rPr>
          <w:lang w:val="uk-UA"/>
        </w:rPr>
        <w:t xml:space="preserve">: </w:t>
      </w:r>
      <w:r w:rsidRPr="000C77F6">
        <w:rPr>
          <w:lang w:val="uk-UA"/>
        </w:rPr>
        <w:t>сума заборгованості за внутрішніми позиками</w:t>
      </w:r>
      <w:r w:rsidR="000C77F6" w:rsidRPr="000C77F6">
        <w:rPr>
          <w:lang w:val="uk-UA"/>
        </w:rPr>
        <w:t>.</w:t>
      </w:r>
    </w:p>
    <w:p w:rsidR="000C77F6" w:rsidRPr="000C77F6" w:rsidRDefault="00894353" w:rsidP="000C77F6">
      <w:pPr>
        <w:widowControl w:val="0"/>
        <w:autoSpaceDE w:val="0"/>
        <w:autoSpaceDN w:val="0"/>
        <w:adjustRightInd w:val="0"/>
        <w:rPr>
          <w:lang w:val="uk-UA"/>
        </w:rPr>
      </w:pPr>
      <w:r w:rsidRPr="000C77F6">
        <w:rPr>
          <w:lang w:val="uk-UA"/>
        </w:rPr>
        <w:t>2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Заборгованість перед банківськими установами, у тому числі</w:t>
      </w:r>
      <w:r w:rsidR="000C77F6" w:rsidRPr="000C77F6">
        <w:rPr>
          <w:lang w:val="uk-UA"/>
        </w:rPr>
        <w:t>:</w:t>
      </w:r>
    </w:p>
    <w:p w:rsidR="000C77F6" w:rsidRPr="000C77F6" w:rsidRDefault="00894353" w:rsidP="000C77F6">
      <w:pPr>
        <w:widowControl w:val="0"/>
        <w:autoSpaceDE w:val="0"/>
        <w:autoSpaceDN w:val="0"/>
        <w:adjustRightInd w:val="0"/>
        <w:rPr>
          <w:lang w:val="uk-UA"/>
        </w:rPr>
      </w:pPr>
      <w:r w:rsidRPr="000C77F6">
        <w:rPr>
          <w:lang w:val="uk-UA"/>
        </w:rPr>
        <w:t>а</w:t>
      </w:r>
      <w:r w:rsidR="000C77F6" w:rsidRPr="000C77F6">
        <w:rPr>
          <w:lang w:val="uk-UA"/>
        </w:rPr>
        <w:t xml:space="preserve">) </w:t>
      </w:r>
      <w:r w:rsidRPr="000C77F6">
        <w:rPr>
          <w:lang w:val="uk-UA"/>
        </w:rPr>
        <w:t>перед Національним банком України</w:t>
      </w:r>
      <w:r w:rsidR="000C77F6" w:rsidRPr="000C77F6">
        <w:rPr>
          <w:lang w:val="uk-UA"/>
        </w:rPr>
        <w:t xml:space="preserve">; </w:t>
      </w:r>
      <w:r w:rsidRPr="000C77F6">
        <w:rPr>
          <w:lang w:val="uk-UA"/>
        </w:rPr>
        <w:t>б</w:t>
      </w:r>
      <w:r w:rsidR="000C77F6" w:rsidRPr="000C77F6">
        <w:rPr>
          <w:lang w:val="uk-UA"/>
        </w:rPr>
        <w:t xml:space="preserve">) </w:t>
      </w:r>
      <w:r w:rsidRPr="000C77F6">
        <w:rPr>
          <w:lang w:val="uk-UA"/>
        </w:rPr>
        <w:t>за позиками, одержаними для фінансування дефіциту бюджету поточного року</w:t>
      </w:r>
      <w:r w:rsidR="000C77F6" w:rsidRPr="000C77F6">
        <w:rPr>
          <w:lang w:val="uk-UA"/>
        </w:rPr>
        <w:t xml:space="preserve">; </w:t>
      </w:r>
      <w:r w:rsidRPr="000C77F6">
        <w:rPr>
          <w:lang w:val="uk-UA"/>
        </w:rPr>
        <w:t>в</w:t>
      </w:r>
      <w:r w:rsidR="000C77F6" w:rsidRPr="000C77F6">
        <w:rPr>
          <w:lang w:val="uk-UA"/>
        </w:rPr>
        <w:t xml:space="preserve">) </w:t>
      </w:r>
      <w:r w:rsidRPr="000C77F6">
        <w:rPr>
          <w:lang w:val="uk-UA"/>
        </w:rPr>
        <w:t>за позиками, одержаними для фінансування дефіциту бюджету минулих років</w:t>
      </w:r>
      <w:r w:rsidR="000C77F6" w:rsidRPr="000C77F6">
        <w:rPr>
          <w:lang w:val="uk-UA"/>
        </w:rPr>
        <w:t xml:space="preserve">; </w:t>
      </w:r>
      <w:r w:rsidRPr="000C77F6">
        <w:rPr>
          <w:lang w:val="uk-UA"/>
        </w:rPr>
        <w:t>г</w:t>
      </w:r>
      <w:r w:rsidR="000C77F6" w:rsidRPr="000C77F6">
        <w:rPr>
          <w:lang w:val="uk-UA"/>
        </w:rPr>
        <w:t xml:space="preserve">) </w:t>
      </w:r>
      <w:r w:rsidRPr="000C77F6">
        <w:rPr>
          <w:lang w:val="uk-UA"/>
        </w:rPr>
        <w:t>за іншими позиками та зобов'язаннями</w:t>
      </w:r>
      <w:r w:rsidR="000C77F6" w:rsidRPr="000C77F6">
        <w:rPr>
          <w:lang w:val="uk-UA"/>
        </w:rPr>
        <w:t xml:space="preserve">; </w:t>
      </w:r>
      <w:r w:rsidRPr="000C77F6">
        <w:rPr>
          <w:lang w:val="uk-UA"/>
        </w:rPr>
        <w:t>д</w:t>
      </w:r>
      <w:r w:rsidR="000C77F6" w:rsidRPr="000C77F6">
        <w:rPr>
          <w:lang w:val="uk-UA"/>
        </w:rPr>
        <w:t xml:space="preserve">) </w:t>
      </w:r>
      <w:r w:rsidRPr="000C77F6">
        <w:rPr>
          <w:lang w:val="uk-UA"/>
        </w:rPr>
        <w:t>за компенсаційними виплатами населенню в установах Ощадного банку України та колишнього Укрдержстраху</w:t>
      </w:r>
      <w:r w:rsidR="000C77F6" w:rsidRPr="000C77F6">
        <w:rPr>
          <w:lang w:val="uk-UA"/>
        </w:rPr>
        <w:t xml:space="preserve">; </w:t>
      </w:r>
      <w:r w:rsidRPr="000C77F6">
        <w:rPr>
          <w:lang w:val="uk-UA"/>
        </w:rPr>
        <w:t>е</w:t>
      </w:r>
      <w:r w:rsidR="000C77F6" w:rsidRPr="000C77F6">
        <w:rPr>
          <w:lang w:val="uk-UA"/>
        </w:rPr>
        <w:t xml:space="preserve">) </w:t>
      </w:r>
      <w:r w:rsidRPr="000C77F6">
        <w:rPr>
          <w:lang w:val="uk-UA"/>
        </w:rPr>
        <w:t>за залишками вкладів населення, централізованими колишнім Ощадним банком СРСР, та компенсаціями за ними</w:t>
      </w:r>
      <w:r w:rsidR="000C77F6" w:rsidRPr="000C77F6">
        <w:rPr>
          <w:lang w:val="uk-UA"/>
        </w:rPr>
        <w:t xml:space="preserve">; </w:t>
      </w:r>
      <w:r w:rsidRPr="000C77F6">
        <w:rPr>
          <w:lang w:val="uk-UA"/>
        </w:rPr>
        <w:t>є</w:t>
      </w:r>
      <w:r w:rsidR="000C77F6" w:rsidRPr="000C77F6">
        <w:rPr>
          <w:lang w:val="uk-UA"/>
        </w:rPr>
        <w:t xml:space="preserve">) </w:t>
      </w:r>
      <w:r w:rsidRPr="000C77F6">
        <w:rPr>
          <w:lang w:val="uk-UA"/>
        </w:rPr>
        <w:t>заборгованість перед іншими банками</w:t>
      </w:r>
      <w:r w:rsidR="000C77F6" w:rsidRPr="000C77F6">
        <w:rPr>
          <w:lang w:val="uk-UA"/>
        </w:rPr>
        <w:t xml:space="preserve">.3. </w:t>
      </w:r>
      <w:r w:rsidRPr="000C77F6">
        <w:rPr>
          <w:lang w:val="uk-UA"/>
        </w:rPr>
        <w:t>Заборгованість сільськогосподарських підприємств за довгостроковими та короткостроковими позикам, віднесена на державний борг</w:t>
      </w:r>
      <w:r w:rsidR="000C77F6" w:rsidRPr="000C77F6">
        <w:rPr>
          <w:lang w:val="uk-UA"/>
        </w:rPr>
        <w:t>.</w:t>
      </w:r>
    </w:p>
    <w:p w:rsidR="00894353" w:rsidRPr="000C77F6" w:rsidRDefault="00894353" w:rsidP="000C77F6">
      <w:pPr>
        <w:widowControl w:val="0"/>
        <w:autoSpaceDE w:val="0"/>
        <w:autoSpaceDN w:val="0"/>
        <w:adjustRightInd w:val="0"/>
        <w:rPr>
          <w:lang w:val="uk-UA"/>
        </w:rPr>
      </w:pPr>
      <w:r w:rsidRPr="000C77F6">
        <w:rPr>
          <w:lang w:val="uk-UA"/>
        </w:rPr>
        <w:t>4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За сумами, спрямованими на індексацію оборотних коштів державних підприємств і організацій</w:t>
      </w:r>
      <w:r w:rsidR="000C77F6" w:rsidRPr="000C77F6">
        <w:rPr>
          <w:lang w:val="uk-UA"/>
        </w:rPr>
        <w:t xml:space="preserve">. </w:t>
      </w:r>
    </w:p>
    <w:p w:rsidR="000C77F6" w:rsidRPr="000C77F6" w:rsidRDefault="00894353" w:rsidP="000C77F6">
      <w:pPr>
        <w:widowControl w:val="0"/>
        <w:autoSpaceDE w:val="0"/>
        <w:autoSpaceDN w:val="0"/>
        <w:adjustRightInd w:val="0"/>
        <w:rPr>
          <w:lang w:val="uk-UA"/>
        </w:rPr>
      </w:pPr>
      <w:r w:rsidRPr="000C77F6">
        <w:rPr>
          <w:lang w:val="uk-UA"/>
        </w:rPr>
        <w:t>5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Інша внутрішня заборгованість</w:t>
      </w:r>
      <w:r w:rsidR="000C77F6" w:rsidRPr="000C77F6">
        <w:rPr>
          <w:lang w:val="uk-UA"/>
        </w:rPr>
        <w:t>.</w:t>
      </w:r>
    </w:p>
    <w:p w:rsidR="000C77F6" w:rsidRPr="000C77F6" w:rsidRDefault="00894353" w:rsidP="000C77F6">
      <w:pPr>
        <w:widowControl w:val="0"/>
        <w:autoSpaceDE w:val="0"/>
        <w:autoSpaceDN w:val="0"/>
        <w:adjustRightInd w:val="0"/>
        <w:rPr>
          <w:lang w:val="uk-UA"/>
        </w:rPr>
      </w:pPr>
      <w:r w:rsidRPr="000C77F6">
        <w:rPr>
          <w:lang w:val="uk-UA"/>
        </w:rPr>
        <w:t>6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Заборгованість перед фізичними особами за цінними паперами та компенсаціями за ними</w:t>
      </w:r>
      <w:r w:rsidR="000C77F6" w:rsidRPr="000C77F6">
        <w:rPr>
          <w:lang w:val="uk-UA"/>
        </w:rPr>
        <w:t>.</w:t>
      </w:r>
    </w:p>
    <w:p w:rsidR="000C77F6" w:rsidRPr="000C77F6" w:rsidRDefault="00894353" w:rsidP="000C77F6">
      <w:pPr>
        <w:widowControl w:val="0"/>
        <w:autoSpaceDE w:val="0"/>
        <w:autoSpaceDN w:val="0"/>
        <w:adjustRightInd w:val="0"/>
        <w:rPr>
          <w:lang w:val="uk-UA"/>
        </w:rPr>
      </w:pPr>
      <w:r w:rsidRPr="000C77F6">
        <w:rPr>
          <w:lang w:val="uk-UA"/>
        </w:rPr>
        <w:t>Слід зазначити, що структура державного боргу згідно із Законом України "Про державний внутрішній борг України" повинна визначатися щорічно Верховною Радою України водночас із затвердженням Державного бюджету України на наступний рік</w:t>
      </w:r>
      <w:r w:rsidR="000C77F6" w:rsidRPr="000C77F6">
        <w:rPr>
          <w:lang w:val="uk-UA"/>
        </w:rPr>
        <w:t>.</w:t>
      </w:r>
    </w:p>
    <w:p w:rsidR="000C77F6" w:rsidRPr="000C77F6" w:rsidRDefault="00894353" w:rsidP="000C77F6">
      <w:pPr>
        <w:widowControl w:val="0"/>
        <w:autoSpaceDE w:val="0"/>
        <w:autoSpaceDN w:val="0"/>
        <w:adjustRightInd w:val="0"/>
        <w:rPr>
          <w:lang w:val="uk-UA"/>
        </w:rPr>
      </w:pPr>
      <w:r w:rsidRPr="000C77F6">
        <w:rPr>
          <w:lang w:val="uk-UA"/>
        </w:rPr>
        <w:t>Зовнішній державний борг</w:t>
      </w:r>
      <w:r w:rsidR="000C77F6" w:rsidRPr="000C77F6">
        <w:rPr>
          <w:lang w:val="uk-UA"/>
        </w:rPr>
        <w:t xml:space="preserve"> - </w:t>
      </w:r>
      <w:r w:rsidRPr="000C77F6">
        <w:rPr>
          <w:lang w:val="uk-UA"/>
        </w:rPr>
        <w:t>це заборгованість держави перед іноземними громадянами, фірмами, урядами та міжнародними фінансовими організаціями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В індустріальне розвинутих країнах порівняно незначна частка сукупного державного боргу відноситься на зовнішній борг, переважна частина державного боргу припадає на вітчизняних інвесторів</w:t>
      </w:r>
      <w:r w:rsidR="000C77F6" w:rsidRPr="000C77F6">
        <w:rPr>
          <w:lang w:val="uk-UA"/>
        </w:rPr>
        <w:t>.</w:t>
      </w:r>
    </w:p>
    <w:p w:rsidR="000C77F6" w:rsidRPr="000C77F6" w:rsidRDefault="00894353" w:rsidP="000C77F6">
      <w:pPr>
        <w:widowControl w:val="0"/>
        <w:autoSpaceDE w:val="0"/>
        <w:autoSpaceDN w:val="0"/>
        <w:adjustRightInd w:val="0"/>
        <w:rPr>
          <w:lang w:val="uk-UA"/>
        </w:rPr>
      </w:pPr>
      <w:r w:rsidRPr="000C77F6">
        <w:rPr>
          <w:lang w:val="uk-UA"/>
        </w:rPr>
        <w:t>Основними причинами створення і збільшення державного боргу є</w:t>
      </w:r>
      <w:r w:rsidR="000C77F6" w:rsidRPr="000C77F6">
        <w:rPr>
          <w:lang w:val="uk-UA"/>
        </w:rPr>
        <w:t xml:space="preserve">: </w:t>
      </w:r>
      <w:r w:rsidRPr="000C77F6">
        <w:rPr>
          <w:lang w:val="uk-UA"/>
        </w:rPr>
        <w:t>збільшення державних видатків без відповідного зростання державних доходів</w:t>
      </w:r>
      <w:r w:rsidR="000C77F6" w:rsidRPr="000C77F6">
        <w:rPr>
          <w:lang w:val="uk-UA"/>
        </w:rPr>
        <w:t xml:space="preserve">; </w:t>
      </w:r>
      <w:r w:rsidRPr="000C77F6">
        <w:rPr>
          <w:lang w:val="uk-UA"/>
        </w:rPr>
        <w:t>циклічні спади й автоматичні стабілізатори економіки</w:t>
      </w:r>
      <w:r w:rsidR="000C77F6" w:rsidRPr="000C77F6">
        <w:rPr>
          <w:lang w:val="uk-UA"/>
        </w:rPr>
        <w:t xml:space="preserve">; </w:t>
      </w:r>
      <w:r w:rsidRPr="000C77F6">
        <w:rPr>
          <w:lang w:val="uk-UA"/>
        </w:rPr>
        <w:t>скорочення податків з метою стимулювання економіки без відповідного коригування (зменшення</w:t>
      </w:r>
      <w:r w:rsidR="000C77F6" w:rsidRPr="000C77F6">
        <w:rPr>
          <w:lang w:val="uk-UA"/>
        </w:rPr>
        <w:t xml:space="preserve">) </w:t>
      </w:r>
      <w:r w:rsidRPr="000C77F6">
        <w:rPr>
          <w:lang w:val="uk-UA"/>
        </w:rPr>
        <w:t>державних витрат</w:t>
      </w:r>
      <w:r w:rsidR="000C77F6" w:rsidRPr="000C77F6">
        <w:rPr>
          <w:lang w:val="uk-UA"/>
        </w:rPr>
        <w:t xml:space="preserve">; </w:t>
      </w:r>
      <w:r w:rsidRPr="000C77F6">
        <w:rPr>
          <w:lang w:val="uk-UA"/>
        </w:rPr>
        <w:t>вплив політичних бізнес-циклів</w:t>
      </w:r>
      <w:r w:rsidR="000C77F6" w:rsidRPr="000C77F6">
        <w:rPr>
          <w:lang w:val="uk-UA"/>
        </w:rPr>
        <w:t xml:space="preserve"> - </w:t>
      </w:r>
      <w:r w:rsidRPr="000C77F6">
        <w:rPr>
          <w:lang w:val="uk-UA"/>
        </w:rPr>
        <w:t>надмірне збільшення видатків напередодні виборів для завоювання популярності виборців та збереження влади</w:t>
      </w:r>
      <w:r w:rsidR="000C77F6" w:rsidRPr="000C77F6">
        <w:rPr>
          <w:lang w:val="uk-UA"/>
        </w:rPr>
        <w:t>.</w:t>
      </w:r>
    </w:p>
    <w:p w:rsidR="007F3C0C" w:rsidRPr="000C77F6" w:rsidRDefault="00894353" w:rsidP="000C77F6">
      <w:pPr>
        <w:widowControl w:val="0"/>
        <w:autoSpaceDE w:val="0"/>
        <w:autoSpaceDN w:val="0"/>
        <w:adjustRightInd w:val="0"/>
        <w:rPr>
          <w:lang w:val="uk-UA"/>
        </w:rPr>
      </w:pPr>
      <w:r w:rsidRPr="000C77F6">
        <w:rPr>
          <w:lang w:val="uk-UA"/>
        </w:rPr>
        <w:t>Існує позитивний взаємозв'язок між розмірами бюджетного дефіциту і державного боргу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Бюджетний дефіцит збільшує державний борг, а зростання боргу у свою чергу потребує додаткових витрат бюджету на його обслуговування і тим самим збільшує бюджетний дефіцит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На обсягу бюджетного дефіциту відображаються всі зміни у величині державного боргу, в тому числі зумовлені впливом інфляції</w:t>
      </w:r>
      <w:r w:rsidR="000C77F6" w:rsidRPr="000C77F6">
        <w:rPr>
          <w:lang w:val="uk-UA"/>
        </w:rPr>
        <w:t xml:space="preserve">. </w:t>
      </w:r>
      <w:r w:rsidRPr="000C77F6">
        <w:rPr>
          <w:lang w:val="uk-UA"/>
        </w:rPr>
        <w:t>Тому важливо, щоб державна заборгованість вимірювалася у реальних,</w:t>
      </w:r>
      <w:r w:rsidR="000C77F6" w:rsidRPr="000C77F6">
        <w:rPr>
          <w:lang w:val="uk-UA"/>
        </w:rPr>
        <w:t xml:space="preserve"> </w:t>
      </w:r>
      <w:r w:rsidRPr="000C77F6">
        <w:rPr>
          <w:lang w:val="uk-UA"/>
        </w:rPr>
        <w:t>а не лише в номінальних величинах</w:t>
      </w:r>
      <w:r w:rsidR="000C77F6" w:rsidRPr="000C77F6">
        <w:rPr>
          <w:lang w:val="uk-UA"/>
        </w:rPr>
        <w:t xml:space="preserve">. </w:t>
      </w:r>
      <w:bookmarkStart w:id="0" w:name="_GoBack"/>
      <w:bookmarkEnd w:id="0"/>
    </w:p>
    <w:sectPr w:rsidR="007F3C0C" w:rsidRPr="000C77F6" w:rsidSect="000C77F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6EC" w:rsidRDefault="00ED36EC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ED36EC" w:rsidRDefault="00ED36EC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0CB" w:rsidRDefault="00DB30CB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0CB" w:rsidRDefault="00DB30C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6EC" w:rsidRDefault="00ED36EC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ED36EC" w:rsidRDefault="00ED36EC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0CB" w:rsidRDefault="00077CF6" w:rsidP="000C77F6">
    <w:pPr>
      <w:pStyle w:val="a7"/>
      <w:framePr w:wrap="auto" w:vAnchor="text" w:hAnchor="margin" w:xAlign="right" w:y="1"/>
      <w:rPr>
        <w:rStyle w:val="af3"/>
      </w:rPr>
    </w:pPr>
    <w:r>
      <w:rPr>
        <w:rStyle w:val="af3"/>
      </w:rPr>
      <w:t>2</w:t>
    </w:r>
  </w:p>
  <w:p w:rsidR="00DB30CB" w:rsidRDefault="00DB30CB" w:rsidP="000C77F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0CB" w:rsidRDefault="00DB30C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353"/>
    <w:rsid w:val="0000066F"/>
    <w:rsid w:val="0000466B"/>
    <w:rsid w:val="00027D99"/>
    <w:rsid w:val="00035953"/>
    <w:rsid w:val="00040DB4"/>
    <w:rsid w:val="00051611"/>
    <w:rsid w:val="00064BDD"/>
    <w:rsid w:val="00071367"/>
    <w:rsid w:val="00074315"/>
    <w:rsid w:val="00077CF6"/>
    <w:rsid w:val="000B1C29"/>
    <w:rsid w:val="000C7488"/>
    <w:rsid w:val="000C77F6"/>
    <w:rsid w:val="000D2790"/>
    <w:rsid w:val="000F083E"/>
    <w:rsid w:val="000F77A2"/>
    <w:rsid w:val="00100F41"/>
    <w:rsid w:val="001156A5"/>
    <w:rsid w:val="00137124"/>
    <w:rsid w:val="00155CDE"/>
    <w:rsid w:val="00186986"/>
    <w:rsid w:val="00191BC1"/>
    <w:rsid w:val="001941AB"/>
    <w:rsid w:val="001B6ECB"/>
    <w:rsid w:val="001C3DEC"/>
    <w:rsid w:val="001D6F90"/>
    <w:rsid w:val="001D734F"/>
    <w:rsid w:val="001D744C"/>
    <w:rsid w:val="001F1BC6"/>
    <w:rsid w:val="001F4B5B"/>
    <w:rsid w:val="00224F21"/>
    <w:rsid w:val="0025194D"/>
    <w:rsid w:val="002559D1"/>
    <w:rsid w:val="00261660"/>
    <w:rsid w:val="0027646A"/>
    <w:rsid w:val="00277E80"/>
    <w:rsid w:val="002944F9"/>
    <w:rsid w:val="002C0B02"/>
    <w:rsid w:val="002D13CE"/>
    <w:rsid w:val="002D3F52"/>
    <w:rsid w:val="002D680D"/>
    <w:rsid w:val="002D793B"/>
    <w:rsid w:val="002E018D"/>
    <w:rsid w:val="002E3AD5"/>
    <w:rsid w:val="002E4257"/>
    <w:rsid w:val="0030746E"/>
    <w:rsid w:val="00307B98"/>
    <w:rsid w:val="00334F08"/>
    <w:rsid w:val="00351232"/>
    <w:rsid w:val="00353351"/>
    <w:rsid w:val="00396EDA"/>
    <w:rsid w:val="003E72DC"/>
    <w:rsid w:val="003F2527"/>
    <w:rsid w:val="003F3A86"/>
    <w:rsid w:val="004010B7"/>
    <w:rsid w:val="004040D7"/>
    <w:rsid w:val="00413205"/>
    <w:rsid w:val="00417936"/>
    <w:rsid w:val="00431F61"/>
    <w:rsid w:val="00434ECE"/>
    <w:rsid w:val="00454BBD"/>
    <w:rsid w:val="00464A79"/>
    <w:rsid w:val="00465DA3"/>
    <w:rsid w:val="0046634E"/>
    <w:rsid w:val="004749D7"/>
    <w:rsid w:val="004A2731"/>
    <w:rsid w:val="004A4F44"/>
    <w:rsid w:val="004A79A7"/>
    <w:rsid w:val="004C5228"/>
    <w:rsid w:val="004D0061"/>
    <w:rsid w:val="004D076D"/>
    <w:rsid w:val="004E4498"/>
    <w:rsid w:val="004E7119"/>
    <w:rsid w:val="00500AFE"/>
    <w:rsid w:val="005057FE"/>
    <w:rsid w:val="005130F5"/>
    <w:rsid w:val="00513895"/>
    <w:rsid w:val="00522B7E"/>
    <w:rsid w:val="00522BBA"/>
    <w:rsid w:val="00523079"/>
    <w:rsid w:val="0054077B"/>
    <w:rsid w:val="00560DB1"/>
    <w:rsid w:val="00572083"/>
    <w:rsid w:val="00575E73"/>
    <w:rsid w:val="00576536"/>
    <w:rsid w:val="005864AF"/>
    <w:rsid w:val="00596B3C"/>
    <w:rsid w:val="00597F2B"/>
    <w:rsid w:val="005B1781"/>
    <w:rsid w:val="005E070C"/>
    <w:rsid w:val="005E7D7E"/>
    <w:rsid w:val="005F0690"/>
    <w:rsid w:val="005F26F3"/>
    <w:rsid w:val="00615963"/>
    <w:rsid w:val="006167F1"/>
    <w:rsid w:val="00626308"/>
    <w:rsid w:val="006371B2"/>
    <w:rsid w:val="00640CA9"/>
    <w:rsid w:val="00645D11"/>
    <w:rsid w:val="0066093C"/>
    <w:rsid w:val="00667347"/>
    <w:rsid w:val="00681CDF"/>
    <w:rsid w:val="0068400C"/>
    <w:rsid w:val="00686057"/>
    <w:rsid w:val="00687677"/>
    <w:rsid w:val="00690461"/>
    <w:rsid w:val="00691A27"/>
    <w:rsid w:val="0069213D"/>
    <w:rsid w:val="006921DC"/>
    <w:rsid w:val="006A22E8"/>
    <w:rsid w:val="006A7B14"/>
    <w:rsid w:val="006D2F56"/>
    <w:rsid w:val="00700F81"/>
    <w:rsid w:val="0070502D"/>
    <w:rsid w:val="007147EB"/>
    <w:rsid w:val="00733720"/>
    <w:rsid w:val="00734E97"/>
    <w:rsid w:val="00761595"/>
    <w:rsid w:val="007625A0"/>
    <w:rsid w:val="007A3A93"/>
    <w:rsid w:val="007B733B"/>
    <w:rsid w:val="007D16AE"/>
    <w:rsid w:val="007D35B0"/>
    <w:rsid w:val="007F3C0C"/>
    <w:rsid w:val="00805914"/>
    <w:rsid w:val="00814520"/>
    <w:rsid w:val="0081718C"/>
    <w:rsid w:val="008318C0"/>
    <w:rsid w:val="00832487"/>
    <w:rsid w:val="00837094"/>
    <w:rsid w:val="00840791"/>
    <w:rsid w:val="008411F2"/>
    <w:rsid w:val="00853A80"/>
    <w:rsid w:val="008544AC"/>
    <w:rsid w:val="00861556"/>
    <w:rsid w:val="00881CCD"/>
    <w:rsid w:val="00894353"/>
    <w:rsid w:val="008A4396"/>
    <w:rsid w:val="008B669C"/>
    <w:rsid w:val="008E0328"/>
    <w:rsid w:val="008E5891"/>
    <w:rsid w:val="008E7F18"/>
    <w:rsid w:val="008F4EED"/>
    <w:rsid w:val="00944992"/>
    <w:rsid w:val="00966486"/>
    <w:rsid w:val="009B316D"/>
    <w:rsid w:val="009B58BF"/>
    <w:rsid w:val="009C07C1"/>
    <w:rsid w:val="009C741A"/>
    <w:rsid w:val="009D4B44"/>
    <w:rsid w:val="009D7CD5"/>
    <w:rsid w:val="00A12751"/>
    <w:rsid w:val="00A16032"/>
    <w:rsid w:val="00A23EB8"/>
    <w:rsid w:val="00A252C6"/>
    <w:rsid w:val="00A35C68"/>
    <w:rsid w:val="00A4220A"/>
    <w:rsid w:val="00A4236A"/>
    <w:rsid w:val="00A66710"/>
    <w:rsid w:val="00A93704"/>
    <w:rsid w:val="00A973C0"/>
    <w:rsid w:val="00A97A98"/>
    <w:rsid w:val="00AA09EC"/>
    <w:rsid w:val="00AA4891"/>
    <w:rsid w:val="00AB4937"/>
    <w:rsid w:val="00AD08F0"/>
    <w:rsid w:val="00AD723F"/>
    <w:rsid w:val="00AE7A0D"/>
    <w:rsid w:val="00AF5A90"/>
    <w:rsid w:val="00B32110"/>
    <w:rsid w:val="00B3724F"/>
    <w:rsid w:val="00B41A5D"/>
    <w:rsid w:val="00B425ED"/>
    <w:rsid w:val="00B645EA"/>
    <w:rsid w:val="00B65A92"/>
    <w:rsid w:val="00B72434"/>
    <w:rsid w:val="00B84C98"/>
    <w:rsid w:val="00B85093"/>
    <w:rsid w:val="00B87D3D"/>
    <w:rsid w:val="00B93599"/>
    <w:rsid w:val="00B94C99"/>
    <w:rsid w:val="00B97E73"/>
    <w:rsid w:val="00BA418D"/>
    <w:rsid w:val="00BB5D2A"/>
    <w:rsid w:val="00BD5955"/>
    <w:rsid w:val="00BE35BD"/>
    <w:rsid w:val="00BE4CF4"/>
    <w:rsid w:val="00BE689C"/>
    <w:rsid w:val="00BF25F8"/>
    <w:rsid w:val="00BF4FC3"/>
    <w:rsid w:val="00C00EA0"/>
    <w:rsid w:val="00C1046F"/>
    <w:rsid w:val="00C112F0"/>
    <w:rsid w:val="00C23A6E"/>
    <w:rsid w:val="00C31EDD"/>
    <w:rsid w:val="00C67474"/>
    <w:rsid w:val="00C7073A"/>
    <w:rsid w:val="00C778DF"/>
    <w:rsid w:val="00C970C5"/>
    <w:rsid w:val="00CA4420"/>
    <w:rsid w:val="00CA6F88"/>
    <w:rsid w:val="00CB2770"/>
    <w:rsid w:val="00CB78A4"/>
    <w:rsid w:val="00CD33C7"/>
    <w:rsid w:val="00CE2409"/>
    <w:rsid w:val="00CF3172"/>
    <w:rsid w:val="00CF3D29"/>
    <w:rsid w:val="00CF5DBA"/>
    <w:rsid w:val="00CF75AF"/>
    <w:rsid w:val="00D23B92"/>
    <w:rsid w:val="00D6182F"/>
    <w:rsid w:val="00D67240"/>
    <w:rsid w:val="00D845CE"/>
    <w:rsid w:val="00DB30CB"/>
    <w:rsid w:val="00DB54A6"/>
    <w:rsid w:val="00DB5C42"/>
    <w:rsid w:val="00DB7F79"/>
    <w:rsid w:val="00DC18E5"/>
    <w:rsid w:val="00DF5726"/>
    <w:rsid w:val="00E15E2A"/>
    <w:rsid w:val="00E208DC"/>
    <w:rsid w:val="00E312AE"/>
    <w:rsid w:val="00E366B2"/>
    <w:rsid w:val="00E56F2C"/>
    <w:rsid w:val="00E60294"/>
    <w:rsid w:val="00E65C14"/>
    <w:rsid w:val="00E712A3"/>
    <w:rsid w:val="00E9381E"/>
    <w:rsid w:val="00E94F15"/>
    <w:rsid w:val="00EA166A"/>
    <w:rsid w:val="00EC15F3"/>
    <w:rsid w:val="00EC5D7E"/>
    <w:rsid w:val="00ED0C4C"/>
    <w:rsid w:val="00ED36EC"/>
    <w:rsid w:val="00ED6718"/>
    <w:rsid w:val="00EF55A0"/>
    <w:rsid w:val="00F07CA9"/>
    <w:rsid w:val="00F24ED2"/>
    <w:rsid w:val="00F27461"/>
    <w:rsid w:val="00F301EE"/>
    <w:rsid w:val="00F36CAE"/>
    <w:rsid w:val="00F60F43"/>
    <w:rsid w:val="00F743D6"/>
    <w:rsid w:val="00F82A9B"/>
    <w:rsid w:val="00F872FA"/>
    <w:rsid w:val="00FA1375"/>
    <w:rsid w:val="00FA20AD"/>
    <w:rsid w:val="00FA5BC0"/>
    <w:rsid w:val="00FB67B7"/>
    <w:rsid w:val="00FE75AB"/>
    <w:rsid w:val="00FF0716"/>
    <w:rsid w:val="00FF120A"/>
    <w:rsid w:val="00F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A849E2C-3B1D-45CB-8B0C-5B28B3AD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0C77F6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0C77F6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uiPriority w:val="99"/>
    <w:qFormat/>
    <w:rsid w:val="000C77F6"/>
    <w:pPr>
      <w:keepNext/>
      <w:widowControl w:val="0"/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0C77F6"/>
    <w:pPr>
      <w:keepNext/>
      <w:widowControl w:val="0"/>
      <w:autoSpaceDE w:val="0"/>
      <w:autoSpaceDN w:val="0"/>
      <w:adjustRightInd w:val="0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0C77F6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0C77F6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0C77F6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0C77F6"/>
    <w:pPr>
      <w:keepNext/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0C77F6"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0C77F6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lang w:val="uk-UA" w:eastAsia="uk-UA"/>
    </w:rPr>
  </w:style>
  <w:style w:type="paragraph" w:styleId="a7">
    <w:name w:val="header"/>
    <w:basedOn w:val="a2"/>
    <w:next w:val="a8"/>
    <w:link w:val="a9"/>
    <w:uiPriority w:val="99"/>
    <w:rsid w:val="000C77F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a">
    <w:name w:val="footnote reference"/>
    <w:uiPriority w:val="99"/>
    <w:semiHidden/>
    <w:rsid w:val="000C77F6"/>
    <w:rPr>
      <w:sz w:val="28"/>
      <w:szCs w:val="28"/>
      <w:vertAlign w:val="superscript"/>
    </w:rPr>
  </w:style>
  <w:style w:type="paragraph" w:styleId="a8">
    <w:name w:val="Body Text"/>
    <w:basedOn w:val="a2"/>
    <w:link w:val="ab"/>
    <w:uiPriority w:val="99"/>
    <w:rsid w:val="000C77F6"/>
    <w:pPr>
      <w:widowControl w:val="0"/>
      <w:autoSpaceDE w:val="0"/>
      <w:autoSpaceDN w:val="0"/>
      <w:adjustRightInd w:val="0"/>
    </w:pPr>
  </w:style>
  <w:style w:type="character" w:customStyle="1" w:styleId="ab">
    <w:name w:val="Основний текст Знак"/>
    <w:link w:val="a8"/>
    <w:uiPriority w:val="99"/>
    <w:semiHidden/>
    <w:rPr>
      <w:rFonts w:ascii="Times New Roman" w:hAnsi="Times New Roman"/>
      <w:sz w:val="28"/>
      <w:szCs w:val="28"/>
    </w:rPr>
  </w:style>
  <w:style w:type="paragraph" w:customStyle="1" w:styleId="ac">
    <w:name w:val="выделение"/>
    <w:uiPriority w:val="99"/>
    <w:rsid w:val="000C77F6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d">
    <w:name w:val="Hyperlink"/>
    <w:uiPriority w:val="99"/>
    <w:rsid w:val="000C77F6"/>
    <w:rPr>
      <w:color w:val="0000FF"/>
      <w:u w:val="single"/>
    </w:rPr>
  </w:style>
  <w:style w:type="character" w:customStyle="1" w:styleId="11">
    <w:name w:val="Текст Знак1"/>
    <w:link w:val="ae"/>
    <w:uiPriority w:val="99"/>
    <w:locked/>
    <w:rsid w:val="000C77F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e">
    <w:name w:val="Plain Text"/>
    <w:basedOn w:val="a2"/>
    <w:link w:val="11"/>
    <w:uiPriority w:val="99"/>
    <w:rsid w:val="000C77F6"/>
    <w:pPr>
      <w:widowControl w:val="0"/>
      <w:autoSpaceDE w:val="0"/>
      <w:autoSpaceDN w:val="0"/>
      <w:adjustRightInd w:val="0"/>
    </w:pPr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0">
    <w:name w:val="Нижній колонтитул Знак"/>
    <w:link w:val="af1"/>
    <w:uiPriority w:val="99"/>
    <w:semiHidden/>
    <w:locked/>
    <w:rsid w:val="000C77F6"/>
    <w:rPr>
      <w:sz w:val="28"/>
      <w:szCs w:val="28"/>
      <w:lang w:val="ru-RU" w:eastAsia="ru-RU"/>
    </w:rPr>
  </w:style>
  <w:style w:type="paragraph" w:styleId="af1">
    <w:name w:val="footer"/>
    <w:basedOn w:val="a2"/>
    <w:link w:val="af0"/>
    <w:uiPriority w:val="99"/>
    <w:semiHidden/>
    <w:rsid w:val="000C77F6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</w:style>
  <w:style w:type="character" w:customStyle="1" w:styleId="af2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9">
    <w:name w:val="Верхній колонтитул Знак"/>
    <w:link w:val="a7"/>
    <w:uiPriority w:val="99"/>
    <w:semiHidden/>
    <w:locked/>
    <w:rsid w:val="000C77F6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0C77F6"/>
    <w:pPr>
      <w:widowControl w:val="0"/>
      <w:numPr>
        <w:numId w:val="1"/>
      </w:numPr>
      <w:tabs>
        <w:tab w:val="num" w:pos="1080"/>
      </w:tabs>
      <w:autoSpaceDE w:val="0"/>
      <w:autoSpaceDN w:val="0"/>
      <w:adjustRightInd w:val="0"/>
      <w:jc w:val="left"/>
    </w:pPr>
  </w:style>
  <w:style w:type="character" w:styleId="af3">
    <w:name w:val="page number"/>
    <w:uiPriority w:val="99"/>
    <w:rsid w:val="000C77F6"/>
  </w:style>
  <w:style w:type="character" w:customStyle="1" w:styleId="af4">
    <w:name w:val="номер страницы"/>
    <w:uiPriority w:val="99"/>
    <w:rsid w:val="000C77F6"/>
    <w:rPr>
      <w:sz w:val="28"/>
      <w:szCs w:val="28"/>
    </w:rPr>
  </w:style>
  <w:style w:type="paragraph" w:styleId="12">
    <w:name w:val="toc 1"/>
    <w:basedOn w:val="a2"/>
    <w:next w:val="a2"/>
    <w:autoRedefine/>
    <w:uiPriority w:val="99"/>
    <w:semiHidden/>
    <w:rsid w:val="000C77F6"/>
    <w:pPr>
      <w:widowControl w:val="0"/>
      <w:autoSpaceDE w:val="0"/>
      <w:autoSpaceDN w:val="0"/>
      <w:adjustRightInd w:val="0"/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0C77F6"/>
    <w:pPr>
      <w:widowControl w:val="0"/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0C77F6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0C77F6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0C77F6"/>
    <w:pPr>
      <w:widowControl w:val="0"/>
      <w:autoSpaceDE w:val="0"/>
      <w:autoSpaceDN w:val="0"/>
      <w:adjustRightInd w:val="0"/>
      <w:ind w:left="958"/>
    </w:pPr>
  </w:style>
  <w:style w:type="paragraph" w:customStyle="1" w:styleId="a">
    <w:name w:val="список ненумерованный"/>
    <w:autoRedefine/>
    <w:uiPriority w:val="99"/>
    <w:rsid w:val="000C77F6"/>
    <w:pPr>
      <w:numPr>
        <w:numId w:val="2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0C77F6"/>
    <w:pPr>
      <w:numPr>
        <w:numId w:val="3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0C77F6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0C77F6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0C77F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C77F6"/>
    <w:rPr>
      <w:i/>
      <w:iCs/>
    </w:rPr>
  </w:style>
  <w:style w:type="paragraph" w:customStyle="1" w:styleId="af5">
    <w:name w:val="схема"/>
    <w:basedOn w:val="a2"/>
    <w:uiPriority w:val="99"/>
    <w:rsid w:val="000C77F6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6">
    <w:name w:val="ТАБЛИЦА"/>
    <w:next w:val="a2"/>
    <w:autoRedefine/>
    <w:uiPriority w:val="99"/>
    <w:rsid w:val="000C77F6"/>
    <w:pPr>
      <w:spacing w:line="360" w:lineRule="auto"/>
      <w:jc w:val="center"/>
    </w:pPr>
    <w:rPr>
      <w:rFonts w:ascii="Times New Roman" w:hAnsi="Times New Roman"/>
      <w:color w:val="000000"/>
    </w:rPr>
  </w:style>
  <w:style w:type="paragraph" w:styleId="af7">
    <w:name w:val="footnote text"/>
    <w:basedOn w:val="a2"/>
    <w:link w:val="af8"/>
    <w:autoRedefine/>
    <w:uiPriority w:val="99"/>
    <w:semiHidden/>
    <w:rsid w:val="000C77F6"/>
    <w:pPr>
      <w:autoSpaceDE w:val="0"/>
      <w:autoSpaceDN w:val="0"/>
    </w:pPr>
    <w:rPr>
      <w:sz w:val="20"/>
      <w:szCs w:val="20"/>
    </w:rPr>
  </w:style>
  <w:style w:type="character" w:customStyle="1" w:styleId="af8">
    <w:name w:val="Текст виноски Знак"/>
    <w:link w:val="af7"/>
    <w:uiPriority w:val="99"/>
    <w:semiHidden/>
    <w:rPr>
      <w:rFonts w:ascii="Times New Roman" w:hAnsi="Times New Roman"/>
      <w:sz w:val="20"/>
      <w:szCs w:val="20"/>
    </w:rPr>
  </w:style>
  <w:style w:type="paragraph" w:customStyle="1" w:styleId="af9">
    <w:name w:val="титут"/>
    <w:uiPriority w:val="99"/>
    <w:rsid w:val="000C77F6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8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Державний кредит</vt:lpstr>
    </vt:vector>
  </TitlesOfParts>
  <Company>Reanimator Extreme Edition</Company>
  <LinksUpToDate>false</LinksUpToDate>
  <CharactersWithSpaces>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кредит</dc:title>
  <dc:subject/>
  <dc:creator>www.PHILka.RU</dc:creator>
  <cp:keywords/>
  <dc:description/>
  <cp:lastModifiedBy>Irina</cp:lastModifiedBy>
  <cp:revision>2</cp:revision>
  <dcterms:created xsi:type="dcterms:W3CDTF">2014-08-10T08:48:00Z</dcterms:created>
  <dcterms:modified xsi:type="dcterms:W3CDTF">2014-08-10T08:48:00Z</dcterms:modified>
</cp:coreProperties>
</file>