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B5" w:rsidRPr="00FE1D8C" w:rsidRDefault="00880CB5" w:rsidP="00FE1D8C">
      <w:pPr>
        <w:spacing w:before="120"/>
        <w:jc w:val="center"/>
        <w:rPr>
          <w:b/>
          <w:bCs/>
          <w:sz w:val="32"/>
          <w:szCs w:val="32"/>
        </w:rPr>
      </w:pPr>
      <w:r w:rsidRPr="00FE1D8C">
        <w:rPr>
          <w:b/>
          <w:bCs/>
          <w:sz w:val="32"/>
          <w:szCs w:val="32"/>
        </w:rPr>
        <w:t>Делопроизводство по охране труда в организации</w:t>
      </w:r>
    </w:p>
    <w:p w:rsidR="00FE1D8C" w:rsidRDefault="00880CB5" w:rsidP="00FE1D8C">
      <w:pPr>
        <w:spacing w:before="120"/>
        <w:ind w:firstLine="567"/>
        <w:jc w:val="both"/>
      </w:pPr>
      <w:r w:rsidRPr="00FE1D8C">
        <w:t>Федеральный закон от 17.07.99 № 181-ФЗ « Об основах охраны труда в Российской Федерации » обязанности по обеспечению безопасных условий труда</w:t>
      </w:r>
      <w:r w:rsidR="00FE1D8C">
        <w:t xml:space="preserve"> </w:t>
      </w:r>
      <w:r w:rsidRPr="00FE1D8C">
        <w:t>в организации возлагает на работодателя.</w:t>
      </w:r>
      <w:r w:rsidR="00FE1D8C">
        <w:t xml:space="preserve"> </w:t>
      </w:r>
    </w:p>
    <w:p w:rsidR="00FE1D8C" w:rsidRDefault="00880CB5" w:rsidP="00FE1D8C">
      <w:pPr>
        <w:spacing w:before="120"/>
        <w:ind w:firstLine="567"/>
        <w:jc w:val="both"/>
      </w:pPr>
      <w:r w:rsidRPr="00FE1D8C">
        <w:t>В соответствии со ст. 143 УК РФ нарушении правил техники безопасности</w:t>
      </w:r>
      <w:r w:rsidR="00FE1D8C">
        <w:t xml:space="preserve"> </w:t>
      </w:r>
      <w:r w:rsidRPr="00FE1D8C">
        <w:t>или иных правил охраны труда, совершенное лицом, на котором лежали обязанности по соблюдению этих правил, если это повлекло причинение по неосторожности тяжелого или средней тяжести вреда здоровью человека, наказывается штрафом в размере от 200 до 500 минимальных размеров оплаты труда или в размере заработной платы или иного дохода осужденного за период от двух до пяти месяцев, либо исправительными работами на срок до двух лет, либо лишением свободы на срок до двух лет.</w:t>
      </w:r>
      <w:r w:rsidR="00FE1D8C">
        <w:t xml:space="preserve">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То же деяние, повлекшее по неосторожности смерть человека,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токового.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К сожалению, работодатели узнают или вспоминают об этом лишь тогда, когда с их работником происходит несчастный случай на производстве или начинается проверка контролирующими органами. Тогда «поднимается на ноги» служба охраны труда, а при отсутствии таковой - юридическая и кадровая служба.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Наличие и своевременное предъявление необходимых документов по охране труда во многом предопределяет ход расследования несчастного случая на производстве или вывода проводимой проверки.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 xml:space="preserve">Пример типичного предписания (извлечение), выданного государственным инспектором труда в одной из организаций, приведена ниже.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1.В соответствии со ст. 20, 24, 25 Федерального закона от 17.07.99 № 181-ФЗ «Об основах охраны труда в Российской Федерации», Положением о федеральной инспекции труда, утв. Постановлением Правительства РФ от 28.01.00 № 78, обязываю принять следующие меры по устранению нарушений законодательства о труде и охране труда: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- разработать и утвердить программу проведения вводного инструктажа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для всех вновь принимаемых на работу;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завести журнал регистрации вводного инструктажа;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провести обучение и проверку знаний по охране труда руководителей и специалистов;</w:t>
      </w:r>
    </w:p>
    <w:p w:rsidR="00FE1D8C" w:rsidRDefault="00880CB5" w:rsidP="00FE1D8C">
      <w:pPr>
        <w:spacing w:before="120"/>
        <w:ind w:firstLine="567"/>
        <w:jc w:val="both"/>
      </w:pPr>
      <w:r w:rsidRPr="00FE1D8C">
        <w:t>организовать проведение первичного инструктажа на рабочем месте, а также</w:t>
      </w:r>
      <w:r w:rsidR="00FE1D8C">
        <w:t xml:space="preserve"> </w:t>
      </w:r>
      <w:r w:rsidRPr="00FE1D8C">
        <w:t>повторного, внепланового, целевого);</w:t>
      </w:r>
      <w:r w:rsidR="00FE1D8C">
        <w:t xml:space="preserve">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пересмотреть существующие и разработать недостающие инструкции по охране труда на все профессии и виды работ, имеющиеся на предприятии;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создать службу охраны труда или ввести должность специалиста по охране труда, имеющего соответственную подготовку или опыт работы в этой области;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завести журнал регистрации несчастных случаев на производстве;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привести рабочие места пользователей видеодисплейными терминалами ПЭВМ в соответствии с требованием СанПиН 2.2.2.542-96, в т.ч. запретить расположение рабочих мест с ВДТ и ПЭВМ для пользователей в подвальном помещении;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приказами по предприятию назначить лиц: ответственного за организацию погрузочно-разгрузочных работ, ответственного за электрохозяйство;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оборудовать раздевалку для сотрудников;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составить перечень рабочих мест и профессий, требующих присвоение первой группы по электробезопасности, и провести инструктаж по электробезопасности с присвоением первой группы по электробезопасности.</w:t>
      </w:r>
    </w:p>
    <w:p w:rsidR="00FE1D8C" w:rsidRDefault="00880CB5" w:rsidP="00FE1D8C">
      <w:pPr>
        <w:spacing w:before="120"/>
        <w:ind w:firstLine="567"/>
        <w:jc w:val="both"/>
      </w:pPr>
      <w:r w:rsidRPr="00FE1D8C">
        <w:t>О выполнении предписания прошу сообщить письменно в срок…</w:t>
      </w:r>
      <w:r w:rsidR="00FE1D8C">
        <w:t xml:space="preserve">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Имея на руках подобное предписание, грамотный работодатель подсчитывает, чьи «услуги» стоят дороже - инженера по охране труда или следственных органов, прокуратуры и адвоката, если произойдет несчастный случай.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2.Если в организации никто не занимается охраной труда, то с чего следует начать?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Естественно, если речь идет о службе персонала (служба кадров), то начинать надо с процесса принятия работника в организацию. Важно выяснить, какую общую и специальную подготовку имеет этот работник. В свою очередь, работник должен быть ознакомлен с поручаемой ему работой и условиями труда. Если для выполнения работы необходимо знания специальных требований безопасности труда, то поступающий должен предъявить соответствующие документы, например на право управления машинами или на производство работ, относительно которых предъявляются</w:t>
      </w:r>
      <w:r w:rsidR="00FE1D8C">
        <w:t xml:space="preserve"> </w:t>
      </w:r>
      <w:r w:rsidRPr="00FE1D8C">
        <w:t xml:space="preserve">дополнительные (повышенные) требования безопасности труда.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 организации должен быть составлен перечень работ и профессий, к которым предъявляются дополнительные (повышенные) требования безопасности труда. Перечень составляется на основе отраслевой нормативно-технической документации и с учетом требований нормативных правовых актов, содержащих государственные требования охраны труда. Данный перечень должен быть согласован с профсоюзным комитетом или иным представительным органом коллектива. Перечень должен находится в отделе персонала (отделе кадров) или у специалиста, ответственного за оформление работников на работу, а также у специалиста по охране труда.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Кроме того, в организации должен быть определен перечень лиц, которые по роду своей деятельности должны проходить обучение по охране труда.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Приказами по организации должны быть назначены лица, ответственные за организацию погрузочно-разгрузочных работ, электрохозяйство, а также, при необходимости, другие ответственные лица.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 ст. 10 Федерального закона от 17.07.99 № 181-ФЗ «Об основах охраны труда в Российской Федерации» указано, что: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на тяжелых работах и работах с вредными или опасными условиями труда запрещается применение труда женщин и лиц моложе восемнадцати лет, а также лиц, которым указанные работы противопоказаны по состоянию здоровья;</w:t>
      </w:r>
    </w:p>
    <w:p w:rsidR="00FE1D8C" w:rsidRDefault="00880CB5" w:rsidP="00FE1D8C">
      <w:pPr>
        <w:spacing w:before="120"/>
        <w:ind w:firstLine="567"/>
        <w:jc w:val="both"/>
      </w:pPr>
      <w:r w:rsidRPr="00FE1D8C">
        <w:t>перечни тяжелых работ и работ с вредными или опасными условиями труда, при выполнении которых запрещается применение труда женщин и лиц моложе восемнадцати лет, утверждаются Правительством РФ с учетом консультаций с общероссийским объединениями работодателей, общероссийскими объединениями профессиональных союзов.</w:t>
      </w:r>
      <w:r w:rsidR="00FE1D8C">
        <w:t xml:space="preserve">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Работодатель может принимать решения о применении труда женщин и лиц моложе восемнадцати лет на работах (профессиях, должностях), включенных в перечень, при условии созданий безопасных условий труда, подтвержденных результатами аттестации рабочих мест, при положительном заключении государственной экспертизы условий труда и центра госсанэпиднадзора субъекта РФ.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Следует особо подчеркнуть, что постановление Правительства РФ от 25.02.00 №162 утвержден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лет. На основании этих документов в каждой организации, применительно к ее особенностям, должны быть составлены аналогичные перечни, которые хранятся в отделе персонала (отдел кадров).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Кроме того, в отделе персонала (отдел кадров) необходимо иметь перечень профессий и работ, при поступлении на которые работник должен пройти медицинское освидетельствование. Ответственность за прохождение предварительных при поступлении на работу, периодических медицинских осмотров и за своевременное проведение профилактических прививок работников несет работодатель. Осмотры и проведение прививок осуществляются за счет его средств Порядок проведения медицинских осмотров регламентируются приказам Минздрава России от 10.12096 №045 «О проведении предварительных и периодических медицинских осмотров работников».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Все вновь поступающие, до зачисления в штат, должны пройти вводный инструктаж по охране труда (основание-ГОСТ 12.00.04-90 ССБТ «Организация обучения безопасности труда. Общие положения»). Вводный инструктаж осуществляет инженер по охране труда или лицо, на которое эти обязанности возложены приказом по организации.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Кроме того, с работником проводится первичный инструктаж на рабочем месте, а в последующем - повторные, внеплановые и другие виды инструктажа. Перечень лиц, с которыми проводиться эти виды инструктажа, утверждается работодателем с учетом имеющихся нормативных правовых актов.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 этой связи в организации должны быть: основные тезисы вводного инструктажа, журналы регистрации вводного и других видов инструктажа. Журналы хранятся у инженера по охране труда или у лица, которому поручено проведение вводного инструктажа.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Форма журнала регистрации вводного инструктажа установлена ГОСТ 12.00.14-90. Этим же документом утверждена форма журнала регистрации инструктажа на рабочем месте. Личная карточка прохождения обучения и инструктажа по форме, приведена в ГОСТ 12.00.04-90, хранится в отделе персонала (кадров).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Для проведения инструктажа работников и ознакомления их с безопасными приемами труда в организации должен находится пакет инструкций по охране труда, а также необходимые нормативные правовые акты по охране труда.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Методическими рекомендациями по разработке государственных нормативных требований охраны труда, утв. Постановлением Минтруда России от 06.04.01 №30, предусмотрено, что инструкции по охране труда для работника разрабатывается исходя из его профессии или вида выполняемой работы. Разработка инструкции по охране труда для работника осуществляется на основании приказа (распоряжения) работодателя.</w:t>
      </w:r>
    </w:p>
    <w:p w:rsidR="00FE1D8C" w:rsidRDefault="00880CB5" w:rsidP="00FE1D8C">
      <w:pPr>
        <w:spacing w:before="120"/>
        <w:ind w:firstLine="567"/>
        <w:jc w:val="both"/>
      </w:pPr>
      <w:r w:rsidRPr="00FE1D8C">
        <w:t>Инструкции по охране труда для работника разрабатывается на основе межотраслевой или отраслевой типовой инструкции по охране труда (а при отсутствии – межотраслевых или отраслевых правил по охране труда), требований безопасности, изложенных в эксплуатационной и ремонтной документации организаций – изготовителей оборудования, а также в технологической документации организации, с учетом конкретных условий производства. Эти требования должны быть адаптированы применительно к профессии работника или виду выполняемых работ.</w:t>
      </w:r>
      <w:r w:rsidR="00FE1D8C">
        <w:t xml:space="preserve"> 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 настоящее время Минтрудом России утверждено более 20 межотраслевых правил по охране труда, которыми можно руководствоваться при разработке инструкций по охране труда в различных отраслях экономики. Среди них имеются правила, относящихся к производственной сфере, - в литейном производстве, при выполнении кузнечно - прессовых работ, при термической обработки металлов, при холодной обработки металлов и др. Для непроизводственной сферы разработаны правила по охране труда в торговле, в общественном питании, при химчистке и стирке, при эксплуатации фреоновых холодильных установок и др. Широкое распространение в организациях имеют погрузочно- разгрузочные работы, работы на высоте, окрасочные работы, электро- и газосварочные работы, работы с использованием напольного транспорта (тележек, электоропогрузчиков и др.). Для них также разработаны соответствующие правила по охране труда.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Инструкции по охране труда для работников разработаны соответствии с наименованиями профессий и</w:t>
      </w:r>
      <w:r w:rsidR="00FE1D8C">
        <w:t xml:space="preserve"> </w:t>
      </w:r>
      <w:r w:rsidRPr="00FE1D8C">
        <w:t>перечнем видов работ, утверждаемыми работодателем. Перечень инструкций, подлежащих разработке, утверждается работодателем и рассылается в структурные подразделения организации. Инструкции по охране труда для работников разрабатываются руководителями соответствующих структурных подразделений организации (пример оформления инструкции приведен в приложения к Методическим рекомендациями) и утверждаются приказом работодателя по согласованию с соответствующим профсоюзным либо иным уполномоченным работниками представительным органом.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Пересмотр инструкций должен производится не реже одного раза в пять лет. Инструкции по охране труда для работников досрочно пересматривается: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при пересмотре межотраслевых и отраслевых правил и типовых инструкций по охране труда;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изменений условий труда работников;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внедрение новых техники и технологии;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 требованию представителей органов по труду субъектов РФ или органов федеральных надзоров России.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Если в течение срока действия инструкции по охране труда для работника условия его труда не изменились, то приказом (распоряжением) работодателя ее действие продлевается на следующий срок, о чем делается запись на первой странице инструкции (ставится текущая дата, штамп «Пересмотрено» и подпись лица, ответственного за пересмотр инструкции, приводятся наименование его должности и расшифровка подписи, указывается срок продления инструкции).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Местонахождения инструкций по охране труда для работников определяет руководитель структурного подразделения (службы) с учетом обеспечения доступности и удобства ознакомления с ним.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Инструкции по охране труда для работников могут быть выданы им на руки (под расписку в личной карточки инструктажа) для изучения при первичном инструктаже либо вывешены на рабочих местах или участках, либо должны хранится в ином месте, доступном для работников.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Учет инструкций по охране труда для работников осуществляется службой охраны труда (специалистом по охране труда) организации.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Рекомендуемые формы журналов учета инструкций по охране труда для работников и учеты выдачи инструкций по охране труда для работников подразделения (служб) организации приведены в приложениях к Методических организациям.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Каждый работник имеет право на обеспечение средствами индивидуальной защиты в соответствии с требованиями охраны труда за счет средств работодателя. Обеспечение работника специальной одеждой, специально обувью и другими средствами индивидуальной защиты производится в соответствии с Типовыми отраслевыми бесплатной</w:t>
      </w:r>
      <w:r w:rsidR="00FE1D8C">
        <w:t xml:space="preserve"> </w:t>
      </w:r>
      <w:r w:rsidRPr="00FE1D8C">
        <w:t>выдачи специальной одежды, специальной обуви и других средств индивидуальной защиты, утверждаемых Минтрудом России.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Порядок обеспечения работников этими средствами регулируется Правилами обеспечения работников специальной одеждой, специальной обувью и другими средствами индивидуальной защиты, утв. Постановлением Минтруда России от 18.12.98 №51. В соответствии с указанным постановлением на работников заводится личная карточка учета выдачи средств индивидуальной защиты.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 соответствии с постановлением Минтруда России от 07.07.99 № 19 « Об утверждении форм документов, необходимых для расследования и учета несчастных случаев на производстве», в организации заводится журнал регистрации несчастных случаев на производстве.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В данной статье приведены лишь основные документы по охране труда, которые необходимы в каждой организации. Нормативные правовые акты предусматриваются наличие и других форм документов в зависимости от профиля деятельности организаций, численности и профессий работающих, применяемых техники и технологий. Кроме того, в связи с ведением обязательного социального страхования от несчастных случаев на производстве и профессиональных заболеваний введены новые формы документации, необходимые для проведения этой работы.</w:t>
      </w:r>
    </w:p>
    <w:p w:rsidR="00FE1D8C" w:rsidRPr="00FE1D8C" w:rsidRDefault="00FE1D8C" w:rsidP="00FE1D8C">
      <w:pPr>
        <w:spacing w:before="120"/>
        <w:jc w:val="center"/>
        <w:rPr>
          <w:b/>
          <w:bCs/>
          <w:sz w:val="28"/>
          <w:szCs w:val="28"/>
        </w:rPr>
      </w:pPr>
      <w:r w:rsidRPr="00FE1D8C">
        <w:rPr>
          <w:b/>
          <w:bCs/>
          <w:sz w:val="28"/>
          <w:szCs w:val="28"/>
        </w:rPr>
        <w:t>Список литературы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Нормативная база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Уголовный кодекс Российской Федерации, ст.143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Федеральных закон от 17.07.9 № 181-ФЗ «Об основах охраны труда в Российской Федерации»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Постановление Правительства Российской Федерации от 25.02.00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Постановление Правительства Российской Федерации от 25.02.00 № 163 « Об утверждении Перечня тяжелых работ и работ с вредными или опасными условиями труда, при выполнении которых запрещается применение лиц моложе восемнадцати лет» (см изм и доп.)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Приказ Минздрава России от 10.12.96 № 405 «О проведении предварительных и периодических медицинских осмотров работников»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Постановление Минтруда России от 18.12.98 № 51 «Об утверждении Правил обеспечения работников специальной одеждой, специальной обувью и другими средствами индивидуальной защиты» (см изм и доп.)</w:t>
      </w:r>
    </w:p>
    <w:p w:rsidR="00880CB5" w:rsidRPr="00FE1D8C" w:rsidRDefault="00880CB5" w:rsidP="00FE1D8C">
      <w:pPr>
        <w:spacing w:before="120"/>
        <w:ind w:firstLine="567"/>
        <w:jc w:val="both"/>
      </w:pPr>
      <w:r w:rsidRPr="00FE1D8C">
        <w:t>Постановление Минтруда России от 07.07.99 № 9 «Об утверждении форм документов, необходимых для расследования и учета несчастных случаев на производстве»</w:t>
      </w:r>
    </w:p>
    <w:p w:rsidR="00880CB5" w:rsidRDefault="00880CB5" w:rsidP="00FE1D8C">
      <w:pPr>
        <w:spacing w:before="120"/>
        <w:ind w:firstLine="567"/>
        <w:jc w:val="both"/>
      </w:pPr>
      <w:r w:rsidRPr="00FE1D8C">
        <w:t>Постановление Минтруда России от 06.04.01 № 30 «Об утверждении Методических рекомендаций по разработке государственных нормативных требований охраны труда»</w:t>
      </w:r>
    </w:p>
    <w:p w:rsidR="00880CB5" w:rsidRPr="00817FD6" w:rsidRDefault="00880CB5" w:rsidP="00FE1D8C">
      <w:pPr>
        <w:spacing w:before="120"/>
        <w:ind w:firstLine="567"/>
        <w:jc w:val="both"/>
      </w:pPr>
      <w:bookmarkStart w:id="0" w:name="_GoBack"/>
      <w:bookmarkEnd w:id="0"/>
    </w:p>
    <w:sectPr w:rsidR="00880CB5" w:rsidRPr="00817FD6" w:rsidSect="00FE1D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5871"/>
    <w:multiLevelType w:val="hybridMultilevel"/>
    <w:tmpl w:val="B56C8202"/>
    <w:lvl w:ilvl="0" w:tplc="29D08E54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1">
    <w:nsid w:val="3DE705A5"/>
    <w:multiLevelType w:val="hybridMultilevel"/>
    <w:tmpl w:val="3CC00282"/>
    <w:lvl w:ilvl="0" w:tplc="39107CAC">
      <w:start w:val="2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2">
    <w:nsid w:val="3E102E39"/>
    <w:multiLevelType w:val="hybridMultilevel"/>
    <w:tmpl w:val="751C31EC"/>
    <w:lvl w:ilvl="0" w:tplc="0214FE7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FD6"/>
    <w:rsid w:val="00817FD6"/>
    <w:rsid w:val="00880CB5"/>
    <w:rsid w:val="008A696D"/>
    <w:rsid w:val="00C41D39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5CAB63-8A42-4D36-95BA-8AE103E6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540" w:right="-365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lock Text"/>
    <w:basedOn w:val="a"/>
    <w:uiPriority w:val="99"/>
    <w:pPr>
      <w:ind w:left="-1260" w:right="-365"/>
    </w:pPr>
    <w:rPr>
      <w:sz w:val="32"/>
      <w:szCs w:val="32"/>
    </w:rPr>
  </w:style>
  <w:style w:type="paragraph" w:styleId="a4">
    <w:name w:val="Body Text"/>
    <w:basedOn w:val="a"/>
    <w:link w:val="a5"/>
    <w:uiPriority w:val="99"/>
    <w:rPr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FE1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9877</Words>
  <Characters>5630</Characters>
  <Application>Microsoft Office Word</Application>
  <DocSecurity>0</DocSecurity>
  <Lines>46</Lines>
  <Paragraphs>30</Paragraphs>
  <ScaleCrop>false</ScaleCrop>
  <Company>Администрация г.Норильска</Company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производство по охране труда в организации</dc:title>
  <dc:subject/>
  <dc:creator>4072</dc:creator>
  <cp:keywords/>
  <dc:description/>
  <cp:lastModifiedBy>admin</cp:lastModifiedBy>
  <cp:revision>2</cp:revision>
  <dcterms:created xsi:type="dcterms:W3CDTF">2014-01-25T18:32:00Z</dcterms:created>
  <dcterms:modified xsi:type="dcterms:W3CDTF">2014-01-25T18:32:00Z</dcterms:modified>
</cp:coreProperties>
</file>