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D4A" w:rsidRDefault="00345D4A" w:rsidP="00D3792D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8497B" w:rsidRPr="00D3792D" w:rsidRDefault="00B8497B" w:rsidP="00D3792D">
      <w:pPr>
        <w:ind w:firstLine="709"/>
        <w:contextualSpacing/>
        <w:rPr>
          <w:rFonts w:ascii="Times New Roman" w:hAnsi="Times New Roman"/>
          <w:b/>
          <w:sz w:val="32"/>
          <w:szCs w:val="32"/>
        </w:rPr>
      </w:pPr>
      <w:r w:rsidRPr="00D3792D">
        <w:rPr>
          <w:rFonts w:ascii="Times New Roman" w:hAnsi="Times New Roman"/>
          <w:b/>
          <w:sz w:val="32"/>
          <w:szCs w:val="32"/>
        </w:rPr>
        <w:t>Введение.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1886г. В Париже профессор педиатрии Антонин- Бернард Марфан описал пятилетнюю девочку с диспропорционально длинными конечностями и пальцами, фиброзными контрактурами пальцев и коленных суставов, высоким ростом и удлиненным черепом(долихоцефалия). Патологии сердца, глазного яблока и интеллекта не отмечалось. Сороками годами позже в наблюдениях профессора Марфана уже насчитывалось более 150 сходных случаев этой патологии с долихостеномелией (термин, введенный Марфаном для обозначения необычно длинных конечностей). Со временем стало известно необычное поражение других тканей- подвывих хрусталика и дисфункции митрального клапана сердца. В 1943г. Было описано серьезное поражение аорты, и к 1972г. Стала окончательно ясна роль этого поражения для жизненного прогноза пациентов. В своей монографии 1956г. Маккьюсик предположил, что основной дефект соединительной ткани является общим, как для поражения интимы аорты, так и для поражения глазного яблока. Однако только через 36 лет было показано, что мутация гена фибриллина 1(локализация в хромосоме 15</w:t>
      </w: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</w:rPr>
        <w:t xml:space="preserve"> 21),кодирующего гликопротеин фибриллин 1 типа- основного компонента экстрацеллюлярного матрикса миофибрилл, является первичным патологическим звеном для классического синдрома Марфана.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Синдром Марфана- наследственное заболевание, характеризующееся системным поражением соединительной ткани. Тип наследования аутосомно-доминантный с высокой пенетрантностью мутантного гена. Частота встречаемости составляет 2-3 пациента на 10 000 человек. Мальчики и девочки поражаются одинаково.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B8497B" w:rsidRPr="00D3792D" w:rsidRDefault="00B8497B" w:rsidP="00D3792D">
      <w:pPr>
        <w:ind w:firstLine="709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D3792D">
        <w:rPr>
          <w:rFonts w:ascii="Times New Roman" w:hAnsi="Times New Roman"/>
          <w:b/>
          <w:sz w:val="32"/>
          <w:szCs w:val="32"/>
        </w:rPr>
        <w:t>Клиническая картина.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Синдром Марфана подразделяют на два типа: астенический, преимущественно детский, и неастенический. Симптоматика синдрома Марфана системная и многообразная: от легких форм, трудноотличимых от нормы, до инвалидизирующего течения. Клинический полиморфизм выражен ярко, но его причины неясны.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Диагностические критерии: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1.Мышечно-скелетная система.</w:t>
      </w:r>
      <w:r w:rsidRPr="00603E5A">
        <w:rPr>
          <w:rFonts w:ascii="Times New Roman" w:hAnsi="Times New Roman"/>
          <w:sz w:val="28"/>
          <w:szCs w:val="28"/>
        </w:rPr>
        <w:t xml:space="preserve"> 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часто отмечают дефицит массы тела. Большинство детей опережают своих сверстников по длине тела. У детей обнаруживают арахнодактилия, долихостеномелия, высокое арковидное небос неправильном ростом зубов, недоразвитие вертлужной впадины, черепно-лицевые аномалии (долихоцефалия, гипоплазия скуловых дуг, энофтальм), гипермобильность суставов, выраженную деформацию грудины (килевидная деформация грудной клетки, воронкообразная деформация грудной клетки ΙΙΙ-ΙV степени), плоскостопие, мышечная гипотония. Длина среднего пальца кисти 9скрининг – тест на синдром Марфана) до 10 см и более ,увеличение соотношения «размаха» рук превышает длину тела не менее чем на 5 см. 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периоде новорожденности из перечисленных особенностей скелета часто выявляют только арахнодактилию, остальные симптомы формируются в различные периоды постнатального развития, как правило, в течение первых 7 лет жизни.</w:t>
      </w:r>
      <w:r w:rsidRPr="003F3C44">
        <w:rPr>
          <w:rFonts w:ascii="Times New Roman" w:hAnsi="Times New Roman"/>
          <w:sz w:val="28"/>
          <w:szCs w:val="28"/>
        </w:rPr>
        <w:t xml:space="preserve"> 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синдроме Марфана ростовые скачки и закрытие зон роста скелета наблюдаются на 2,4 года раньше у лиц мужского пола и на 2,2 года раньше у лиц женского пола. Рост  взрослых мужчин равен в среднем 191 см, женщин-175 см.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Глазное яблоко.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Нередко отмечают миопию, вывих и подвывих хрусталика(вследствие слабости цинновой связки). Иногда наблюдается отслоение сетчатки, уплощение роговицы.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3.Сердечно-сосудистая система.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из частых проявлений- расширение восходящей аорты с наличием или отсутствием аортальной регургитации, расслоение стенки восходящей аорты, пролапс митрального клапана, кальцификация митрального клапана, нарушение проведения возбуждения по правой ножке пучка Гиса.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4.Легочная система.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больных отмечается патология бронхолегочной системы- спонтанный пневмоторакс, эмфизема, инфаркт легкого).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5.Наружные покровы.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Отмечаются атрофичные стрии, не связанные с колебаниями веса, беременностью или физическими растяжениями, рецидивирующие грыжи любой локализации.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6.Нервная система.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Сведения, касающиеся ЦНС при синдроме Марфана, довольно противоречивы. До 20-25% больных имеют сниженное интеллектуальное развитие, у половины детей выявляются нарушения эмоционально- волевой сферы. Вместе с тем, среди больных синдромом Марфана- Н.Паганини, Г.Х.Андерсен, Ш.де Голль, К.И.Чуковский. В тяжелых случаях могут наблюдаться пояснично-крестцовое расширение (эктазия) эпидурального пространства, аномалии развития нервной системы.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B8497B" w:rsidRPr="00D3792D" w:rsidRDefault="00B8497B" w:rsidP="00D3792D">
      <w:pPr>
        <w:ind w:firstLine="709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D3792D">
        <w:rPr>
          <w:rFonts w:ascii="Times New Roman" w:hAnsi="Times New Roman"/>
          <w:b/>
          <w:sz w:val="32"/>
          <w:szCs w:val="32"/>
        </w:rPr>
        <w:t>Диагностика заболевания.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Базируется на анамнестических сведениях, аутосомно- доминантном наследовании признаков, антропометрических данных, результатах лабораторно-инструментального обследования. В диагностике синдрома Марфана большое значение придают определению показателей почечной экскреции метаболитов соединительной ткани и их фракционного состава. В моче больных определяют повышенное содержание ( в 2 раза и более) аминокислоты оксипролина. В диагностике заболевания  широко используют данные рентгенологическое исследование и компьютерная томография. Характер и степень  тяжести сердечно- сосудистой патологии оценивают по данным ЭхоКГ,ЭКГ,ФКГ. Диагностические критерии синдрома должны строго учитываться, поскольку ряд других врожденных дисплазий соединительной ткани могут быть приняты за синдром Марфана.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больные с синдромом Марфана должны наблюдаться у кардиолога, офтальмолога и ортопеда.</w:t>
      </w:r>
    </w:p>
    <w:p w:rsidR="00B8497B" w:rsidRPr="003F3C44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выявленном синдроме Марфана у родственника Ι степени родства этот диагноз можно установить у пробанда, имеющего проявления болезни в двух системах и более.</w:t>
      </w:r>
      <w:r w:rsidRPr="001C1E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Специфичными для данного заболевания являются нарушения скелета, вывих хрусталика, сердечно- сосудистые изменения, эктазия твердой мозговой оболочки. При отсутствии болезни у родственников Ι степени родства диагноз устанавливают при обнаружении у пробанда нарушений скелета и вовлечении в патологический процесс по меньшей мере двух других систем с наиболее специфическими проявлениями (глаза, скелет, сердце) в одной из них.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увеличением возраста отца (особенно после 35 лет) повышается вероятность рождения больного ребенка.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B8497B" w:rsidRPr="00D3792D" w:rsidRDefault="00B8497B" w:rsidP="00D3792D">
      <w:pPr>
        <w:ind w:firstLine="709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D3792D">
        <w:rPr>
          <w:rFonts w:ascii="Times New Roman" w:hAnsi="Times New Roman"/>
          <w:b/>
          <w:sz w:val="32"/>
          <w:szCs w:val="32"/>
        </w:rPr>
        <w:t>Лечение.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Лечение ставит своей целью нормализацию или стабилизацию патологического процесса в сердечно -сосудистой и нервной системах, органе зрения. Используют β-адреноблокаторы (обзидан и другие).препараты калия, широкий спектр витаминотерапии (витамин А, С,Е, группы В и другие)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3C44">
        <w:rPr>
          <w:rFonts w:ascii="Times New Roman" w:hAnsi="Times New Roman"/>
          <w:sz w:val="28"/>
          <w:szCs w:val="28"/>
        </w:rPr>
        <w:t>У большинства больных деформация позвоночника развивается постеп</w:t>
      </w:r>
      <w:r>
        <w:rPr>
          <w:rFonts w:ascii="Times New Roman" w:hAnsi="Times New Roman"/>
          <w:sz w:val="28"/>
          <w:szCs w:val="28"/>
        </w:rPr>
        <w:t>ен</w:t>
      </w:r>
      <w:r w:rsidRPr="003F3C44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в течение детского периода. При наличии кифоза и сколиоза умеренной тяжести показано консервативное лечение(повторные курсы массажа и ЛФК). Выраженные деформации грудной клетки и позвоночника подлежат хирургической коррекции.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профилактики аневризм необходимо освободить ребенка от занятий тяжелым физическим трудом, от занятий физической культурой, обязательна соответствующая профессиональная ориентация. При резко выраженном пролабировании клапанов и аневризме аорты проводят протезирование клапана и резецированного участка аорты.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коррекции зрения показано ношение коррегирующих очков. В случае вторичной глаукомы проводят оперативное лечение.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Необходима санация хронических очагов инфекции носоглотки и ротовой полости. 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реабилитации детей необходимо направлять в специализированные санатории с заболеваниями опорно-двигательного аппарата и сердечно- сосудистой системы.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B8497B" w:rsidRPr="00D3792D" w:rsidRDefault="00B8497B" w:rsidP="00D3792D">
      <w:pPr>
        <w:ind w:firstLine="709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D3792D">
        <w:rPr>
          <w:rFonts w:ascii="Times New Roman" w:hAnsi="Times New Roman"/>
          <w:b/>
          <w:sz w:val="32"/>
          <w:szCs w:val="32"/>
        </w:rPr>
        <w:t>Прогноз заболевания.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 зависит от целенаправленной динамической диспансеризации, социальной адаптации и профессиональной ориентации пациентов.</w:t>
      </w: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D37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97B" w:rsidRDefault="00B8497B" w:rsidP="00C821A1">
      <w:pPr>
        <w:ind w:firstLine="709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1363CA">
        <w:rPr>
          <w:rFonts w:ascii="Times New Roman" w:hAnsi="Times New Roman"/>
          <w:b/>
          <w:sz w:val="32"/>
          <w:szCs w:val="32"/>
        </w:rPr>
        <w:t>Используемая литература:</w:t>
      </w:r>
    </w:p>
    <w:p w:rsidR="00B8497B" w:rsidRPr="001363CA" w:rsidRDefault="00B8497B" w:rsidP="00C821A1">
      <w:pPr>
        <w:ind w:firstLine="709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B8497B" w:rsidRDefault="00B8497B" w:rsidP="001363CA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1.Н.П.Бочков. Клиническая генетика:учебник,3-е изд., испр. И доп.-М.: ГЭОТАР –МЕД,2004. с.170-173</w:t>
      </w:r>
    </w:p>
    <w:p w:rsidR="00B8497B" w:rsidRDefault="00B8497B" w:rsidP="001363CA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2.Н.П.Шабалов. Детские болезни: учебник,5-е изд.,т.2-СПб: Питер,2002. </w:t>
      </w:r>
    </w:p>
    <w:p w:rsidR="00B8497B" w:rsidRDefault="00B8497B" w:rsidP="001363CA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с.482-484</w:t>
      </w:r>
    </w:p>
    <w:p w:rsidR="00B8497B" w:rsidRPr="00C821A1" w:rsidRDefault="00B8497B" w:rsidP="001363CA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3.Н.Н.Володина.Неонатология: национальное руководство.-М.:ГЭОТАР-Мед,2007.с.621-623</w:t>
      </w:r>
      <w:bookmarkStart w:id="0" w:name="_GoBack"/>
      <w:bookmarkEnd w:id="0"/>
    </w:p>
    <w:sectPr w:rsidR="00B8497B" w:rsidRPr="00C821A1" w:rsidSect="00C821A1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97B" w:rsidRDefault="00B8497B" w:rsidP="00C86078">
      <w:pPr>
        <w:spacing w:after="0" w:line="240" w:lineRule="auto"/>
      </w:pPr>
      <w:r>
        <w:separator/>
      </w:r>
    </w:p>
  </w:endnote>
  <w:endnote w:type="continuationSeparator" w:id="0">
    <w:p w:rsidR="00B8497B" w:rsidRDefault="00B8497B" w:rsidP="00C8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97B" w:rsidRDefault="00B8497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5D4A">
      <w:rPr>
        <w:noProof/>
      </w:rPr>
      <w:t>1</w:t>
    </w:r>
    <w:r>
      <w:fldChar w:fldCharType="end"/>
    </w:r>
  </w:p>
  <w:p w:rsidR="00B8497B" w:rsidRDefault="00B849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97B" w:rsidRDefault="00B8497B" w:rsidP="00C86078">
      <w:pPr>
        <w:spacing w:after="0" w:line="240" w:lineRule="auto"/>
      </w:pPr>
      <w:r>
        <w:separator/>
      </w:r>
    </w:p>
  </w:footnote>
  <w:footnote w:type="continuationSeparator" w:id="0">
    <w:p w:rsidR="00B8497B" w:rsidRDefault="00B8497B" w:rsidP="00C86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061"/>
    <w:rsid w:val="00114061"/>
    <w:rsid w:val="001363CA"/>
    <w:rsid w:val="001C1E10"/>
    <w:rsid w:val="002D7FFB"/>
    <w:rsid w:val="002F147C"/>
    <w:rsid w:val="00325C2F"/>
    <w:rsid w:val="00345D4A"/>
    <w:rsid w:val="00374997"/>
    <w:rsid w:val="003F3C44"/>
    <w:rsid w:val="00421E16"/>
    <w:rsid w:val="00603E5A"/>
    <w:rsid w:val="006101A6"/>
    <w:rsid w:val="006304E0"/>
    <w:rsid w:val="006A490F"/>
    <w:rsid w:val="00713E1D"/>
    <w:rsid w:val="007D3B91"/>
    <w:rsid w:val="00AA1C12"/>
    <w:rsid w:val="00AF7817"/>
    <w:rsid w:val="00B8497B"/>
    <w:rsid w:val="00BF2066"/>
    <w:rsid w:val="00C51938"/>
    <w:rsid w:val="00C7452B"/>
    <w:rsid w:val="00C821A1"/>
    <w:rsid w:val="00C86078"/>
    <w:rsid w:val="00D3792D"/>
    <w:rsid w:val="00DC3929"/>
    <w:rsid w:val="00E83777"/>
    <w:rsid w:val="00F31EB0"/>
    <w:rsid w:val="00FD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F5470-038F-4FBA-BBC7-F6C929FD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1A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86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C86078"/>
    <w:rPr>
      <w:rFonts w:cs="Times New Roman"/>
    </w:rPr>
  </w:style>
  <w:style w:type="paragraph" w:styleId="a5">
    <w:name w:val="footer"/>
    <w:basedOn w:val="a"/>
    <w:link w:val="a6"/>
    <w:rsid w:val="00C86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C860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Котенок</dc:creator>
  <cp:keywords/>
  <dc:description/>
  <cp:lastModifiedBy>admin</cp:lastModifiedBy>
  <cp:revision>2</cp:revision>
  <cp:lastPrinted>2010-09-15T18:16:00Z</cp:lastPrinted>
  <dcterms:created xsi:type="dcterms:W3CDTF">2014-04-26T10:41:00Z</dcterms:created>
  <dcterms:modified xsi:type="dcterms:W3CDTF">2014-04-26T10:41:00Z</dcterms:modified>
</cp:coreProperties>
</file>