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50" w:rsidRPr="00BE7865" w:rsidRDefault="006B4350" w:rsidP="006B4350">
      <w:pPr>
        <w:spacing w:before="120"/>
        <w:jc w:val="center"/>
        <w:rPr>
          <w:b/>
          <w:bCs/>
          <w:sz w:val="32"/>
          <w:szCs w:val="32"/>
        </w:rPr>
      </w:pPr>
      <w:r w:rsidRPr="00BE7865">
        <w:rPr>
          <w:b/>
          <w:bCs/>
          <w:sz w:val="32"/>
          <w:szCs w:val="32"/>
        </w:rPr>
        <w:t>Вредные и опасные звуковые колебания и вибрации</w:t>
      </w:r>
    </w:p>
    <w:p w:rsidR="006B4350" w:rsidRPr="00BE7865" w:rsidRDefault="006B4350" w:rsidP="006B4350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Нормирование и измерение звуковых колебаний и вибраций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(в настоящее время приборов для измерения звуковых колебаний и вибраций достаточно много. Есть и универсальные, например серии ОКТАВА-101, позволяющие измерять звук, вибрацию, инфра- и ультразвук одним прибором.)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Звук – это волнообразное распространение механических колебательных движений частиц упругой среды.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Звуковое давление – это переменная составляющая давления воздуха или газа, возникающая в результате звуковых колебаний, Па.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Громкость звука зависит от интенсивности звука, т.е. определяется амплитудой колебаний в звуковой волне. Наибольшей чувствительностью слуховой анализатор человека обладает к звукам с частотами от 700 до 6000 Гц. 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Звуковая мощность определяется отношением звуковой энергии ко времени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P = W/t = [1 Дж/с =1 Вт].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Интенсивность звука определяется отношением звуковой мощности к площади поперечного сечения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R = P/S = [Вт/м2].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Производственным шумом называют хаотическое сочетание различных по частоте и силе звуков, вызывающих неприятные ощущения и оказывающих вредное или раздражающее воздействие.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В соответствии с “ГОСТ 12.1.003-83* ССБТ. Шум. Общие требования безопасности” производственные шумы по происхождению подразделяются на: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· механические шумы, возникающие при вибрации;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· аэродинамические (горение в форсунках, большая скорость струи воздуха и др.);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· турбогидравлические;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· структурные (колебание поверхностей, стен и т.п.).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Шумы подразделяются на постоянные (изменения интенсивности до 5 дБ) и не постоянные (интенсивность звукового давления меняется в диапазоне более</w:t>
      </w:r>
      <w:r>
        <w:t xml:space="preserve"> </w:t>
      </w:r>
      <w:r w:rsidRPr="007653FD">
        <w:t xml:space="preserve">5 дБ).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Нормируется шум по предельному спектру и в зависимости от характера помещений и выполняемых там работ. В ГОСТ 12.1.003-83 приведены допустимые уровни звукового давления в децибелах соответственно для каждой из восьми среднегеометрических частот октавных полос (63, 125, 250, 500, 1000, 2000, 4000 и 8000 Гц). Это так называемая спектральная характеристика шума. Наряду с этим способом нормирования, для ориентировочной оценки, допускается за характеристику постоянного шума на рабочем месте принимать уровень звука в дБА, измеряемой и оцениваемой по шкале “А” измерительного прибора (шумомера). 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Основные нормированные параметры для широкополосного шума приведены в таблице 7.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Таблица 7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Допустимые уровни звукового давления в октавных полосах и эквивалентные уровни звука на рабочих местах</w:t>
      </w:r>
    </w:p>
    <w:p w:rsidR="006B4350" w:rsidRPr="007653FD" w:rsidRDefault="006B4350" w:rsidP="006B4350">
      <w:pPr>
        <w:spacing w:before="120"/>
        <w:ind w:firstLine="567"/>
        <w:jc w:val="both"/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7"/>
        <w:gridCol w:w="628"/>
        <w:gridCol w:w="712"/>
        <w:gridCol w:w="713"/>
        <w:gridCol w:w="713"/>
        <w:gridCol w:w="797"/>
        <w:gridCol w:w="797"/>
        <w:gridCol w:w="797"/>
        <w:gridCol w:w="799"/>
        <w:gridCol w:w="1765"/>
      </w:tblGrid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Рабочее место</w:t>
            </w:r>
          </w:p>
        </w:tc>
        <w:tc>
          <w:tcPr>
            <w:tcW w:w="338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Уровень звукового давления в дБ в октавных полосах со среднегеометрическими частотами, Гц</w:t>
            </w:r>
          </w:p>
        </w:tc>
        <w:tc>
          <w:tcPr>
            <w:tcW w:w="8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Эквивалентный уровень звука, дБА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4350" w:rsidRPr="007653FD" w:rsidRDefault="006B4350" w:rsidP="000A6D9E"/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125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250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4000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8000</w:t>
            </w:r>
          </w:p>
        </w:tc>
        <w:tc>
          <w:tcPr>
            <w:tcW w:w="8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4350" w:rsidRPr="007653FD" w:rsidRDefault="006B4350" w:rsidP="000A6D9E"/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9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10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1. Помещения программистов, конструкторских бюро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61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54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38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50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2. Кабинеты руководителей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79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70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49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60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3. Кабинеты наблюдений и дистанционного управления:</w:t>
            </w:r>
          </w:p>
          <w:p w:rsidR="006B4350" w:rsidRPr="007653FD" w:rsidRDefault="006B4350" w:rsidP="000A6D9E">
            <w:r w:rsidRPr="007653FD">
              <w:t>а) без речевой связи по телефону</w:t>
            </w:r>
          </w:p>
          <w:p w:rsidR="006B4350" w:rsidRPr="007653FD" w:rsidRDefault="006B4350" w:rsidP="000A6D9E">
            <w:r w:rsidRPr="007653FD">
              <w:t>б) с речевой связью по телефону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94</w:t>
            </w:r>
          </w:p>
          <w:p w:rsidR="006B4350" w:rsidRPr="007653FD" w:rsidRDefault="006B4350" w:rsidP="000A6D9E">
            <w:r w:rsidRPr="007653FD">
              <w:t>83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87</w:t>
            </w:r>
          </w:p>
          <w:p w:rsidR="006B4350" w:rsidRPr="007653FD" w:rsidRDefault="006B4350" w:rsidP="000A6D9E">
            <w:r w:rsidRPr="007653FD">
              <w:t>74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82</w:t>
            </w:r>
          </w:p>
          <w:p w:rsidR="006B4350" w:rsidRPr="007653FD" w:rsidRDefault="006B4350" w:rsidP="000A6D9E">
            <w:r w:rsidRPr="007653FD">
              <w:t>68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78</w:t>
            </w:r>
          </w:p>
          <w:p w:rsidR="006B4350" w:rsidRPr="007653FD" w:rsidRDefault="006B4350" w:rsidP="000A6D9E">
            <w:r w:rsidRPr="007653FD">
              <w:t>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75</w:t>
            </w:r>
          </w:p>
          <w:p w:rsidR="006B4350" w:rsidRPr="007653FD" w:rsidRDefault="006B4350" w:rsidP="000A6D9E">
            <w:r w:rsidRPr="007653FD"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73</w:t>
            </w:r>
          </w:p>
          <w:p w:rsidR="006B4350" w:rsidRPr="007653FD" w:rsidRDefault="006B4350" w:rsidP="000A6D9E">
            <w:r w:rsidRPr="007653FD">
              <w:t>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71</w:t>
            </w:r>
          </w:p>
          <w:p w:rsidR="006B4350" w:rsidRPr="007653FD" w:rsidRDefault="006B4350" w:rsidP="000A6D9E">
            <w:r w:rsidRPr="007653FD"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70</w:t>
            </w:r>
          </w:p>
          <w:p w:rsidR="006B4350" w:rsidRPr="007653FD" w:rsidRDefault="006B4350" w:rsidP="000A6D9E">
            <w:r w:rsidRPr="007653FD">
              <w:t>54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Default="006B4350" w:rsidP="000A6D9E">
            <w:r w:rsidRPr="007653FD">
              <w:t xml:space="preserve"> </w:t>
            </w:r>
          </w:p>
          <w:p w:rsidR="006B4350" w:rsidRDefault="006B4350" w:rsidP="000A6D9E">
            <w:r w:rsidRPr="007653FD">
              <w:t>80</w:t>
            </w:r>
          </w:p>
          <w:p w:rsidR="006B4350" w:rsidRPr="007653FD" w:rsidRDefault="006B4350" w:rsidP="000A6D9E">
            <w:r w:rsidRPr="007653FD">
              <w:t>65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4. Машинописные бюро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83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74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68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54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65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5. Лаборатории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94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87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70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80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7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6. Рабочие места в производственных помещениях и на территории предприятия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99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92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86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74</w:t>
            </w:r>
          </w:p>
        </w:tc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85</w:t>
            </w:r>
          </w:p>
        </w:tc>
      </w:tr>
    </w:tbl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В соответствии с санитарными нормами “СН 2.2.4/2.1.8.562 – 96. Шум на рабочих местах, в помещениях жилых, общественных зданиях и на территории жилой застройки”: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1)</w:t>
      </w:r>
      <w:r>
        <w:t xml:space="preserve"> </w:t>
      </w:r>
      <w:r w:rsidRPr="007653FD">
        <w:t>Допустимый уровень шума – это уровень,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шуму;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2) Предельно допустимый уровень шума – это уровень шума, который при ежедневной (кроме выходных дней) работе, но не более 40 часов в неделю в течение всего рабочего стажа, не должен вызвать заболеваний или отклонений в состоянии здоровья, обнаруживаемых современными методами исследования в процессе работы или в отдалённые сроки жизни настоящего и последующих поколений;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3) Нормирование звукового давления (интенсивности) выполняется на разных частотах с учётом характера выполняемой работы – прежде всего напряжённости труда (табл. 8).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Таблица 8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Допустимые уровни звукового давления для некоторых видов работ</w:t>
      </w:r>
    </w:p>
    <w:p w:rsidR="006B4350" w:rsidRPr="007653FD" w:rsidRDefault="006B4350" w:rsidP="006B4350">
      <w:pPr>
        <w:spacing w:before="120"/>
        <w:ind w:firstLine="567"/>
        <w:jc w:val="both"/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96"/>
        <w:gridCol w:w="667"/>
        <w:gridCol w:w="557"/>
        <w:gridCol w:w="630"/>
        <w:gridCol w:w="630"/>
        <w:gridCol w:w="630"/>
        <w:gridCol w:w="702"/>
        <w:gridCol w:w="703"/>
        <w:gridCol w:w="703"/>
        <w:gridCol w:w="705"/>
        <w:gridCol w:w="1765"/>
      </w:tblGrid>
      <w:tr w:rsidR="006B4350" w:rsidRPr="007653FD" w:rsidTr="000A6D9E">
        <w:trPr>
          <w:tblCellSpacing w:w="0" w:type="dxa"/>
          <w:jc w:val="center"/>
        </w:trPr>
        <w:tc>
          <w:tcPr>
            <w:tcW w:w="85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 xml:space="preserve">Характер </w:t>
            </w:r>
          </w:p>
          <w:p w:rsidR="006B4350" w:rsidRPr="007653FD" w:rsidRDefault="006B4350" w:rsidP="000A6D9E">
            <w:r w:rsidRPr="007653FD">
              <w:t>трудовой</w:t>
            </w:r>
          </w:p>
          <w:p w:rsidR="006B4350" w:rsidRPr="007653FD" w:rsidRDefault="006B4350" w:rsidP="000A6D9E">
            <w:r w:rsidRPr="007653FD">
              <w:t>деятельности</w:t>
            </w:r>
          </w:p>
        </w:tc>
        <w:tc>
          <w:tcPr>
            <w:tcW w:w="339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Уровень звукового давления в дБ в октавных полосах со среднегеометрическими частотами, Гц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Эквивалентный уровень звука, дБА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85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4350" w:rsidRPr="007653FD" w:rsidRDefault="006B4350" w:rsidP="000A6D9E"/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31,5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63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125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250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8000</w:t>
            </w:r>
          </w:p>
        </w:tc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4350" w:rsidRPr="007653FD" w:rsidRDefault="006B4350" w:rsidP="000A6D9E"/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Научная деятельность, преподавание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86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71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61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54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50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Административно-управленческая деятельность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93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79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68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60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Учёба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79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63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52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45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40</w:t>
            </w:r>
          </w:p>
        </w:tc>
      </w:tr>
    </w:tbl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 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По интенсивности звукового давления, шумы приближенно можно оценить по таблице 9.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Таблица 9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Субъективная оценка звукового давления (шума)</w:t>
      </w:r>
    </w:p>
    <w:p w:rsidR="006B4350" w:rsidRPr="007653FD" w:rsidRDefault="006B4350" w:rsidP="006B4350">
      <w:pPr>
        <w:spacing w:before="120"/>
        <w:ind w:firstLine="567"/>
        <w:jc w:val="both"/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8"/>
        <w:gridCol w:w="6094"/>
      </w:tblGrid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 xml:space="preserve">Интенсивность звукового </w:t>
            </w:r>
          </w:p>
          <w:p w:rsidR="006B4350" w:rsidRPr="007653FD" w:rsidRDefault="006B4350" w:rsidP="000A6D9E">
            <w:r w:rsidRPr="007653FD">
              <w:t>давления, дБ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Соответствует: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порогу слышимости;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20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тихому разговору, шелесту, шуршанию;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30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тихой музыке;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50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шуму большого магазина;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60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шуму улицы города;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90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шуму подходящего поезда метрополитена;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120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шуму реактивного двигателя самолета в 100 м;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130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то же в 10 м;</w:t>
            </w:r>
          </w:p>
        </w:tc>
      </w:tr>
      <w:tr w:rsidR="006B4350" w:rsidRPr="007653FD" w:rsidTr="000A6D9E">
        <w:trPr>
          <w:tblCellSpacing w:w="0" w:type="dxa"/>
          <w:jc w:val="center"/>
        </w:trPr>
        <w:tc>
          <w:tcPr>
            <w:tcW w:w="18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350" w:rsidRPr="007653FD" w:rsidRDefault="006B4350" w:rsidP="000A6D9E">
            <w:r w:rsidRPr="007653FD">
              <w:t>140</w:t>
            </w:r>
          </w:p>
        </w:tc>
        <w:tc>
          <w:tcPr>
            <w:tcW w:w="3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B4350" w:rsidRPr="007653FD" w:rsidRDefault="006B4350" w:rsidP="000A6D9E">
            <w:r w:rsidRPr="007653FD">
              <w:t>то же</w:t>
            </w:r>
            <w:r>
              <w:t xml:space="preserve"> </w:t>
            </w:r>
            <w:r w:rsidRPr="007653FD">
              <w:t>в 1 м.</w:t>
            </w:r>
          </w:p>
        </w:tc>
      </w:tr>
    </w:tbl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Под влиянием производственного шума возникают заболевания: снижение чувствительности слуха, аритмия сердца, повышение кровяного давления, неврозы, нарушение деятельности желудочно-кишечного тракта. Через нервную систему шум вызывает заболевания сердца, а в некоторых случаях приводит к хроническим заболеваниям коры головного мозга, почек, к появлению гипертонической болезни. В общем случае у работающего в условиях высокого шума развивается так называемая “шумовая болезнь”, проявляющаяся в общем заболевании всего организма.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При уровне шума 65 дБ и выше, увеличивается давление крови, появляется быстрая утомляемость.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Уровень шума 90 дБ и выше, приводит к нарушению слуха, ухудшению деятельности желудочно-кишечного тракта, нарушению нервной деятельности.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Шум более</w:t>
      </w:r>
      <w:r>
        <w:t xml:space="preserve"> </w:t>
      </w:r>
      <w:r w:rsidRPr="007653FD">
        <w:t xml:space="preserve">120 дБ вызывает механические колебания тканей и разрушение нервных клеток.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Проявление вредного влияния шума может проявиться через длительное время.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Вибрация представляет собой механические колебания тел. Вибрации присуща низкая частота колебаний до 20 Гц, а свыше 29 Гц является суммарным влиянием вибрации с шумом.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Вредное действие вибрации, прежде всего, вызывает снижение коэффициента полезного действия (КПД) машин и преждевременный износ деталей, что может привести к поломкам, авариям и катастрофам.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Человек ощущает вибрацию при контакте с колеблющимися предметами: инструментами, оборудованием и др. При длительном действии вибрации на организм человека возникают заболевания двух типов: общие и местные (локальные). Общие заболевания могут проявиться через 4-12 месяцев в тех случаях, если работа сопровождается постоянной вибрацией рабочих мест. При этом возникают головные боли, зрительные расстройства, повышение температуры, расстройства со стороны желудка и сердечно-сосудистой системы.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Локальные формы заболеваний возникают при действии вибрации на отдельные участки тела (руки, ноги и др.). При этом происходят изменения нервной и костно-сосудистой систем, повышается артериальное давление, снижается мышечная сила и уменьшается вес человека, появляются спазмы сосудов.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В общем случае воздействие вибрации на человеке сопровождается неприятными ощущениями в виде “онемения”, слабости в кисти руки, судорогами. Локальные вибрации вызывает спазмы сосудов фаланг пальцев, сосудов сердца. Кроме того, вибрация сопровождается потерей чувствительности кожи, “окостенениями” сухожилий мышц, отложениями солей в суставах. Эти воздействия особенно усиливаются в холодный период года.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Систематическое воздействие вибрации приводит к вибрационной болезни - общему заболеванию всего организма, при котором нарушается деятельность различных органов и функциональных систем. Эти нарушения</w:t>
      </w:r>
      <w:r>
        <w:t xml:space="preserve"> </w:t>
      </w:r>
      <w:r w:rsidRPr="007653FD">
        <w:t>проявляются в виде: головокружения, повышенной раздражительности, нарушение сна, болей в области сердца.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При колебаниях с частотой ниже 20 Гц и относительно больших амплитудах вибрации происходит расстройство вестибулярного аппарата человека, появляются симптомы “морской болезни”. При колебаниях рабочих мест с частотами близкими к собственным частотам внутренних органов (6-9 Гц) могут происходить их механические повреждения или даже разрыв.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Классификация и нормирование вибрации выполняется в соответствии с санитарными нормами “СН 2.2.4/2.1.8.566-96. Производственная вибрация, вибрация в помещениях жилых и общественных зданий”.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Вибрация измеряется виброметрами в соответствии с “ГОСТ 12.4.012-83 ССБТ. Вибрация. Средства измерения и контроля вибрации на рабочих местах. Технические требования”.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Ультразвук, как и шум, - это механические колебания упругой среды, но в отличие от звуковых волн, ультразвуковые волны имеют большие амплитуды, что обусловило его широкое применение в технике. Ультразвук, также как и шум, нормируется по допустимым уровням звукового давления на рабочих местах в зависимости от среднегеометрической частоты (ГОСТ 12.1.001-89 ССБТ. Ультразвук. Общие требования безопасности).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Инфразвук возникает на частотах менее 20 Гц и вызывает утомление, головокружение, головную боль, болезнь типа морской (вестибулярные нарушения). Воздействие инфразвука приводит к снижению остроты слуха и зрения, в некоторых случаях появляется чувство страха и т.п., возможны обмороки и параличи. Низкочастотные колебания с уровнем инфразвукового давления свыше 150 дБ могут вызвать смертельный исход. Особенно опасны инфразвуковые колебания с частотой от 2 до 15 Гц в связи с возникновением резонансных явлений в организме человека, причём наиболее опасна частота 7 Гц, так как возможно его совпадение с альфа-ритмом биотоков мозга.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Источниками инфразвука являются механизмы (компрессоры, дизельные двигатели), транспорт (электровозы), медленно работающие машины и др. В воздухе инфразвук мало поглощается и поэтому способен распространяться на большие расстояния. Многие явления природы (землетрясения, морские бури) сопровождаются излучением инфразвуковых колебаний. 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Классификация и нормирование инфразвука выполняется в соответствии с</w:t>
      </w:r>
      <w:r>
        <w:t xml:space="preserve"> </w:t>
      </w:r>
      <w:r w:rsidRPr="007653FD">
        <w:t>санитарными нормами “СН 2.2.4/2.1.8.583-96. Инфразвук на рабочих местах, в жилых и общественных помещениях и на территории жилой застройки”.</w:t>
      </w:r>
    </w:p>
    <w:p w:rsidR="006B4350" w:rsidRPr="00BE7865" w:rsidRDefault="006B4350" w:rsidP="006B4350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Защита от звуковых колебаний и вибраций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В борьбе с производственным шумом применяют следующие методы: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Технологические и конструктивные;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Нормирование;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Санитарно-технические;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Лечебно-профилактические.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Защита работающих от шума может осуществляться как коллективными средствами и методами (ГОСТ 12.1.029-80 ССБТ. Средства и методы защиты от шума. Классификация), так и индивидуальными средствами (ГОСТ 12.4.051-87 ССБТ. Средства индивидуальной защиты органов слуха. Общие технические условия и методы испытаний).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Коллективные средства защиты в свою очередь подразделяются на средства, снижающие шум в источнике его возникновения, и средства, снижающие шум на пути его распространения от источника до защищаемого объекта.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Снижение шума в источнике достигается путём его конструктивных изменений. Это обеспечивается изменением движения деталей, улучшением смазки и класса чистоты трущихся поверхностей, заменой материалов и т.д.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Снижение шума на пути его распространения достигается проведением строительно-акустических мероприятий. Методы снижения шума на пути его распространения реализуются применением: кожухов, экранов, кабин наблюдения (при дистанционном управлении), звукоизолирующих перегородок между помещениями, звукопоглощающих облицовок, глушителей шума и др.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Из средств индивидуальной защиты, позволяющих снизить уровень воспринимаемого звука на 10-45 дБ,</w:t>
      </w:r>
      <w:r>
        <w:t xml:space="preserve"> </w:t>
      </w:r>
      <w:r w:rsidRPr="007653FD">
        <w:t>можно назвать противошумовые: вкладыши, наушники (антифоны), шлемы и каски (при уровнях 120 дБ и выше), специальные костюмы.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В условиях повышенного шума, при отсутствии специальных средств индивидуальной защиты, используйте подручные средства, так, например, обычная вата снижает шум на 6 дБ, вата с жиром – до 18 дБ, воск - до 24 дБ.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В соответствии с “ГОСТ 12.1.012-90 ССБТ. Вибрационная безопасность. Общие требования” защита от вибрации включает в себя технические и медико-профилактические мероприятия.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К техническим мерам защиты относятся: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· снижение вибрации в источнике её возникновения путём более точной балансировкой вращающихся частей и изменением резонансной частоты системы;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· виброгашение, путем установления механизмов на самостоятельные фундаменты и применение динамических виброгасителей, увеличением массы (инерции) фундаментов или их жёсткости;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· виброизоляция, препятствующая передаче вибрации от источника (механизма) к защищаемому объекту, и осуществляемая с помощью виброизоляторов (дерево, резина, войлок, пружины, рессоры);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· вибропоглощение (вибродемпфирование) путём покрытия вибрирующих деталей виброизолирующим материалом.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Широкое распространение получили вибродемпфирующие покрытия, которые подразделяются на жёсткие и мягкие. Первые эффективны в области низких частот, вторые – области высоких.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Наиболее эффективны покрытия из вязко-упругих материалов, к которым относятся твёрдая пластмасса, рубероид, битуминизированный войлок со слоем фольги и др. В качестве жёстких применяются металлические покрытия на основе алюминия, меди, свинца, олова и др. Мягкими вибродемпфирующими покрытиями являются мягкие пластмассы, резины, пенопласт и др.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В борьбе с вибрацией при работе с ручным инструментом важное значение имеет также удобство рабочей позы.</w:t>
      </w:r>
      <w:r>
        <w:t xml:space="preserve"> </w:t>
      </w:r>
      <w:r w:rsidRPr="007653FD">
        <w:t>Необходимы организации режима труда и отдыха, гимнастические упражнения (1-2 раза в смену), полезны тепловые ванны, массаж конечностей, ультрафиолетовое облучение, проведение медицинских осмотров.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Рекомендуется, чтобы общее время контакта с вибрирующими машинами, вибрация которых соответствует допустимым уровням, не превышала 2/3 длительности рабочей смены, а непрерывная продолжительность воздействия вибрации, включая микропаузы, не более 20 минут.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 xml:space="preserve">Средства индивидуальной виброзащиты подразделяются на средства защиты для рук, ног и тела оператора. В качестве средств защиты для рук применяются рукавицы и перчатки, вкладыши и прокладки. Виброзащитная спецобувь изготовляется в виде сапог, полусапог, полуботинок. Защита от вибрации обеспечивается специальной конструкцией низа обуви из упруго-демпфирующего материала. Средства защиты для тела оператора по форме исполнения подразделяется на нагрудники, пояса, специальные костюмы из упруго-демпфирующих материалов. 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Защита от ультразвука включает в себя использование более высоких частот (допустимые уровни выше), изолирующих корпусов и экранов, изоляцию излучающих установок, дистанционное управление и средства индивидуальной защиты.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При проектировании и эксплуатации ультразвуковых установок следует руководствоваться санитарными правилами и нормами, отражёнными в “СанПиН 2.2.4/2.1.8.582-96. Гигиенические требования при работах с источниками воздушного и контактного ультразвука промышленного, медицинского и бытового назначения”.</w:t>
      </w:r>
    </w:p>
    <w:p w:rsidR="006B4350" w:rsidRPr="007653FD" w:rsidRDefault="006B4350" w:rsidP="006B4350">
      <w:pPr>
        <w:spacing w:before="120"/>
        <w:ind w:firstLine="567"/>
        <w:jc w:val="both"/>
      </w:pPr>
      <w:r w:rsidRPr="007653FD">
        <w:t>Для борьбы с инфразвуком более эффективны меры позволяющие снизить уровень инфразвука в источнике его возникновения. Для этого нужно устранять источники низкочастотной вибрации, повышать быстроходность машин, увеличивать жёсткость конструкций больших размеров, устанавливать глушители и т.п.</w:t>
      </w:r>
    </w:p>
    <w:p w:rsidR="006B4350" w:rsidRDefault="006B4350" w:rsidP="006B4350">
      <w:pPr>
        <w:spacing w:before="120"/>
        <w:ind w:firstLine="567"/>
        <w:jc w:val="both"/>
      </w:pPr>
      <w:r w:rsidRPr="007653FD">
        <w:t>В соответствии с санитарными нормами уровни инфразвукового давления на среднегеометрических частотах 2, 4, 8 и 16 Гц не должны превышать 105 дБ, а в полосе с частотой</w:t>
      </w:r>
      <w:r>
        <w:t xml:space="preserve"> </w:t>
      </w:r>
      <w:r w:rsidRPr="007653FD">
        <w:t>32 Гц - 102 дБ.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350"/>
    <w:rsid w:val="00051FB8"/>
    <w:rsid w:val="00095BA6"/>
    <w:rsid w:val="000A6D9E"/>
    <w:rsid w:val="001F318A"/>
    <w:rsid w:val="00210DB3"/>
    <w:rsid w:val="0031418A"/>
    <w:rsid w:val="00350B15"/>
    <w:rsid w:val="00377A3D"/>
    <w:rsid w:val="004159BA"/>
    <w:rsid w:val="0052086C"/>
    <w:rsid w:val="005A2562"/>
    <w:rsid w:val="006B4350"/>
    <w:rsid w:val="00755964"/>
    <w:rsid w:val="007653FD"/>
    <w:rsid w:val="008C19D7"/>
    <w:rsid w:val="00A44D32"/>
    <w:rsid w:val="00BE786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1EB552-A83B-451D-BE24-C9B6E3E5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4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2257</Words>
  <Characters>12869</Characters>
  <Application>Microsoft Office Word</Application>
  <DocSecurity>0</DocSecurity>
  <Lines>107</Lines>
  <Paragraphs>30</Paragraphs>
  <ScaleCrop>false</ScaleCrop>
  <Company>Home</Company>
  <LinksUpToDate>false</LinksUpToDate>
  <CharactersWithSpaces>15096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Вредные и опасные звуковые колебания и вибрации</dc:title>
  <dc:subject/>
  <dc:creator>Alena</dc:creator>
  <cp:keywords/>
  <dc:description/>
  <cp:lastModifiedBy>admin</cp:lastModifiedBy>
  <cp:revision>2</cp:revision>
  <dcterms:created xsi:type="dcterms:W3CDTF">2014-02-19T09:15:00Z</dcterms:created>
  <dcterms:modified xsi:type="dcterms:W3CDTF">2014-02-19T09:15:00Z</dcterms:modified>
</cp:coreProperties>
</file>