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F1C" w:rsidRDefault="00273F1C">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Эпидемиология и предотвращение заболеваний путем вакцинопрофилактики.</w:t>
      </w:r>
    </w:p>
    <w:p w:rsidR="00273F1C" w:rsidRDefault="00273F1C">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 Вильям Аткинсон, Ларри Фурфи, Джуди Гантт, Матр Мэйфилд, Гари Райн</w:t>
      </w:r>
    </w:p>
    <w:p w:rsidR="00273F1C" w:rsidRDefault="00273F1C">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Минимальный возраст для первичной вакцинаций и минимальный интервал между дозами, по типу вакцины</w:t>
      </w:r>
    </w:p>
    <w:p w:rsidR="00273F1C" w:rsidRDefault="00273F1C">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w:t>
      </w:r>
    </w:p>
    <w:tbl>
      <w:tblPr>
        <w:tblW w:w="0" w:type="auto"/>
        <w:tblInd w:w="-3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9" w:type="dxa"/>
          <w:right w:w="129" w:type="dxa"/>
        </w:tblCellMar>
        <w:tblLook w:val="0000" w:firstRow="0" w:lastRow="0" w:firstColumn="0" w:lastColumn="0" w:noHBand="0" w:noVBand="0"/>
      </w:tblPr>
      <w:tblGrid>
        <w:gridCol w:w="3060"/>
        <w:gridCol w:w="2592"/>
        <w:gridCol w:w="2592"/>
        <w:gridCol w:w="2592"/>
        <w:gridCol w:w="2592"/>
      </w:tblGrid>
      <w:tr w:rsidR="00273F1C">
        <w:tc>
          <w:tcPr>
            <w:tcW w:w="3060" w:type="dxa"/>
            <w:tcBorders>
              <w:top w:val="single" w:sz="12" w:space="0" w:color="auto"/>
            </w:tcBorders>
          </w:tcPr>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Вакцина</w:t>
            </w:r>
          </w:p>
        </w:tc>
        <w:tc>
          <w:tcPr>
            <w:tcW w:w="2592" w:type="dxa"/>
            <w:tcBorders>
              <w:top w:val="single" w:sz="12" w:space="0" w:color="auto"/>
            </w:tcBorders>
          </w:tcPr>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Минимальный возраст для получения первой дозы</w:t>
            </w:r>
            <w:r>
              <w:rPr>
                <w:rFonts w:ascii="Times New Roman" w:hAnsi="Times New Roman" w:cs="Times New Roman"/>
                <w:color w:val="000000"/>
                <w:sz w:val="24"/>
                <w:szCs w:val="24"/>
                <w:vertAlign w:val="superscript"/>
              </w:rPr>
              <w:t>1</w:t>
            </w:r>
          </w:p>
        </w:tc>
        <w:tc>
          <w:tcPr>
            <w:tcW w:w="2592" w:type="dxa"/>
            <w:tcBorders>
              <w:top w:val="single" w:sz="12" w:space="0" w:color="auto"/>
            </w:tcBorders>
          </w:tcPr>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Минимальный интервал между первой и второй дозами</w:t>
            </w:r>
            <w:r>
              <w:rPr>
                <w:rFonts w:ascii="Times New Roman" w:hAnsi="Times New Roman" w:cs="Times New Roman"/>
                <w:color w:val="000000"/>
                <w:sz w:val="24"/>
                <w:szCs w:val="24"/>
                <w:vertAlign w:val="superscript"/>
              </w:rPr>
              <w:t>1</w:t>
            </w:r>
          </w:p>
        </w:tc>
        <w:tc>
          <w:tcPr>
            <w:tcW w:w="2592" w:type="dxa"/>
            <w:tcBorders>
              <w:top w:val="single" w:sz="12" w:space="0" w:color="auto"/>
            </w:tcBorders>
          </w:tcPr>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Минимальный интервал между второй и третьей дозами</w:t>
            </w:r>
            <w:r>
              <w:rPr>
                <w:rFonts w:ascii="Times New Roman" w:hAnsi="Times New Roman" w:cs="Times New Roman"/>
                <w:color w:val="000000"/>
                <w:sz w:val="24"/>
                <w:szCs w:val="24"/>
                <w:vertAlign w:val="superscript"/>
              </w:rPr>
              <w:t>1</w:t>
            </w:r>
          </w:p>
        </w:tc>
        <w:tc>
          <w:tcPr>
            <w:tcW w:w="2592" w:type="dxa"/>
            <w:tcBorders>
              <w:top w:val="single" w:sz="12" w:space="0" w:color="auto"/>
            </w:tcBorders>
          </w:tcPr>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Минимальный интервал между третьей и четвертой дозами</w:t>
            </w:r>
            <w:r>
              <w:rPr>
                <w:rFonts w:ascii="Times New Roman" w:hAnsi="Times New Roman" w:cs="Times New Roman"/>
                <w:color w:val="000000"/>
                <w:sz w:val="24"/>
                <w:szCs w:val="24"/>
                <w:vertAlign w:val="superscript"/>
              </w:rPr>
              <w:t>1</w:t>
            </w:r>
          </w:p>
        </w:tc>
      </w:tr>
      <w:tr w:rsidR="00273F1C">
        <w:tc>
          <w:tcPr>
            <w:tcW w:w="3060" w:type="dxa"/>
            <w:tcBorders>
              <w:bottom w:val="single" w:sz="12" w:space="0" w:color="auto"/>
            </w:tcBorders>
          </w:tcPr>
          <w:p w:rsidR="00273F1C" w:rsidRDefault="00273F1C">
            <w:pPr>
              <w:widowControl w:val="0"/>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АКДС (АДС)</w:t>
            </w:r>
            <w:r>
              <w:rPr>
                <w:rFonts w:ascii="Times New Roman" w:hAnsi="Times New Roman" w:cs="Times New Roman"/>
                <w:color w:val="000000"/>
                <w:sz w:val="24"/>
                <w:szCs w:val="24"/>
                <w:vertAlign w:val="superscript"/>
              </w:rPr>
              <w:t>2</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Комбинированная вакцина АКДС+Hib </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АбКДС</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Hib (первичные серии)</w:t>
            </w:r>
          </w:p>
          <w:p w:rsidR="00273F1C" w:rsidRP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HbOC</w:t>
            </w:r>
          </w:p>
          <w:p w:rsidR="00273F1C" w:rsidRPr="00273F1C" w:rsidRDefault="00273F1C">
            <w:pPr>
              <w:widowControl w:val="0"/>
              <w:jc w:val="both"/>
              <w:rPr>
                <w:rFonts w:ascii="Times New Roman" w:hAnsi="Times New Roman" w:cs="Times New Roman"/>
                <w:color w:val="000000"/>
                <w:sz w:val="24"/>
                <w:szCs w:val="24"/>
              </w:rPr>
            </w:pPr>
            <w:r w:rsidRPr="00273F1C">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PRP</w:t>
            </w:r>
            <w:r w:rsidRPr="00273F1C">
              <w:rPr>
                <w:rFonts w:ascii="Times New Roman" w:hAnsi="Times New Roman" w:cs="Times New Roman"/>
                <w:color w:val="000000"/>
                <w:sz w:val="24"/>
                <w:szCs w:val="24"/>
              </w:rPr>
              <w:t>-</w:t>
            </w:r>
            <w:r>
              <w:rPr>
                <w:rFonts w:ascii="Times New Roman" w:hAnsi="Times New Roman" w:cs="Times New Roman"/>
                <w:color w:val="000000"/>
                <w:sz w:val="24"/>
                <w:szCs w:val="24"/>
                <w:lang w:val="en-US"/>
              </w:rPr>
              <w:t>T</w:t>
            </w:r>
          </w:p>
          <w:p w:rsidR="00273F1C" w:rsidRPr="00273F1C" w:rsidRDefault="00273F1C">
            <w:pPr>
              <w:widowControl w:val="0"/>
              <w:jc w:val="both"/>
              <w:rPr>
                <w:rFonts w:ascii="Times New Roman" w:hAnsi="Times New Roman" w:cs="Times New Roman"/>
                <w:color w:val="000000"/>
                <w:sz w:val="24"/>
                <w:szCs w:val="24"/>
              </w:rPr>
            </w:pPr>
            <w:r w:rsidRPr="00273F1C">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PRP</w:t>
            </w:r>
            <w:r w:rsidRPr="00273F1C">
              <w:rPr>
                <w:rFonts w:ascii="Times New Roman" w:hAnsi="Times New Roman" w:cs="Times New Roman"/>
                <w:color w:val="000000"/>
                <w:sz w:val="24"/>
                <w:szCs w:val="24"/>
              </w:rPr>
              <w:t>-</w:t>
            </w:r>
            <w:r>
              <w:rPr>
                <w:rFonts w:ascii="Times New Roman" w:hAnsi="Times New Roman" w:cs="Times New Roman"/>
                <w:color w:val="000000"/>
                <w:sz w:val="24"/>
                <w:szCs w:val="24"/>
                <w:lang w:val="en-US"/>
              </w:rPr>
              <w:t>OMP</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ОПВ</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ИПВ</w:t>
            </w:r>
            <w:r>
              <w:rPr>
                <w:rFonts w:ascii="Times New Roman" w:hAnsi="Times New Roman" w:cs="Times New Roman"/>
                <w:color w:val="000000"/>
                <w:sz w:val="24"/>
                <w:szCs w:val="24"/>
                <w:vertAlign w:val="superscript"/>
              </w:rPr>
              <w:t>3</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Корь, Паротит, Краснуха</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Гепатит В</w:t>
            </w:r>
          </w:p>
        </w:tc>
        <w:tc>
          <w:tcPr>
            <w:tcW w:w="2592" w:type="dxa"/>
            <w:tcBorders>
              <w:bottom w:val="single" w:sz="12" w:space="0" w:color="auto"/>
            </w:tcBorders>
          </w:tcPr>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недель</w:t>
            </w:r>
            <w:r>
              <w:rPr>
                <w:rFonts w:ascii="Times New Roman" w:hAnsi="Times New Roman" w:cs="Times New Roman"/>
                <w:color w:val="000000"/>
                <w:sz w:val="24"/>
                <w:szCs w:val="24"/>
                <w:vertAlign w:val="superscript"/>
              </w:rPr>
              <w:t>4</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недель</w:t>
            </w:r>
          </w:p>
          <w:p w:rsidR="00273F1C" w:rsidRDefault="00273F1C">
            <w:pPr>
              <w:widowControl w:val="0"/>
              <w:jc w:val="both"/>
              <w:rPr>
                <w:rFonts w:ascii="Times New Roman" w:hAnsi="Times New Roman" w:cs="Times New Roman"/>
                <w:color w:val="000000"/>
                <w:sz w:val="24"/>
                <w:szCs w:val="24"/>
              </w:rPr>
            </w:pP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15 месяцев</w:t>
            </w:r>
          </w:p>
          <w:p w:rsidR="00273F1C" w:rsidRDefault="00273F1C">
            <w:pPr>
              <w:widowControl w:val="0"/>
              <w:jc w:val="both"/>
              <w:rPr>
                <w:rFonts w:ascii="Times New Roman" w:hAnsi="Times New Roman" w:cs="Times New Roman"/>
                <w:color w:val="000000"/>
                <w:sz w:val="24"/>
                <w:szCs w:val="24"/>
              </w:rPr>
            </w:pP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недель</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недель</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недель</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недель</w:t>
            </w:r>
            <w:r>
              <w:rPr>
                <w:rFonts w:ascii="Times New Roman" w:hAnsi="Times New Roman" w:cs="Times New Roman"/>
                <w:color w:val="000000"/>
                <w:sz w:val="24"/>
                <w:szCs w:val="24"/>
                <w:vertAlign w:val="superscript"/>
              </w:rPr>
              <w:t>4</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недель</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12 месяцев</w:t>
            </w:r>
            <w:r>
              <w:rPr>
                <w:rFonts w:ascii="Times New Roman" w:hAnsi="Times New Roman" w:cs="Times New Roman"/>
                <w:color w:val="000000"/>
                <w:sz w:val="24"/>
                <w:szCs w:val="24"/>
                <w:vertAlign w:val="superscript"/>
              </w:rPr>
              <w:t>4</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рождении</w:t>
            </w:r>
          </w:p>
        </w:tc>
        <w:tc>
          <w:tcPr>
            <w:tcW w:w="2592" w:type="dxa"/>
            <w:tcBorders>
              <w:bottom w:val="single" w:sz="12" w:space="0" w:color="auto"/>
            </w:tcBorders>
          </w:tcPr>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недель</w:t>
            </w:r>
            <w:r>
              <w:rPr>
                <w:rFonts w:ascii="Times New Roman" w:hAnsi="Times New Roman" w:cs="Times New Roman"/>
                <w:color w:val="000000"/>
                <w:sz w:val="24"/>
                <w:szCs w:val="24"/>
                <w:vertAlign w:val="superscript"/>
              </w:rPr>
              <w:t>4</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месяц</w:t>
            </w:r>
          </w:p>
          <w:p w:rsidR="00273F1C" w:rsidRDefault="00273F1C">
            <w:pPr>
              <w:widowControl w:val="0"/>
              <w:jc w:val="both"/>
              <w:rPr>
                <w:rFonts w:ascii="Times New Roman" w:hAnsi="Times New Roman" w:cs="Times New Roman"/>
                <w:color w:val="000000"/>
                <w:sz w:val="24"/>
                <w:szCs w:val="24"/>
              </w:rPr>
            </w:pP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месяц</w:t>
            </w:r>
          </w:p>
          <w:p w:rsidR="00273F1C" w:rsidRDefault="00273F1C">
            <w:pPr>
              <w:widowControl w:val="0"/>
              <w:jc w:val="both"/>
              <w:rPr>
                <w:rFonts w:ascii="Times New Roman" w:hAnsi="Times New Roman" w:cs="Times New Roman"/>
                <w:color w:val="000000"/>
                <w:sz w:val="24"/>
                <w:szCs w:val="24"/>
              </w:rPr>
            </w:pP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месяц</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месяц</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месяц</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недель</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4 недели</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месяц</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месяц</w:t>
            </w:r>
          </w:p>
        </w:tc>
        <w:tc>
          <w:tcPr>
            <w:tcW w:w="2592" w:type="dxa"/>
            <w:tcBorders>
              <w:bottom w:val="single" w:sz="12" w:space="0" w:color="auto"/>
            </w:tcBorders>
          </w:tcPr>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4 недели</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месяц</w:t>
            </w:r>
          </w:p>
          <w:p w:rsidR="00273F1C" w:rsidRDefault="00273F1C">
            <w:pPr>
              <w:widowControl w:val="0"/>
              <w:jc w:val="both"/>
              <w:rPr>
                <w:rFonts w:ascii="Times New Roman" w:hAnsi="Times New Roman" w:cs="Times New Roman"/>
                <w:color w:val="000000"/>
                <w:sz w:val="24"/>
                <w:szCs w:val="24"/>
              </w:rPr>
            </w:pP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месяц</w:t>
            </w:r>
          </w:p>
          <w:p w:rsidR="00273F1C" w:rsidRDefault="00273F1C">
            <w:pPr>
              <w:widowControl w:val="0"/>
              <w:jc w:val="both"/>
              <w:rPr>
                <w:rFonts w:ascii="Times New Roman" w:hAnsi="Times New Roman" w:cs="Times New Roman"/>
                <w:color w:val="000000"/>
                <w:sz w:val="24"/>
                <w:szCs w:val="24"/>
              </w:rPr>
            </w:pP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месяц</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месяц</w:t>
            </w:r>
          </w:p>
          <w:p w:rsidR="00273F1C" w:rsidRDefault="00273F1C">
            <w:pPr>
              <w:widowControl w:val="0"/>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5</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недель</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месяцев</w:t>
            </w:r>
            <w:r>
              <w:rPr>
                <w:rFonts w:ascii="Times New Roman" w:hAnsi="Times New Roman" w:cs="Times New Roman"/>
                <w:color w:val="000000"/>
                <w:sz w:val="24"/>
                <w:szCs w:val="24"/>
                <w:vertAlign w:val="superscript"/>
              </w:rPr>
              <w:t>6</w:t>
            </w:r>
          </w:p>
          <w:p w:rsidR="00273F1C" w:rsidRDefault="00273F1C">
            <w:pPr>
              <w:widowControl w:val="0"/>
              <w:jc w:val="both"/>
              <w:rPr>
                <w:rFonts w:ascii="Times New Roman" w:hAnsi="Times New Roman" w:cs="Times New Roman"/>
                <w:color w:val="000000"/>
                <w:sz w:val="24"/>
                <w:szCs w:val="24"/>
              </w:rPr>
            </w:pP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2 месяца</w:t>
            </w:r>
            <w:r>
              <w:rPr>
                <w:rFonts w:ascii="Times New Roman" w:hAnsi="Times New Roman" w:cs="Times New Roman"/>
                <w:color w:val="000000"/>
                <w:sz w:val="24"/>
                <w:szCs w:val="24"/>
                <w:vertAlign w:val="superscript"/>
              </w:rPr>
              <w:t>7</w:t>
            </w:r>
          </w:p>
          <w:p w:rsidR="00273F1C" w:rsidRDefault="00273F1C">
            <w:pPr>
              <w:widowControl w:val="0"/>
              <w:jc w:val="both"/>
              <w:rPr>
                <w:rFonts w:ascii="Times New Roman" w:hAnsi="Times New Roman" w:cs="Times New Roman"/>
                <w:color w:val="000000"/>
                <w:sz w:val="24"/>
                <w:szCs w:val="24"/>
              </w:rPr>
            </w:pPr>
          </w:p>
        </w:tc>
        <w:tc>
          <w:tcPr>
            <w:tcW w:w="2592" w:type="dxa"/>
            <w:tcBorders>
              <w:bottom w:val="single" w:sz="12" w:space="0" w:color="auto"/>
            </w:tcBorders>
          </w:tcPr>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месяцев</w:t>
            </w: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месяцев</w:t>
            </w:r>
          </w:p>
          <w:p w:rsidR="00273F1C" w:rsidRDefault="00273F1C">
            <w:pPr>
              <w:widowControl w:val="0"/>
              <w:jc w:val="both"/>
              <w:rPr>
                <w:rFonts w:ascii="Times New Roman" w:hAnsi="Times New Roman" w:cs="Times New Roman"/>
                <w:color w:val="000000"/>
                <w:sz w:val="24"/>
                <w:szCs w:val="24"/>
              </w:rPr>
            </w:pPr>
          </w:p>
          <w:p w:rsidR="00273F1C" w:rsidRDefault="00273F1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6 месяцев</w:t>
            </w:r>
          </w:p>
          <w:p w:rsidR="00273F1C" w:rsidRDefault="00273F1C">
            <w:pPr>
              <w:widowControl w:val="0"/>
              <w:jc w:val="both"/>
              <w:rPr>
                <w:rFonts w:ascii="Times New Roman" w:hAnsi="Times New Roman" w:cs="Times New Roman"/>
                <w:color w:val="000000"/>
                <w:sz w:val="24"/>
                <w:szCs w:val="24"/>
              </w:rPr>
            </w:pPr>
          </w:p>
          <w:p w:rsidR="00273F1C" w:rsidRDefault="00273F1C">
            <w:pPr>
              <w:widowControl w:val="0"/>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5</w:t>
            </w:r>
          </w:p>
          <w:p w:rsidR="00273F1C" w:rsidRDefault="00273F1C">
            <w:pPr>
              <w:widowControl w:val="0"/>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5</w:t>
            </w:r>
          </w:p>
          <w:p w:rsidR="00273F1C" w:rsidRDefault="00273F1C">
            <w:pPr>
              <w:widowControl w:val="0"/>
              <w:jc w:val="both"/>
              <w:rPr>
                <w:rFonts w:ascii="Times New Roman" w:hAnsi="Times New Roman" w:cs="Times New Roman"/>
                <w:color w:val="000000"/>
                <w:sz w:val="24"/>
                <w:szCs w:val="24"/>
              </w:rPr>
            </w:pPr>
          </w:p>
          <w:p w:rsidR="00273F1C" w:rsidRDefault="00273F1C">
            <w:pPr>
              <w:widowControl w:val="0"/>
              <w:jc w:val="both"/>
              <w:rPr>
                <w:rFonts w:ascii="Times New Roman" w:hAnsi="Times New Roman" w:cs="Times New Roman"/>
                <w:color w:val="000000"/>
                <w:sz w:val="24"/>
                <w:szCs w:val="24"/>
              </w:rPr>
            </w:pPr>
          </w:p>
        </w:tc>
      </w:tr>
    </w:tbl>
    <w:p w:rsidR="00273F1C" w:rsidRDefault="00273F1C">
      <w:pPr>
        <w:widowControl w:val="0"/>
        <w:spacing w:before="120"/>
        <w:ind w:firstLine="567"/>
        <w:jc w:val="both"/>
        <w:rPr>
          <w:rFonts w:ascii="Times New Roman" w:hAnsi="Times New Roman" w:cs="Times New Roman"/>
          <w:color w:val="000000"/>
          <w:sz w:val="24"/>
          <w:szCs w:val="24"/>
        </w:rPr>
      </w:pPr>
    </w:p>
    <w:p w:rsidR="00273F1C" w:rsidRDefault="00273F1C">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w:t>
      </w:r>
    </w:p>
    <w:p w:rsidR="00273F1C" w:rsidRDefault="00273F1C">
      <w:pPr>
        <w:widowControl w:val="0"/>
        <w:spacing w:before="120"/>
        <w:ind w:firstLine="567"/>
        <w:jc w:val="both"/>
        <w:rPr>
          <w:rFonts w:ascii="Times New Roman" w:hAnsi="Times New Roman" w:cs="Times New Roman"/>
          <w:color w:val="000000"/>
          <w:sz w:val="24"/>
          <w:szCs w:val="24"/>
        </w:rPr>
      </w:pPr>
      <w:r>
        <w:rPr>
          <w:rStyle w:val="a3"/>
          <w:rFonts w:ascii="Times New Roman" w:hAnsi="Times New Roman" w:cs="Times New Roman"/>
          <w:color w:val="000000"/>
          <w:sz w:val="24"/>
          <w:szCs w:val="24"/>
        </w:rPr>
        <w:t>1</w:t>
      </w:r>
      <w:r>
        <w:rPr>
          <w:rFonts w:ascii="Times New Roman" w:hAnsi="Times New Roman" w:cs="Times New Roman"/>
          <w:color w:val="000000"/>
          <w:sz w:val="24"/>
          <w:szCs w:val="24"/>
        </w:rPr>
        <w:t xml:space="preserve">Эти минимально допустимые возраста и интервалы могут не совпадать с оптимальными рекомендуемым возрастом и интервалами для вакцинации. См. таблицы 3-5 в “Основных рекомендациях по иммунизации” ККВ для ознакомления с текущими рекомендуемыми процедурами и ускоренными схемами вакцинации. </w:t>
      </w:r>
    </w:p>
    <w:p w:rsidR="00273F1C" w:rsidRDefault="00273F1C">
      <w:pPr>
        <w:widowControl w:val="0"/>
        <w:spacing w:before="120"/>
        <w:ind w:firstLine="567"/>
        <w:jc w:val="both"/>
        <w:rPr>
          <w:rFonts w:ascii="Times New Roman" w:hAnsi="Times New Roman" w:cs="Times New Roman"/>
          <w:color w:val="000000"/>
          <w:sz w:val="24"/>
          <w:szCs w:val="24"/>
        </w:rPr>
      </w:pPr>
      <w:r>
        <w:rPr>
          <w:rStyle w:val="a3"/>
          <w:rFonts w:ascii="Times New Roman" w:hAnsi="Times New Roman" w:cs="Times New Roman"/>
          <w:color w:val="000000"/>
          <w:sz w:val="24"/>
          <w:szCs w:val="24"/>
        </w:rPr>
        <w:t>2</w:t>
      </w:r>
      <w:r>
        <w:rPr>
          <w:rFonts w:ascii="Times New Roman" w:hAnsi="Times New Roman" w:cs="Times New Roman"/>
          <w:color w:val="000000"/>
          <w:sz w:val="24"/>
          <w:szCs w:val="24"/>
        </w:rPr>
        <w:t xml:space="preserve"> АбКДС можно использовать вместо четвертой (и пятой) дозы  для детей достигших возраста 15 месяцев. Дети, которые получили все четыре дозы вакцины до того, как им исполнилось четыре года, должны получить пятую дозу АКДС (АДС) или АбКДС в возрасте 4-6 лет до поступления в детский сад или начальную школу, и по крайней мере через 6 месяцев после четвертой дозы. Общее количество доз прививок от дифтерии и столбняка не должно превышать шести до достижения ребенком возраста 7 лет.</w:t>
      </w:r>
    </w:p>
    <w:p w:rsidR="00273F1C" w:rsidRDefault="00273F1C">
      <w:pPr>
        <w:widowControl w:val="0"/>
        <w:spacing w:before="120"/>
        <w:ind w:firstLine="567"/>
        <w:jc w:val="both"/>
        <w:rPr>
          <w:rFonts w:ascii="Times New Roman" w:hAnsi="Times New Roman" w:cs="Times New Roman"/>
          <w:color w:val="000000"/>
          <w:sz w:val="24"/>
          <w:szCs w:val="24"/>
        </w:rPr>
      </w:pPr>
      <w:r>
        <w:rPr>
          <w:rStyle w:val="a3"/>
          <w:rFonts w:ascii="Times New Roman" w:hAnsi="Times New Roman" w:cs="Times New Roman"/>
          <w:color w:val="000000"/>
          <w:sz w:val="24"/>
          <w:szCs w:val="24"/>
        </w:rPr>
        <w:t xml:space="preserve">3 </w:t>
      </w:r>
      <w:r>
        <w:rPr>
          <w:rFonts w:ascii="Times New Roman" w:hAnsi="Times New Roman" w:cs="Times New Roman"/>
          <w:color w:val="000000"/>
          <w:sz w:val="24"/>
          <w:szCs w:val="24"/>
        </w:rPr>
        <w:t>См. текст для определения различий между обычной инактивированной полио вакциной и усиленной инактивированной полиовакциной.</w:t>
      </w:r>
    </w:p>
    <w:p w:rsidR="00273F1C" w:rsidRDefault="00273F1C">
      <w:pPr>
        <w:widowControl w:val="0"/>
        <w:spacing w:before="120"/>
        <w:ind w:firstLine="567"/>
        <w:jc w:val="both"/>
        <w:rPr>
          <w:rFonts w:ascii="Times New Roman" w:hAnsi="Times New Roman" w:cs="Times New Roman"/>
          <w:color w:val="000000"/>
          <w:sz w:val="24"/>
          <w:szCs w:val="24"/>
        </w:rPr>
      </w:pPr>
      <w:r>
        <w:rPr>
          <w:rStyle w:val="a3"/>
          <w:rFonts w:ascii="Times New Roman" w:hAnsi="Times New Roman" w:cs="Times New Roman"/>
          <w:color w:val="000000"/>
          <w:sz w:val="24"/>
          <w:szCs w:val="24"/>
        </w:rPr>
        <w:t xml:space="preserve">4 </w:t>
      </w:r>
      <w:r>
        <w:rPr>
          <w:rFonts w:ascii="Times New Roman" w:hAnsi="Times New Roman" w:cs="Times New Roman"/>
          <w:color w:val="000000"/>
          <w:sz w:val="24"/>
          <w:szCs w:val="24"/>
        </w:rPr>
        <w:t xml:space="preserve">Американская Академия педиатрии разрешает использование АКДС и ОПВ в возрасте 4 недель в местностях с повышенной эндемичностью и во время вспышек эпидемий.  </w:t>
      </w:r>
    </w:p>
    <w:p w:rsidR="00273F1C" w:rsidRDefault="00273F1C">
      <w:pPr>
        <w:widowControl w:val="0"/>
        <w:spacing w:before="120"/>
        <w:ind w:firstLine="567"/>
        <w:jc w:val="both"/>
        <w:rPr>
          <w:rFonts w:ascii="Times New Roman" w:hAnsi="Times New Roman" w:cs="Times New Roman"/>
          <w:color w:val="000000"/>
          <w:sz w:val="24"/>
          <w:szCs w:val="24"/>
        </w:rPr>
      </w:pPr>
      <w:r>
        <w:rPr>
          <w:rStyle w:val="a3"/>
          <w:rFonts w:ascii="Times New Roman" w:hAnsi="Times New Roman" w:cs="Times New Roman"/>
          <w:color w:val="000000"/>
          <w:sz w:val="24"/>
          <w:szCs w:val="24"/>
        </w:rPr>
        <w:t xml:space="preserve">5 </w:t>
      </w:r>
      <w:r>
        <w:rPr>
          <w:rFonts w:ascii="Times New Roman" w:hAnsi="Times New Roman" w:cs="Times New Roman"/>
          <w:color w:val="000000"/>
          <w:sz w:val="24"/>
          <w:szCs w:val="24"/>
        </w:rPr>
        <w:t>Рекомендуется прививать бустерную дозу вакцины Hib после первичной серии вакцинаций не ранее чем по достижении возраста 12 месяцев  и по крайней мере  через два месяца после получения предыдущей дозы вакцины Hib. (См. таблицы 3 и 4 в “Основных рекомендациях по иммунизации” ККВ)</w:t>
      </w:r>
    </w:p>
    <w:p w:rsidR="00273F1C" w:rsidRDefault="00273F1C">
      <w:pPr>
        <w:widowControl w:val="0"/>
        <w:spacing w:before="120"/>
        <w:ind w:firstLine="567"/>
        <w:jc w:val="both"/>
        <w:rPr>
          <w:rFonts w:ascii="Times New Roman" w:hAnsi="Times New Roman" w:cs="Times New Roman"/>
          <w:color w:val="000000"/>
          <w:sz w:val="24"/>
          <w:szCs w:val="24"/>
        </w:rPr>
      </w:pPr>
      <w:r>
        <w:rPr>
          <w:rStyle w:val="a3"/>
          <w:rFonts w:ascii="Times New Roman" w:hAnsi="Times New Roman" w:cs="Times New Roman"/>
          <w:color w:val="000000"/>
          <w:sz w:val="24"/>
          <w:szCs w:val="24"/>
        </w:rPr>
        <w:t xml:space="preserve">6 </w:t>
      </w:r>
      <w:r>
        <w:rPr>
          <w:rFonts w:ascii="Times New Roman" w:hAnsi="Times New Roman" w:cs="Times New Roman"/>
          <w:color w:val="000000"/>
          <w:sz w:val="24"/>
          <w:szCs w:val="24"/>
        </w:rPr>
        <w:t>Для тех непривитых взрослых, кто будет находиться в группе повышенного риска заболевания полиомиелитом, если имеется от 2 до 3 месяцев до того момента, как необходима защита, нужно использовать три дозы ИПВ с минимальным промежутком в один месяц.</w:t>
      </w:r>
    </w:p>
    <w:p w:rsidR="00273F1C" w:rsidRDefault="00273F1C">
      <w:pPr>
        <w:widowControl w:val="0"/>
        <w:spacing w:before="120"/>
        <w:ind w:firstLine="567"/>
        <w:jc w:val="both"/>
        <w:rPr>
          <w:rFonts w:ascii="Times New Roman" w:hAnsi="Times New Roman" w:cs="Times New Roman"/>
          <w:color w:val="000000"/>
          <w:sz w:val="24"/>
          <w:szCs w:val="24"/>
        </w:rPr>
      </w:pPr>
      <w:r>
        <w:rPr>
          <w:rStyle w:val="a3"/>
          <w:rFonts w:ascii="Times New Roman" w:hAnsi="Times New Roman" w:cs="Times New Roman"/>
          <w:color w:val="000000"/>
          <w:sz w:val="24"/>
          <w:szCs w:val="24"/>
        </w:rPr>
        <w:t xml:space="preserve">7 </w:t>
      </w:r>
      <w:r>
        <w:rPr>
          <w:rFonts w:ascii="Times New Roman" w:hAnsi="Times New Roman" w:cs="Times New Roman"/>
          <w:color w:val="000000"/>
          <w:sz w:val="24"/>
          <w:szCs w:val="24"/>
        </w:rPr>
        <w:t>Рекомендуется  привить последнюю дозу не ранее, чем ребенок достигнет 6 месячного возраста.</w:t>
      </w:r>
    </w:p>
    <w:p w:rsidR="00273F1C" w:rsidRDefault="00273F1C">
      <w:pPr>
        <w:widowControl w:val="0"/>
        <w:spacing w:before="120"/>
        <w:ind w:firstLine="567"/>
        <w:jc w:val="both"/>
        <w:rPr>
          <w:rFonts w:ascii="Times New Roman" w:hAnsi="Times New Roman" w:cs="Times New Roman"/>
          <w:color w:val="000000"/>
          <w:sz w:val="24"/>
          <w:szCs w:val="24"/>
        </w:rPr>
      </w:pPr>
      <w:bookmarkStart w:id="0" w:name="_GoBack"/>
      <w:bookmarkEnd w:id="0"/>
    </w:p>
    <w:sectPr w:rsidR="00273F1C">
      <w:pgSz w:w="11906" w:h="16838" w:code="1"/>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372"/>
    <w:rsid w:val="00273F1C"/>
    <w:rsid w:val="00397372"/>
    <w:rsid w:val="00A126C1"/>
    <w:rsid w:val="00BD14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0B95102-5244-4E63-A37C-845F1599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ET" w:hAnsi="TimesET" w:cs="TimesET"/>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rPr>
      <w:vertAlign w:val="superscript"/>
    </w:rPr>
  </w:style>
  <w:style w:type="paragraph" w:styleId="a4">
    <w:name w:val="endnote text"/>
    <w:basedOn w:val="a"/>
    <w:link w:val="a5"/>
    <w:uiPriority w:val="99"/>
    <w:semiHidden/>
  </w:style>
  <w:style w:type="character" w:customStyle="1" w:styleId="a5">
    <w:name w:val="Текст концевой сноски Знак"/>
    <w:basedOn w:val="a0"/>
    <w:link w:val="a4"/>
    <w:uiPriority w:val="99"/>
    <w:semiHidden/>
    <w:rPr>
      <w:rFonts w:ascii="TimesET" w:hAnsi="TimesET" w:cs="TimesET"/>
      <w:sz w:val="20"/>
      <w:szCs w:val="20"/>
      <w:lang w:val="ru-RU" w:eastAsia="ru-RU"/>
    </w:rPr>
  </w:style>
  <w:style w:type="paragraph" w:styleId="a6">
    <w:name w:val="header"/>
    <w:basedOn w:val="a"/>
    <w:link w:val="a7"/>
    <w:uiPriority w:val="99"/>
    <w:pPr>
      <w:tabs>
        <w:tab w:val="center" w:pos="4320"/>
        <w:tab w:val="right" w:pos="8640"/>
      </w:tabs>
    </w:pPr>
  </w:style>
  <w:style w:type="character" w:customStyle="1" w:styleId="a7">
    <w:name w:val="Верхний колонтитул Знак"/>
    <w:basedOn w:val="a0"/>
    <w:link w:val="a6"/>
    <w:uiPriority w:val="99"/>
    <w:semiHidden/>
    <w:rPr>
      <w:rFonts w:ascii="TimesET" w:hAnsi="TimesET" w:cs="TimesET"/>
      <w:sz w:val="20"/>
      <w:szCs w:val="20"/>
      <w:lang w:val="ru-RU" w:eastAsia="ru-RU"/>
    </w:rPr>
  </w:style>
  <w:style w:type="paragraph" w:styleId="a8">
    <w:name w:val="footer"/>
    <w:basedOn w:val="a"/>
    <w:link w:val="a9"/>
    <w:uiPriority w:val="99"/>
    <w:pPr>
      <w:tabs>
        <w:tab w:val="center" w:pos="4320"/>
        <w:tab w:val="right" w:pos="8640"/>
      </w:tabs>
    </w:pPr>
  </w:style>
  <w:style w:type="character" w:customStyle="1" w:styleId="a9">
    <w:name w:val="Нижний колонтитул Знак"/>
    <w:basedOn w:val="a0"/>
    <w:link w:val="a8"/>
    <w:uiPriority w:val="99"/>
    <w:semiHidden/>
    <w:rPr>
      <w:rFonts w:ascii="TimesET" w:hAnsi="TimesET" w:cs="TimesET"/>
      <w:sz w:val="20"/>
      <w:szCs w:val="20"/>
      <w:lang w:val="ru-RU" w:eastAsia="ru-RU"/>
    </w:rPr>
  </w:style>
  <w:style w:type="character" w:styleId="aa">
    <w:name w:val="page number"/>
    <w:basedOn w:val="a0"/>
    <w:uiPriority w:val="99"/>
  </w:style>
  <w:style w:type="paragraph" w:styleId="ab">
    <w:name w:val="footnote text"/>
    <w:basedOn w:val="a"/>
    <w:link w:val="ac"/>
    <w:uiPriority w:val="99"/>
    <w:semiHidden/>
  </w:style>
  <w:style w:type="character" w:customStyle="1" w:styleId="ac">
    <w:name w:val="Текст сноски Знак"/>
    <w:basedOn w:val="a0"/>
    <w:link w:val="ab"/>
    <w:uiPriority w:val="99"/>
    <w:semiHidden/>
    <w:rPr>
      <w:rFonts w:ascii="TimesET" w:hAnsi="TimesET" w:cs="TimesET"/>
      <w:sz w:val="20"/>
      <w:szCs w:val="20"/>
      <w:lang w:val="ru-RU" w:eastAsia="ru-RU"/>
    </w:rPr>
  </w:style>
  <w:style w:type="character" w:styleId="ad">
    <w:name w:val="footnote reference"/>
    <w:basedOn w:val="a0"/>
    <w:uiPriority w:val="99"/>
    <w:semiHidden/>
    <w:rPr>
      <w:vertAlign w:val="superscript"/>
    </w:rPr>
  </w:style>
  <w:style w:type="character" w:styleId="ae">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1680</Words>
  <Characters>959</Characters>
  <Application>Microsoft Office Word</Application>
  <DocSecurity>0</DocSecurity>
  <Lines>7</Lines>
  <Paragraphs>5</Paragraphs>
  <ScaleCrop>false</ScaleCrop>
  <Company>PERSONAL COMPUTERS</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Вакцина_</dc:title>
  <dc:subject/>
  <dc:creator>Alex Bokov</dc:creator>
  <cp:keywords/>
  <dc:description/>
  <cp:lastModifiedBy>admin</cp:lastModifiedBy>
  <cp:revision>2</cp:revision>
  <dcterms:created xsi:type="dcterms:W3CDTF">2014-01-25T23:07:00Z</dcterms:created>
  <dcterms:modified xsi:type="dcterms:W3CDTF">2014-01-25T23:07:00Z</dcterms:modified>
</cp:coreProperties>
</file>