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DA" w:rsidRPr="00E924DA" w:rsidRDefault="00E924DA" w:rsidP="00E924DA">
      <w:pPr>
        <w:spacing w:before="120"/>
        <w:jc w:val="center"/>
        <w:rPr>
          <w:b/>
          <w:bCs/>
          <w:sz w:val="32"/>
          <w:szCs w:val="32"/>
        </w:rPr>
      </w:pPr>
      <w:r w:rsidRPr="00E924DA">
        <w:rPr>
          <w:b/>
          <w:bCs/>
          <w:sz w:val="32"/>
          <w:szCs w:val="32"/>
        </w:rPr>
        <w:t xml:space="preserve">Эффективность проектов - давайте считать одинаково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Никонова Ирина Александровна, заместитель председателя правления АКБ "Межрегиональ-ный инвестиционный банк".</w:t>
      </w:r>
      <w:r>
        <w:t xml:space="preserve"> </w:t>
      </w:r>
      <w:r w:rsidRPr="00E924DA">
        <w:t xml:space="preserve">Шамгунов Равиль Назимович, заместитель начальника управления проектного финансирования АКБ "Межрегиональный инвестиционный банк" </w:t>
      </w:r>
    </w:p>
    <w:p w:rsidR="00E924DA" w:rsidRDefault="00E924DA" w:rsidP="00E924DA">
      <w:pPr>
        <w:spacing w:before="120"/>
        <w:ind w:firstLine="567"/>
        <w:jc w:val="both"/>
      </w:pPr>
      <w:r w:rsidRPr="00E924DA">
        <w:t>Многолетний опыт разработки бизнес-планов и оценки эффективности различных проектов показал, что, несмотря на использование общепринятых в мировой практике критериев, расчет их</w:t>
      </w:r>
      <w:r>
        <w:t xml:space="preserve"> </w:t>
      </w:r>
      <w:r w:rsidRPr="00E924DA">
        <w:t xml:space="preserve">отечественными специалистами зачастую проводится по разным алгоритмам [1,2] c использованием различной структуры денежных потоков. Отсутствует также единая точка зрения на постановки решаемых задач и обоснование выбора ставки дисконтирования.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Цель </w:t>
      </w:r>
      <w:r w:rsidR="00921054">
        <w:t>работы</w:t>
      </w:r>
      <w:r w:rsidRPr="00E924DA">
        <w:t xml:space="preserve"> - рассмотреть постановку типовых задач оценки эффективности инвестиционных проектов и предложить для них соответствующую структуру денежных потоков и ставки дисконтирования.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Напомним терминологию и подходы к оценке эффективности проектов. Основными показателями эффективности инвестиционного проекта (ИП) являются следующие: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период окупаемости - РВ, мес.;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дисконтированный период окупаемости - DPB, мес.;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средняя норма рентабельности - ARR, %;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чистый</w:t>
      </w:r>
      <w:r>
        <w:t xml:space="preserve"> </w:t>
      </w:r>
      <w:r w:rsidRPr="00E924DA">
        <w:t xml:space="preserve">дисконтированный (приведенный) доход - NPV;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индекс прибыльности - PI;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внутренняя норма доходности (рентабельности) - IRR, %;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модифицированная внутренняя норма доходности (рентабельности)</w:t>
      </w:r>
      <w:r>
        <w:t xml:space="preserve"> </w:t>
      </w:r>
      <w:r w:rsidRPr="00E924DA">
        <w:t xml:space="preserve">- MIRR, %;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Формулы для определения показателей приведены в источниках №2-4. Согласно Методическим рекомендациям по оценке эффективности инвестиционных проектов [4, С.121], показатели эффективности всегда относятся к некоторому субъекту: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общественной эффективности - к обществу в целом;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коммерческой эффективности - к реальному или абстрактному юридическому лицу, осуществляющему проект целиком за свой счет;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эффективности участия предприятия в проекте - для этого предприятия;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эффективности инвестирования в акции предприятия - для акционеров акционерных предприятий - участников проекта;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эффективности для структур более высокого уровня - к этим структурам;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бюджетной эффективности - к бюджетам всех уровней.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Показатели эффективности, относящиеся ко всему периоду реализации проекта, называются интегральными.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Рекомендуется оценивать следующие виды эффективности: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эффективность проекта в целом; </w:t>
      </w:r>
    </w:p>
    <w:p w:rsidR="00E924DA" w:rsidRDefault="00E924DA" w:rsidP="00E924DA">
      <w:pPr>
        <w:spacing w:before="120"/>
        <w:ind w:firstLine="567"/>
        <w:jc w:val="both"/>
      </w:pPr>
      <w:r w:rsidRPr="00E924DA">
        <w:t xml:space="preserve">эффективность участия в проекте. 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Под эффективностью проекта в целом понимается</w:t>
      </w:r>
      <w:r>
        <w:t xml:space="preserve"> </w:t>
      </w:r>
      <w:r w:rsidRPr="00E924DA">
        <w:t xml:space="preserve">эффективность проекта, реализуемого «единственным участником как бы за счет собственных средств. По этой причине показатели эффективности определяются на основании денежных потоков только от инвестиционной и операционной деятельности» [4].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Эффективность участия в проекте</w:t>
      </w:r>
      <w:r>
        <w:t xml:space="preserve"> </w:t>
      </w:r>
      <w:r w:rsidRPr="00E924DA">
        <w:t>определяется с целью проверки реализуемого ИП и заинтересованности в нем всех его участников, она включает: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эффективность</w:t>
      </w:r>
      <w:r>
        <w:t xml:space="preserve"> </w:t>
      </w:r>
      <w:r w:rsidRPr="00E924DA">
        <w:t xml:space="preserve">участия предприятий в проекте (эффективность ИП для предприятий-участников);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эффективность инвестирования в акции предприятия (эффективность для</w:t>
      </w:r>
      <w:r>
        <w:t xml:space="preserve"> </w:t>
      </w:r>
      <w:r w:rsidRPr="00E924DA">
        <w:t xml:space="preserve">акционеров акционерных предприятий - участников ИП);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эффективность участия в проекте структур более высокого уровня</w:t>
      </w:r>
      <w:r>
        <w:t xml:space="preserve"> </w:t>
      </w:r>
      <w:r w:rsidRPr="00E924DA">
        <w:t>по отношению к предприятиям - участникам</w:t>
      </w:r>
      <w:r>
        <w:t xml:space="preserve"> </w:t>
      </w:r>
      <w:r w:rsidRPr="00E924DA">
        <w:t xml:space="preserve">ИП;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бюджетную эффективность ИП (эффективность участия государства</w:t>
      </w:r>
      <w:r>
        <w:t xml:space="preserve"> </w:t>
      </w:r>
      <w:r w:rsidRPr="00E924DA">
        <w:t>в проекте с точки зрения расходов и доходов бюджетов всех уровней).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Рассмотрим наиболее часто встречающиеся в практике постановки задачи (Рис.1).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Рис.1</w:t>
      </w:r>
      <w:r>
        <w:t xml:space="preserve"> </w:t>
      </w:r>
      <w:r w:rsidRPr="00E924DA">
        <w:t xml:space="preserve">Постановки задач оценки эффективности проекта </w:t>
      </w:r>
    </w:p>
    <w:p w:rsidR="00E924DA" w:rsidRPr="00E924DA" w:rsidRDefault="00AB6D3B" w:rsidP="00E924D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336pt">
            <v:imagedata r:id="rId5" o:title=""/>
          </v:shape>
        </w:pic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 эффективности проекта в целом (базового NPV [4])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В соответствии с действующими Методическими рекомендациями [4]</w:t>
      </w:r>
      <w:r>
        <w:t xml:space="preserve"> </w:t>
      </w:r>
      <w:r w:rsidRPr="00E924DA">
        <w:t xml:space="preserve">расчет эффективности проекта в целом осуществляется для условной проектной компании на момент начала реализации проекта. При этом расчет проводится с учетом всего объема инвестиций в основные и оборотные средства, необходимых для реализации проекта. Исходный баланс фирмы принимается равным нулю, источники финансирования проекта не учитываются. Поступления и оттоки денежных средств, относящиеся к финансовой деятельности (получение и возврат кредитов, выплата дивидендов, продажа акций и пр.), не учитываются (лизинговые платежи учитываются!). Таким образом, оттоки денежного потока на инвестиционной фазе реализации рассматриваемого проекта сопоставляются в дальнейшем с притоками от продажи продукции или услуг, для которых и создается проектная компания.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Существуют разные виды денежных потоков [5,6]: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Общий денежный поток (gross cash flow - GCF), равный</w:t>
      </w:r>
      <w:r>
        <w:t xml:space="preserve"> </w:t>
      </w:r>
      <w:r w:rsidRPr="00E924DA">
        <w:t xml:space="preserve">чистой прибыли + неденежные расходы (амортизация, резервы по сомнительным долгам) минус неденежные доходы (переоценка валютных активов).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Чистый операционный денежный поток (net operating cash flow - NOCF), равный</w:t>
      </w:r>
      <w:r>
        <w:t xml:space="preserve"> </w:t>
      </w:r>
      <w:r w:rsidRPr="00E924DA">
        <w:t>GCF +</w:t>
      </w:r>
      <w:r>
        <w:t xml:space="preserve"> </w:t>
      </w:r>
      <w:r w:rsidRPr="00E924DA">
        <w:t>"NWC (net working capital - изменение чистого оборотного капитала за рассматриваемый период, интервал времени).</w:t>
      </w:r>
      <w:r>
        <w:t xml:space="preserve"> </w:t>
      </w:r>
      <w:r w:rsidRPr="00E924DA">
        <w:t xml:space="preserve">"NWC равно приросту текущих обязательств минус прирост текущих активов.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Свободный денежный поток (free cash flow - FCF), равный NOCF +</w:t>
      </w:r>
      <w:r>
        <w:t xml:space="preserve"> </w:t>
      </w:r>
      <w:r w:rsidRPr="00E924DA">
        <w:t xml:space="preserve">"Inv (DInvestments - изменение инвестиций во внеоборотные активы, равное притоку средств от продажи внеоборотных активов минус отток средств, связанных с приобретением внеоборотных активов). Поток FCF характеризует денежные средства, которыми располагают все провайдеры (поставщики) финансовых ресурсов для предприятия, как акционеры, так и кредиторы. Этот поток характеризует рыночную стоимость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Остаточный денежный поток (residual cash flow - CFr) или денежный поток к акционерам (cash flow to equity - FCFE), равный</w:t>
      </w:r>
      <w:r>
        <w:t xml:space="preserve"> </w:t>
      </w:r>
      <w:r w:rsidRPr="00E924DA">
        <w:t>FCF +</w:t>
      </w:r>
      <w:r>
        <w:t xml:space="preserve"> </w:t>
      </w:r>
      <w:r w:rsidRPr="00E924DA">
        <w:t xml:space="preserve">"FR (изменение денежных средств от финансовой деятельности, равное разности притоков средств от акционеров и кредиторов и оттоков при возврате заемных средств и уплате процентов за пользование ими). Поток FCFE характеризует остаток денежных средств в распоряжении акционеров после расчетов с кредиторами и показывает рыночную стоимость акционерного капитала предприятия. Поток FCFE , деленный на количество акций предприятия, находящихся в обращении характеризует рыночную цену акции.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Таким образом: </w:t>
      </w:r>
    </w:p>
    <w:p w:rsidR="00E924DA" w:rsidRPr="00E924DA" w:rsidRDefault="00AB6D3B" w:rsidP="00E924DA">
      <w:pPr>
        <w:spacing w:before="120"/>
        <w:ind w:firstLine="567"/>
        <w:jc w:val="both"/>
      </w:pPr>
      <w:r>
        <w:pict>
          <v:shape id="_x0000_i1026" type="#_x0000_t75" style="width:317.25pt;height:43.5pt">
            <v:imagedata r:id="rId6" o:title=""/>
          </v:shape>
        </w:pic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При оценке эффективности проекта в целом должен рассчитываться денежный поток, которым будут располагать все провайдеры (поставщики) финансовых ресурсов для проекта, т.е. FCF. Ставка дисконтирования принимается не ниже показателя ROA действующих предприятий в той же отрасли и с тем же типом продукции и не выше значений, получаемых по модели CAPM [1]. Пример расчета показателя NPV проекта в целом приведен ниже.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Расчет NPV и других показателей эффективности</w:t>
      </w:r>
      <w:r>
        <w:t xml:space="preserve"> </w:t>
      </w:r>
      <w:r w:rsidRPr="00E924DA">
        <w:t xml:space="preserve">проекта при его реализации конкретным предприятием.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В зависимости от предприятия, реализация проекта возможна двумя способами.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1. Реализация проекта</w:t>
      </w:r>
      <w:r>
        <w:t xml:space="preserve"> </w:t>
      </w:r>
      <w:r w:rsidRPr="00E924DA">
        <w:t xml:space="preserve">действующим предприятием, выпускающим различные виды продукции. Исходный (на момент проведения расчетов) баланс предприятия отражает структуру и стоимость собственных и заемных средств предприятия, выраженную в показателе WACC. Тогда: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NPV проекта равен</w:t>
      </w:r>
      <w:r>
        <w:t xml:space="preserve"> </w:t>
      </w:r>
      <w:r w:rsidRPr="00E924DA">
        <w:t>=</w:t>
      </w:r>
      <w:r>
        <w:t xml:space="preserve"> </w:t>
      </w:r>
      <w:r w:rsidRPr="00E924DA">
        <w:t>NPV предпр. с проектом</w:t>
      </w:r>
      <w:r>
        <w:t xml:space="preserve"> </w:t>
      </w:r>
      <w:r w:rsidRPr="00E924DA">
        <w:t>-</w:t>
      </w:r>
      <w:r>
        <w:t xml:space="preserve"> </w:t>
      </w:r>
      <w:r w:rsidRPr="00E924DA">
        <w:t>NPV предпр. без проекта</w:t>
      </w:r>
      <w:r>
        <w:t xml:space="preserve"> </w:t>
      </w:r>
      <w:r w:rsidRPr="00E924DA">
        <w:t xml:space="preserve">(4)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Расчеты потоков для определения NPV могут производиться: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а) без учета источников дополнительного финансирования, которые потребуются для реализации проекта: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рассчитывается FCF с учетом возврата взятых ранее заемных средств и процентов по ним;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 качестве ставки дисконтирования используется показатель WACC предприятия (так как реализация проекта не должна приводить к росту стоимости капитала компании).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Рассчитываемый показатель NPV по существу отражает оценку рыночной стоимости бизнеса предприятия (с проектом и без него), проводимую</w:t>
      </w:r>
      <w:r>
        <w:t xml:space="preserve"> </w:t>
      </w:r>
      <w:r w:rsidRPr="00E924DA">
        <w:t xml:space="preserve">с применением доходного подхода, основанного на прогнозировании затрат и доходов, генерируемым объектом оценки, в будущем.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б) с учетом дополнительных источников финансирования, необходимых для реализации проекта: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к составляющим потока FCF добавляются получаемые предприятием в прогнозный период дополнительные собственные и заемные средства, и вычитается возврат заемных средств и плата за их использование. Этот поток будет характеризовать денежный поток, остающийся в распоряжении акционеров;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ставка дисконтирования должна быть не ниже достигнутого уровня ROE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Рассчитываемый показатель NPV отражает рыночную стоимость акционерного капитала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2. Реализация проекта по схеме проектного финансирования с созданием специальной проектной компании Special Purpose Vehicle (SPV), учредителями которой могут быть различные заинтересованные в проекте организации и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а) расчеты на этапе создания проектной компании.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• без учета источников финансирования: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начальный баланс нулевой;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денежный поток - FCF;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ставка дисконтирования та же, что и при расчете эффективности проекта в целом. </w:t>
      </w:r>
    </w:p>
    <w:p w:rsidR="00E924DA" w:rsidRDefault="00E924DA" w:rsidP="00E924DA">
      <w:pPr>
        <w:spacing w:before="120"/>
        <w:ind w:firstLine="567"/>
        <w:jc w:val="both"/>
      </w:pPr>
      <w:r w:rsidRPr="00E924DA">
        <w:t xml:space="preserve">Рассчитываемый NPV отражает стоимость проекта (бизнеса, связанного с его реализацией); 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• с учетом источников финансирования: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начальный баланс нулевой;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денежный поток - FCFE;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ставка дисконтирования не ниже достигнутого уровня ROE предприятий той же отрасли.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Рассчитываемый NPV отражает стоимость акционерного капитала проектной компании.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б) проект уже T лет реализуется проектной компанией (на момент проведения расчетов баланс проектной компании отражает ее активы и пассивы и учитывает особенности всех источников финансирования, использованных за T лет).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• без учета источников дополнительного финансирования: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денежный поток не учитывает поступления и возврат дополнительных заемных ресурсов и их платность (FCF);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ставка дисконтирования = WACC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 NPV отражает стоимость бизнеса проектной компании без учета дополнительного финансирования;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• с учетом источников дополнительного финансирования: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денежный поток учитывает поступления и возврат как существующих на момент T, так и дополнительных заемных ресурсов и их платность (FCFE);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ставка дисконтирования не ниже достигнутого</w:t>
      </w:r>
      <w:r>
        <w:t xml:space="preserve"> </w:t>
      </w:r>
      <w:r w:rsidRPr="00E924DA">
        <w:t xml:space="preserve">уровня ROE той же отрасли.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 NPV отражает стоимость акционерного капитала проектной компании c учетом дополнительного финансирования.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Постановка задачи оценки эффективности участия в проекте акционера фирмы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При такой постановке: 1) оценивается рыночная стоимость акционерного капитала компании, реализующей проект, и стоимость одной акции; 2) учитывается размер пакета акций, принадлежащих акционеру (контрольный, блокирующий и т.д.); 3) разница между расчетной рыночной ценой пакета и затратами на его приобретение характеризует потенциальный доход акционера (отношение дохода к затратам на приобретение пакета позволяет определить рентабельность инвестиций в акции).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Постановка задачи оценки эффективности участия в проекте кредитора.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Целесообразность кредитования банком предприятия, реализующего проект, определяется</w:t>
      </w:r>
      <w:r>
        <w:t xml:space="preserve"> </w:t>
      </w:r>
      <w:r w:rsidRPr="00E924DA">
        <w:t>положительной величиной NPV потока, в котором</w:t>
      </w:r>
      <w:r>
        <w:t xml:space="preserve"> </w:t>
      </w:r>
      <w:r w:rsidRPr="00E924DA">
        <w:t xml:space="preserve">оттоками являются средства, предоставляемые банком по кредитной линии (или кредиту), а притоками - возврат кредитных ресурсов вместе с процентами. </w:t>
      </w:r>
    </w:p>
    <w:p w:rsidR="00E924DA" w:rsidRPr="00E924DA" w:rsidRDefault="00AB6D3B" w:rsidP="00E924DA">
      <w:pPr>
        <w:spacing w:before="120"/>
        <w:ind w:firstLine="567"/>
        <w:jc w:val="both"/>
      </w:pPr>
      <w:r>
        <w:pict>
          <v:shape id="_x0000_i1027" type="#_x0000_t75" style="width:237.75pt;height:45pt">
            <v:imagedata r:id="rId7" o:title=""/>
          </v:shape>
        </w:pict>
      </w:r>
    </w:p>
    <w:p w:rsidR="00E924DA" w:rsidRDefault="00E924DA" w:rsidP="00E924DA">
      <w:pPr>
        <w:spacing w:before="120"/>
        <w:ind w:firstLine="567"/>
        <w:jc w:val="both"/>
      </w:pPr>
      <w:r w:rsidRPr="00E924DA">
        <w:t>где</w:t>
      </w:r>
      <w:r>
        <w:t xml:space="preserve"> </w:t>
      </w:r>
      <w:r w:rsidRPr="00E924DA">
        <w:t xml:space="preserve">Кt - возвращаемые кредитные ресурсы и проценты (%t), </w:t>
      </w:r>
      <w:r>
        <w:t xml:space="preserve"> </w:t>
      </w:r>
    </w:p>
    <w:p w:rsidR="00E924DA" w:rsidRDefault="00E924DA" w:rsidP="00E924DA">
      <w:pPr>
        <w:spacing w:before="120"/>
        <w:ind w:firstLine="567"/>
        <w:jc w:val="both"/>
      </w:pPr>
      <w:r w:rsidRPr="00E924DA">
        <w:t xml:space="preserve">Кvt- выдаваемые в t-ый момент времени кредитные ресурсы, 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i</w:t>
      </w:r>
      <w:r>
        <w:t xml:space="preserve"> </w:t>
      </w:r>
      <w:r w:rsidRPr="00E924DA">
        <w:t>-</w:t>
      </w:r>
      <w:r>
        <w:t xml:space="preserve"> </w:t>
      </w:r>
      <w:r w:rsidRPr="00E924DA">
        <w:t>ставка дисконтирования, равная максимальной доходности альтернативных</w:t>
      </w:r>
      <w:r>
        <w:t xml:space="preserve"> </w:t>
      </w:r>
      <w:r w:rsidRPr="00E924DA">
        <w:t xml:space="preserve">для банка финансовых инструментов с тем же уровнем риска.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Таблица 1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Обобщенные данные о рассмотренных постановках задач, типам денежных потоков и ставок дисконтирования, используемых в расчетах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Таблица №1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53"/>
        <w:gridCol w:w="1570"/>
        <w:gridCol w:w="1830"/>
        <w:gridCol w:w="1300"/>
        <w:gridCol w:w="2317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Варианты задач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Тип предприятия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Учет источника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финансирования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Денежный поток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Ставка дисконтирования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Эффективность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проекта в целом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>ROAЈ</w:t>
            </w:r>
            <w:r>
              <w:t xml:space="preserve"> </w:t>
            </w:r>
            <w:r w:rsidRPr="00E924DA">
              <w:t>i</w:t>
            </w:r>
            <w:r>
              <w:t xml:space="preserve"> </w:t>
            </w:r>
            <w:r w:rsidRPr="00E924DA">
              <w:t xml:space="preserve">ЈCAPM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Эффективность предприятия, реализующего проект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Действующее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предприятие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WACC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>ROAЈ</w:t>
            </w:r>
            <w:r>
              <w:t xml:space="preserve"> </w:t>
            </w:r>
            <w:r w:rsidRPr="00E924DA">
              <w:t>i</w:t>
            </w:r>
            <w:r>
              <w:t xml:space="preserve"> </w:t>
            </w:r>
            <w:r w:rsidRPr="00E924DA">
              <w:t xml:space="preserve">ЈCAPM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Проектная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компания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>ROAЈ</w:t>
            </w:r>
            <w:r>
              <w:t xml:space="preserve"> </w:t>
            </w:r>
            <w:r w:rsidRPr="00E924DA">
              <w:t>i</w:t>
            </w:r>
            <w:r>
              <w:t xml:space="preserve"> </w:t>
            </w:r>
            <w:r w:rsidRPr="00E924DA">
              <w:t xml:space="preserve">ЈCAPM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Эффективность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кредитования проекта банком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CF = притоки-оттоки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max доходность (D) альтернативных инструментов того же риска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Эффективность проекта для акционеров предприятия, реализующего проект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FCFE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i - max доходность альтернативных вложений в акции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Рассмотрим особенности алгоритмов расчета показателей эффективности проекта по программам Project Expert и Альт-инвест-прим.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Алгоритм расчета NPV в системе Project Expert.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Программа Project Expert 7.15 позволяет: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рассчитать эффективность проекта в целом (чистый приведенный доход в терминах Project Expert) при условии нулевого исходного баланса проектной компании и без учета источников финансирования. (Лизинговые платежи учитываются в составе денежных потоков, на основании которых рассчитываются показатели эффективности, так как они отражают затраты на приобретение активов).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рассчитывать NPV с учетом внешнего финансирования, при котором в поток расходов, используемых для расчета NPV, добавляется по сравнению с п.1 только поток расходов по обслуживанию внешних займов, а именно уплата процентов по кредитам. (поступления кредитов, возврат кредитов, выплаты дивидендов не учитываются - они исключаются из потока расходов). Смысловое значение данного показателя трудно интерпретировать, так как при его расчете не учитываются притоки в виде кредитов и оттоки в виде их погашения, но в то же время учитываются оттоки, связанные с обслуживанием этого долга. Нельзя исходить из того, что, в конце концов, получение и возврат кредитов компенсируют друг друга, так как эти поступления и выплаты происходят в разные моменты времени (интервалы расчета) и при дисконтировании могут дать как положительный, так и отрицательный вклад в рассчитываемое значение NPV;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рассчитывать NPV по формулам, подготовленным пользователем самостоятельно и введенным в виде таблицы пользователя в программу.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 то же время программа не учитывает денежные потоки, связанные с финансированием проекта в процессе его реализации. Влияние на эффективность проекта стоимости кредитных ресурсов учитывается только в части выплаты процентов по кредитам. Другие выплаты и поступления, связанные с финансированием проекта, в расчет не принимаются.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При рассмотрении эффективности фирмы, уже реализующей проект, и произведшей ряд первоначальных инвестиционных затрат за счет определенного объема внешнего финансирования в программу Project Expert необходимо ввести исходный баланс и далее</w:t>
      </w:r>
      <w:r>
        <w:t xml:space="preserve"> </w:t>
      </w:r>
      <w:r w:rsidRPr="00E924DA">
        <w:t>рассчитать NPV без учета будущего финансирования. При отключении в исходных установках программы Project Expert учета выплат процентов по займам для расчета показателей эффективности проекта,</w:t>
      </w:r>
      <w:r>
        <w:t xml:space="preserve"> </w:t>
      </w:r>
      <w:r w:rsidRPr="00E924DA">
        <w:t xml:space="preserve">из потоков и оттоков денежных средств полностью исключаются все потоки от финансовой деятельности (КРОМЕ ЛИЗИНГА). При этом фактически рассчитывается NPV фирмы завершающей проект с учетом будущих необходимых инвестиций (которые вводятся в «Инвестиционный план» программы), но без учета уже сделанные инвестиций (т.е. в программе фактически предполагается, что ранее сделанные инвестиции произведены за счет акционерного капитала фирмы, реализующей и завершающей проект). Если эти инвестиции были осуществлены на заемные средства, то они в оттоки проекта не попадают, значительно улучшая показатель NPV проекта. При таком алгоритме расчета NPV, его значение зависит от момента, который выбран при расчете эффективности проекта, и возрастает с выбором этого момента ближе к окончанию его инвестиционной фазы. Добавление в расчетные потоки уплаты процентов не изменяет суть рассчитываемого показателя NPV. Определяемое таким образом NPV фактически соответствует эффективности завершения проекта новой условной фирмой с нулевым балансом и оставшимися еще не проведенными инвестиционными затратами.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Алгоритм расчета NPV в системе Альт-инвест прим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Альт-инвест-прим позволяет: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рассчитать эффективность проекта в целом (чистый приведенный доход в терминах предыдущей программы) при условии нулевого исходного баланса проектной компании и без учета источников финансирования. (Лизинговые платежи учитываются в составе денежных потоков, на основании которых рассчитываются показатели эффективности, так как они отражают затраты на приобретение активов);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рассчитывать NPV с учетом внешнего финансирования;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рассчитывать NPV по формулам, подготовленным пользователем самостоятельно.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Пример расчета NPV проекта в целом (исходные данные приведены в Табл. 2-7)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Проектная компания - ЗАО «Пример». Структура баланса проектной компании - баланс нулевой, финансовый год начинается в январе, принцип учета запасов - FIFO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Проект:</w:t>
      </w:r>
      <w:r>
        <w:t xml:space="preserve"> </w:t>
      </w:r>
      <w:r w:rsidRPr="00E924DA">
        <w:t xml:space="preserve">Таблица №2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9"/>
        <w:gridCol w:w="6056"/>
        <w:gridCol w:w="2555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№№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Наименование показателя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Значение показателя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Дата начала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июля 2003 года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Продолжительность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8 лет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Наименование планируемой к выпуску продукции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Новый продукт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Единица измерения Нового продукта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штуки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Начало реализации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июля 2005 года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>Окружение:</w:t>
      </w:r>
      <w:r>
        <w:t xml:space="preserve"> </w:t>
      </w:r>
      <w:r w:rsidRPr="00E924DA">
        <w:t xml:space="preserve">Таблица №3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2"/>
        <w:gridCol w:w="6090"/>
        <w:gridCol w:w="2528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№№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Наименование показателя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Значение показателя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Курс доллара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32 руб/$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Темп роста/падения курса в течение проекта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0%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Инфляция по всем составляющим доходов и затрат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0%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Default="00E924DA" w:rsidP="00E924DA">
            <w:pPr>
              <w:jc w:val="both"/>
            </w:pPr>
            <w:r w:rsidRPr="00E924DA">
              <w:t xml:space="preserve">Налоги: </w:t>
            </w:r>
            <w:r>
              <w:t xml:space="preserve"> </w:t>
            </w:r>
          </w:p>
          <w:p w:rsidR="00E924DA" w:rsidRDefault="00E924DA" w:rsidP="00E924DA">
            <w:pPr>
              <w:jc w:val="both"/>
            </w:pPr>
            <w:r w:rsidRPr="00E924DA">
              <w:t xml:space="preserve">Налог на прибыль </w:t>
            </w:r>
            <w:r>
              <w:t xml:space="preserve"> </w:t>
            </w:r>
          </w:p>
          <w:p w:rsidR="00E924DA" w:rsidRDefault="00E924DA" w:rsidP="00E924DA">
            <w:pPr>
              <w:jc w:val="both"/>
            </w:pPr>
            <w:r w:rsidRPr="00E924DA">
              <w:t xml:space="preserve">НДС </w:t>
            </w:r>
            <w:r>
              <w:t xml:space="preserve"> </w:t>
            </w:r>
          </w:p>
          <w:p w:rsidR="00E924DA" w:rsidRDefault="00E924DA" w:rsidP="00E924DA">
            <w:pPr>
              <w:jc w:val="both"/>
            </w:pPr>
            <w:r w:rsidRPr="00E924DA">
              <w:t xml:space="preserve">Налог на имущество </w:t>
            </w:r>
            <w:r>
              <w:t xml:space="preserve">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Единый социальный налог (ЕСН)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24,0% </w:t>
            </w:r>
          </w:p>
          <w:p w:rsidR="00E924DA" w:rsidRDefault="00E924DA" w:rsidP="00E924DA">
            <w:pPr>
              <w:jc w:val="both"/>
            </w:pPr>
            <w:r w:rsidRPr="00E924DA">
              <w:t xml:space="preserve">20,0% </w:t>
            </w:r>
            <w:r>
              <w:t xml:space="preserve">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2,0%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35,6%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Ставка дисконтирования при расчетах в долларах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12%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Инвестиционный план (в долл.):Таблица №4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42"/>
        <w:gridCol w:w="960"/>
        <w:gridCol w:w="983"/>
        <w:gridCol w:w="671"/>
        <w:gridCol w:w="615"/>
        <w:gridCol w:w="609"/>
        <w:gridCol w:w="608"/>
        <w:gridCol w:w="608"/>
        <w:gridCol w:w="608"/>
        <w:gridCol w:w="608"/>
        <w:gridCol w:w="608"/>
        <w:gridCol w:w="550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Потребность в инвестициях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Начало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Оконча-ние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6-12.03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2004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2005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1-5.11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Приобретение,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монтаж и наладка оборудования 1-го типа*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1.07.03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31.12.03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Приобретение, </w:t>
            </w:r>
          </w:p>
          <w:p w:rsidR="00E924DA" w:rsidRPr="00E924DA" w:rsidRDefault="00E924DA" w:rsidP="00E924DA">
            <w:pPr>
              <w:jc w:val="both"/>
            </w:pPr>
            <w:r w:rsidRPr="00E924DA">
              <w:t>монтаж и наладка оборудования</w:t>
            </w:r>
            <w:r>
              <w:t xml:space="preserve"> </w:t>
            </w:r>
            <w:r w:rsidRPr="00E924DA">
              <w:t xml:space="preserve">2-го типа*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01.01.04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30.06.04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Приобретение, </w:t>
            </w:r>
          </w:p>
          <w:p w:rsidR="00E924DA" w:rsidRPr="00E924DA" w:rsidRDefault="00E924DA" w:rsidP="00E924DA">
            <w:pPr>
              <w:jc w:val="both"/>
            </w:pPr>
            <w:r w:rsidRPr="00E924DA">
              <w:t>монтаж и наладка оборудования</w:t>
            </w:r>
            <w:r>
              <w:t xml:space="preserve"> </w:t>
            </w:r>
            <w:r w:rsidRPr="00E924DA">
              <w:t xml:space="preserve">3-го типа*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01.07.04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31.12.04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Инвестиции 04 (потребность в оборотном капитале)**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01.07.03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31.05.05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* Приобретаемое оборудование 1, 2 и 3-го типа является активом (основными средствами) и на него начисляется амортизация в течение 60 месяцев, ликвидационная стоимость данного оборудования по окончании этого периода составляет 0,0 руб.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** Инвестиции показывают потребность компании, реализующей проект, в оборотных средствах.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Операционный план: </w:t>
      </w:r>
    </w:p>
    <w:p w:rsidR="00E924DA" w:rsidRDefault="00E924DA" w:rsidP="00E924DA">
      <w:pPr>
        <w:spacing w:before="120"/>
        <w:ind w:firstLine="567"/>
        <w:jc w:val="both"/>
      </w:pPr>
      <w:r w:rsidRPr="00E924DA">
        <w:t xml:space="preserve">Компания начинает продавать Новый продукт с 1 июля 2005 года по цене $80 за штуку, не изменяющейся на протяжении всего проекта. </w:t>
      </w:r>
      <w:r>
        <w:t xml:space="preserve">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План продаж компании Таблица №5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939"/>
        <w:gridCol w:w="5331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Объем продаж, шт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7-12 2005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1-5 2011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6 000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Условия продаж: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скидок, сезонных колебаний, нестандартных налогов, нет;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задержка платежей - 0 дней, продажа по факту оплаты;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потери - 0%;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время на сбыт - 0 дней;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запас готовой продукции - 0% от месячного объема продаж;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План производства: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прямые издержки на одну штуку Нового продукта на материалы - $10;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прямые издержки на одну штуку Нового продукта на сдельную заработную плату - $5;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другие прямые издержки на одну штуку Нового продукта</w:t>
      </w:r>
      <w:r>
        <w:t xml:space="preserve"> </w:t>
      </w:r>
      <w:r w:rsidRPr="00E924DA">
        <w:t xml:space="preserve">- $0.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План численности персонала</w:t>
      </w:r>
      <w:r>
        <w:t xml:space="preserve"> </w:t>
      </w:r>
      <w:r w:rsidRPr="00E924DA">
        <w:t xml:space="preserve">Таблица №6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01"/>
        <w:gridCol w:w="1424"/>
        <w:gridCol w:w="1827"/>
        <w:gridCol w:w="1492"/>
        <w:gridCol w:w="2626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Должность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Количество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Зарплата, долл.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 течение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Всего проекта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Гл. бухгалтер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Всего проекта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Рабочие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Периода производства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Комм.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Периода производства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Периода производства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>План общих издержек:</w:t>
      </w:r>
      <w:r>
        <w:t xml:space="preserve"> </w:t>
      </w:r>
      <w:r w:rsidRPr="00E924DA">
        <w:t xml:space="preserve">Таблица №7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328"/>
        <w:gridCol w:w="1066"/>
        <w:gridCol w:w="1404"/>
        <w:gridCol w:w="2472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Наименование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Сумма, $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 течение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Содержание офиса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Всего проекта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Содержание автомобиля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Всего проекта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Оплата эл. энергии + аренда помещений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Периода производства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Ремонт + запасные части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Периода производства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Ниже приведены результаты расчетов эффективности проекта по программам «Project Expert» и «Альт-инвест прим» для двух вариантов: эффективность проекта в целом и эффективность проекта, реализуемого проектной компанией с учетом источников финансирования (всего четыре варианта; табл. 8-11).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ВАРИАНТ №1</w:t>
      </w:r>
      <w:r>
        <w:t xml:space="preserve"> </w:t>
      </w:r>
      <w:r w:rsidRPr="00E924DA">
        <w:t>- расчет эффективности проекта в целом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(по программе Project Expert)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Денежный поток (ДП) проектной компании (долл.)</w:t>
      </w:r>
      <w:r>
        <w:t xml:space="preserve"> </w:t>
      </w:r>
      <w:r w:rsidRPr="00E924DA">
        <w:t xml:space="preserve">Таблица №8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62"/>
        <w:gridCol w:w="777"/>
        <w:gridCol w:w="706"/>
        <w:gridCol w:w="706"/>
        <w:gridCol w:w="706"/>
        <w:gridCol w:w="706"/>
        <w:gridCol w:w="684"/>
        <w:gridCol w:w="684"/>
        <w:gridCol w:w="684"/>
        <w:gridCol w:w="755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7-12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2003г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2004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2005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1-6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2011г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Поступления от продаж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материалы и комплектующие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сдельную заработную плату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прямые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Общие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9 600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персонал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34 800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23 400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постоянные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27 600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33 000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Вложения в краткосрочные ценные бумаги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по краткосрочным ценным бумагам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Налоги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4 058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10 308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22 437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77 268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133 115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132 203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137 778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145 061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72 726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операционной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-17 858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-37 908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125 763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246 732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190 885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191 797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186 222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178 939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89 274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приобретение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издержки подготовительного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Поступления от реализации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Приобретение прав собственности (акций)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Продажа прав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-150 000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Собственный (акционерный) капитал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Займы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в погашение займов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процентов по займам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Лизинговые платежи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дивидендов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финансовой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Баланс наличности на начало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-167 858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-505 767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-410 004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-163 272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27 613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219 411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405 633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584 572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Баланс наличности на конец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-167 858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-505 767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-410 004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-163 272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27 613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219 411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405 633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584 572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673 845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>ВАРИАНТ №2</w:t>
      </w:r>
      <w:r>
        <w:t xml:space="preserve"> </w:t>
      </w:r>
      <w:r w:rsidRPr="00E924DA">
        <w:t xml:space="preserve">- расчет эффективности предприятия, реализующего проект, с учетом источников финансирования (по программе Project Expert)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Предположим источником финансирования для компании «Пример» является кредитная линия со следующими параметрами: ставка - 15% годовых, отсрочка первой выплаты процентов - 20 мес. (до начала реализации продукции). С помощью программы «Project Expert» подбирается оптимальный кредит из условия положительных значений денежного потока на каждом интервале проекта. Лимит кредитной линии - 576 919 долл., срок - 5 лет 5 мес.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Денежный поток проекта с учетом источников финансирования (долл.) Таблица№9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84"/>
        <w:gridCol w:w="699"/>
        <w:gridCol w:w="600"/>
        <w:gridCol w:w="840"/>
        <w:gridCol w:w="840"/>
        <w:gridCol w:w="840"/>
        <w:gridCol w:w="840"/>
        <w:gridCol w:w="840"/>
        <w:gridCol w:w="960"/>
        <w:gridCol w:w="840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7-12.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2003г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2004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2005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1-6.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2011г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Поступления от продаж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11.03.14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материалы и комплектующие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сдельную заработную плату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прямые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Общие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9600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персонал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32 400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23400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постоянные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44 400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33000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Вложения в краткосрочные ценные бумаги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по краткосрочным ценным бумагам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Налоги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3 204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8 600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21 583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59 142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119 109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123 991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136 294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143 576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71984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операционной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-14 604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-31 400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129 017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264 858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204 891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200 009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187 706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180 424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90016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приобретение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издержки подготовительного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Поступления от реализации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Приобретение прав собственности (акций)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Продажа прав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-150 000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-30 000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Собственный (акционерный) капитал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Займы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164 604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331 400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80 916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в погашение займов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97 334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189 792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154 655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135 138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процентов по займам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82 599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75 065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50 236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24 750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Лизинговые платежи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дивидендов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финансовой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164 604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331 400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-99 017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-264 858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-204 891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-159 888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Баланс наличности на начало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40 120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227 827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408251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Баланс наличности на конец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40 120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227 827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408 251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498267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>ВАРИАНТ №3</w:t>
      </w:r>
      <w:r>
        <w:t xml:space="preserve"> </w:t>
      </w:r>
      <w:r w:rsidRPr="00E924DA">
        <w:t>- расчет эффективности проекта в целом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(по программе Альт-инвест-прим)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Денежный поток проектной компании (тыс. долл.)</w:t>
      </w:r>
      <w:r>
        <w:t xml:space="preserve"> </w:t>
      </w:r>
      <w:r w:rsidRPr="00E924DA">
        <w:t xml:space="preserve">Таблица №10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83"/>
        <w:gridCol w:w="688"/>
        <w:gridCol w:w="688"/>
        <w:gridCol w:w="688"/>
        <w:gridCol w:w="688"/>
        <w:gridCol w:w="688"/>
        <w:gridCol w:w="660"/>
        <w:gridCol w:w="660"/>
        <w:gridCol w:w="660"/>
        <w:gridCol w:w="667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07-12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01-06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2011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Поступления от продаж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Затраты на материалы и комплектующие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сдельную заработную плату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прямые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Общие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9,6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персонал (без ЕСН)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23,4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постоянные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Вложения в краткосрочные ценные бумаги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по краткосрочным ценным бумагам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Налоги (включая ЕСН)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36,6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58,9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61,0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43,2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операционной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265,1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237,7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118,8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приобретение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подготовительного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Поступления от реализации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Приобретение прав собственности (акций)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Продажа прав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-150,0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Собственный (акционерный капитал)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Займы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в погашение займов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процентов по займам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Лизинговые платежи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дивидендов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финансовой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Баланс наличности на начало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-498,9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-414,9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-149,9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115,2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378,2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622,1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859,8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Баланс наличности на конец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-498,9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-414,9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-149,9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115,2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378,2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622,1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859,8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978,6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Поток денежных средств за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-334,0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265,1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244,0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237,7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118,8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ВАРИАНТ №4 - расчет эффективности предприятия, реализующего проект, с учетом источников финансирования (по программе Альт-инвест-прим)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>Денежный поток проектной компании (тыс. долл.)</w:t>
      </w:r>
      <w:r>
        <w:t xml:space="preserve"> </w:t>
      </w:r>
      <w:r w:rsidRPr="00E924DA">
        <w:t xml:space="preserve">Таблица №11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60"/>
        <w:gridCol w:w="685"/>
        <w:gridCol w:w="685"/>
        <w:gridCol w:w="685"/>
        <w:gridCol w:w="685"/>
        <w:gridCol w:w="685"/>
        <w:gridCol w:w="685"/>
        <w:gridCol w:w="660"/>
        <w:gridCol w:w="660"/>
        <w:gridCol w:w="780"/>
      </w:tblGrid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07-12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01-06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2011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Поступления от продаж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480,0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материалы и комплектующие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сдельную заработную плату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15,0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прямые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45,0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Общие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9,6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персонал (без ЕСН)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32,4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46,8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23,4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Суммарные постоянные издержки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33,0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Вложения в краткосрочные ценные бумаги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по краткосрочным ценным бумагам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выплаты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Налоги (включая ЕСН)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11,1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28,6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47,1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51,3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57,7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65,2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69,3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40,4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операционной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-33,9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276,9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258,8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121,6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Затраты на приобретение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240,0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Другие поступления подготовительного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Поступления от реализации активов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Приобретение прав собственности (акций)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Продажа прав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Доходы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инвестиционной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-150,0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-30,0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Собственный (акционерный капитал)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Займы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161,8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368,1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84,2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в погашение займов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-99,0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-184,4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-168,8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-161,9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процентов по займам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-44,3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-85,5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-66,1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-40,2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-14,2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Лизинговые платежи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Выплаты дивидендов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Кэш-фло от финансовой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Default="00E924DA" w:rsidP="00E924DA">
            <w:pPr>
              <w:jc w:val="both"/>
            </w:pPr>
            <w:r>
              <w:t xml:space="preserve">  </w:t>
            </w:r>
          </w:p>
          <w:p w:rsidR="00E924DA" w:rsidRPr="00E924DA" w:rsidRDefault="00E924DA" w:rsidP="00E924DA">
            <w:pPr>
              <w:jc w:val="both"/>
            </w:pP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  <w:r w:rsidRPr="00E924DA">
              <w:t xml:space="preserve">Баланс наличности на начало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-498,6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-406,6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-129,7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143,0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668,0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922,7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Баланс наличности на конец периода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-498,6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-406,6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-129,7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143,0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409,2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668,0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922,7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1044,3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Поток денежных средств за 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-164,7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-333,9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92,0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276,9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272,7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266,3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258,8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254,7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E924DA" w:rsidRPr="00E924DA" w:rsidRDefault="00E924DA" w:rsidP="00E924DA">
            <w:pPr>
              <w:jc w:val="both"/>
            </w:pPr>
            <w:r w:rsidRPr="00E924DA">
              <w:t xml:space="preserve">121,6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Интегральные (обобщенные) показатели эффективности рассматриваемых вариантов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Таблица 12 </w:t>
      </w:r>
    </w:p>
    <w:tbl>
      <w:tblPr>
        <w:tblW w:w="475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693"/>
        <w:gridCol w:w="1430"/>
        <w:gridCol w:w="1642"/>
        <w:gridCol w:w="2068"/>
        <w:gridCol w:w="2437"/>
      </w:tblGrid>
      <w:tr w:rsidR="00E924DA" w:rsidRPr="00E924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Показатели </w:t>
            </w:r>
          </w:p>
          <w:p w:rsidR="00E924DA" w:rsidRPr="00E924DA" w:rsidRDefault="00E924DA" w:rsidP="00E924DA">
            <w:pPr>
              <w:jc w:val="both"/>
            </w:pPr>
            <w:r w:rsidRPr="00E924DA">
              <w:t xml:space="preserve">эффективности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Проект в целом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Предприятие, реализующее проект, с учетом источников финансирования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4DA" w:rsidRPr="00E924DA" w:rsidRDefault="00E924DA" w:rsidP="00E924D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 «Project Expert»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 «Альт-инвест-прим»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 «Project Expert»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по «Альт-инвест-прим»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NPV, $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237 281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262 720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100 965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224 350 </w:t>
            </w:r>
          </w:p>
        </w:tc>
      </w:tr>
      <w:tr w:rsidR="00E924DA" w:rsidRPr="00E924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IRR,%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25,09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25,3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17,43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24DA" w:rsidRPr="00E924DA" w:rsidRDefault="00E924DA" w:rsidP="00E924DA">
            <w:pPr>
              <w:jc w:val="both"/>
            </w:pPr>
            <w:r w:rsidRPr="00E924DA">
              <w:t xml:space="preserve">нет </w:t>
            </w:r>
          </w:p>
        </w:tc>
      </w:tr>
    </w:tbl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Анализ результатов расчетов эффективности рассматриваемого проекта показывает: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Расчеты показателей эффективности проекта в целом практически совпадают, так как в обоих случаях для определения показателей эффективности используются однотипные притоки и оттоки денежных средств проекта (без учета источников финансирования).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Расчеты эффективности предприятия, реализующего проект, с учетом источников финансирования, существенно различаются из-за использования разных составляющих денежных потоков от финансовой деятельности, поскольку Project Expert не учитывает притоки и оттоки по заемным и иным внешним источникам финансирования. Тем не менее, программа позволяет построить таблицу пользователя для расчета эффективности предприятия с учетом источников финансирования.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В заключение отметим следующее.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Необходимо различать постановку задачи оценки эффективности проекта в целом (это главное, что хочет видеть потенциальный инвестор) от оценки эффективности предприятия, реализующего проект.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 NPV предприятия, реализующего проект, без учета источников финансирования проекта соответствует (аналогичен) задаче оценки стоимости предприятия.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Расчет NPV предприятия, реализующего проект, с учетом источников финансирования соответствует задаче оценки стоимости акционерного капитала предприятия и его акций и требует соответствующей четкости в структурировании денежного потока и выборе ставки дисконтирования.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Необходимо развитие рыночных программных продуктов с учетом приведенных постановок задач и международной практики оценки денежных потоков и выбора ставок дисконтирования в зависимости от поставленной задачи. </w:t>
      </w:r>
    </w:p>
    <w:p w:rsidR="00E924DA" w:rsidRPr="00E924DA" w:rsidRDefault="00E924DA" w:rsidP="00E924DA">
      <w:pPr>
        <w:spacing w:before="120"/>
        <w:jc w:val="center"/>
        <w:rPr>
          <w:b/>
          <w:bCs/>
          <w:sz w:val="28"/>
          <w:szCs w:val="28"/>
        </w:rPr>
      </w:pPr>
      <w:r w:rsidRPr="00E924DA">
        <w:rPr>
          <w:b/>
          <w:bCs/>
          <w:sz w:val="28"/>
          <w:szCs w:val="28"/>
        </w:rPr>
        <w:t>Список литературы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Брейли Р., Майерс С. Принципы корпоративных финансов. - Олимп-бизнес, 2000.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Идрисов А.Б. Планирование и анализ эффективности инвестиций.- Про-Инвест-ИТ, 1995. - 157 с.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Методики коммерческой оценки инвестиционных проектов. - ИКФ АЛЬТ, 1993.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Методические рекомендации по оценке эффективности инвестиционных проектов (вторая редакция). - М.: Экономика, 2000. - 421 с.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Никонова И.А. Финансирование бизнеса. - М.: Альпина-Паблишер, 2003. - 196 с. </w:t>
      </w:r>
    </w:p>
    <w:p w:rsidR="00E924DA" w:rsidRPr="00E924DA" w:rsidRDefault="00E924DA" w:rsidP="00E924DA">
      <w:pPr>
        <w:spacing w:before="120"/>
        <w:ind w:firstLine="567"/>
        <w:jc w:val="both"/>
      </w:pPr>
      <w:r w:rsidRPr="00E924DA">
        <w:t xml:space="preserve">http://pages.stern.nyu.edu/~adamodar/. </w:t>
      </w:r>
    </w:p>
    <w:p w:rsidR="00961FDC" w:rsidRPr="00E924DA" w:rsidRDefault="00961FDC" w:rsidP="00E924DA">
      <w:pPr>
        <w:spacing w:before="120"/>
        <w:ind w:firstLine="567"/>
        <w:jc w:val="both"/>
      </w:pPr>
      <w:bookmarkStart w:id="0" w:name="_GoBack"/>
      <w:bookmarkEnd w:id="0"/>
    </w:p>
    <w:sectPr w:rsidR="00961FDC" w:rsidRPr="00E924DA" w:rsidSect="00E924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0B04"/>
    <w:multiLevelType w:val="multilevel"/>
    <w:tmpl w:val="940C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D7C44"/>
    <w:multiLevelType w:val="multilevel"/>
    <w:tmpl w:val="332A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040DFB"/>
    <w:multiLevelType w:val="multilevel"/>
    <w:tmpl w:val="190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7EC4BA0"/>
    <w:multiLevelType w:val="multilevel"/>
    <w:tmpl w:val="EA6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4433999"/>
    <w:multiLevelType w:val="multilevel"/>
    <w:tmpl w:val="A1E6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704365"/>
    <w:multiLevelType w:val="multilevel"/>
    <w:tmpl w:val="5DE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7963B74"/>
    <w:multiLevelType w:val="multilevel"/>
    <w:tmpl w:val="195E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8AD5335"/>
    <w:multiLevelType w:val="multilevel"/>
    <w:tmpl w:val="991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550D22AE"/>
    <w:multiLevelType w:val="multilevel"/>
    <w:tmpl w:val="64EA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5EA8101E"/>
    <w:multiLevelType w:val="multilevel"/>
    <w:tmpl w:val="E636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850F51"/>
    <w:multiLevelType w:val="multilevel"/>
    <w:tmpl w:val="9ED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691D486E"/>
    <w:multiLevelType w:val="multilevel"/>
    <w:tmpl w:val="EC22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FBD7D94"/>
    <w:multiLevelType w:val="multilevel"/>
    <w:tmpl w:val="CD54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F7C1ECF"/>
    <w:multiLevelType w:val="multilevel"/>
    <w:tmpl w:val="479E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4DA"/>
    <w:rsid w:val="001245FB"/>
    <w:rsid w:val="0062593D"/>
    <w:rsid w:val="00734C20"/>
    <w:rsid w:val="00921054"/>
    <w:rsid w:val="00961FDC"/>
    <w:rsid w:val="00AB6D3B"/>
    <w:rsid w:val="00E924DA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2E4AD3F8-362F-42CE-87DD-31B4DDD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9"/>
    <w:qFormat/>
    <w:rsid w:val="00E924DA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E924DA"/>
    <w:rPr>
      <w:color w:val="auto"/>
      <w:u w:val="single"/>
    </w:rPr>
  </w:style>
  <w:style w:type="character" w:styleId="a4">
    <w:name w:val="FollowedHyperlink"/>
    <w:basedOn w:val="a0"/>
    <w:uiPriority w:val="99"/>
    <w:rsid w:val="00E924DA"/>
    <w:rPr>
      <w:color w:val="auto"/>
      <w:u w:val="single"/>
    </w:rPr>
  </w:style>
  <w:style w:type="paragraph" w:customStyle="1" w:styleId="just">
    <w:name w:val="just"/>
    <w:basedOn w:val="a"/>
    <w:uiPriority w:val="99"/>
    <w:rsid w:val="00E924DA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right">
    <w:name w:val="right"/>
    <w:basedOn w:val="a"/>
    <w:uiPriority w:val="99"/>
    <w:rsid w:val="00E924DA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left">
    <w:name w:val="left"/>
    <w:basedOn w:val="a"/>
    <w:uiPriority w:val="99"/>
    <w:rsid w:val="00E924DA"/>
    <w:pPr>
      <w:spacing w:before="100" w:beforeAutospacing="1" w:after="100" w:afterAutospacing="1"/>
    </w:pPr>
    <w:rPr>
      <w:color w:val="000000"/>
    </w:rPr>
  </w:style>
  <w:style w:type="paragraph" w:styleId="a5">
    <w:name w:val="Normal (Web)"/>
    <w:basedOn w:val="a"/>
    <w:uiPriority w:val="99"/>
    <w:rsid w:val="00E924D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20856</Words>
  <Characters>11888</Characters>
  <Application>Microsoft Office Word</Application>
  <DocSecurity>0</DocSecurity>
  <Lines>99</Lines>
  <Paragraphs>65</Paragraphs>
  <ScaleCrop>false</ScaleCrop>
  <Company>Home</Company>
  <LinksUpToDate>false</LinksUpToDate>
  <CharactersWithSpaces>32679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Эффективность проектов - давайте считать одинаково </dc:title>
  <dc:subject/>
  <dc:creator>User</dc:creator>
  <cp:keywords/>
  <dc:description/>
  <cp:lastModifiedBy>admin</cp:lastModifiedBy>
  <cp:revision>2</cp:revision>
  <dcterms:created xsi:type="dcterms:W3CDTF">2014-01-25T22:08:00Z</dcterms:created>
  <dcterms:modified xsi:type="dcterms:W3CDTF">2014-01-25T22:08:00Z</dcterms:modified>
</cp:coreProperties>
</file>