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99" w:rsidRDefault="00851499">
      <w:pPr>
        <w:jc w:val="center"/>
        <w:rPr>
          <w:sz w:val="28"/>
        </w:rPr>
      </w:pPr>
      <w:r>
        <w:rPr>
          <w:sz w:val="28"/>
        </w:rPr>
        <w:t>Контрольная работа.</w:t>
      </w:r>
    </w:p>
    <w:p w:rsidR="00851499" w:rsidRDefault="00851499">
      <w:pPr>
        <w:jc w:val="center"/>
        <w:rPr>
          <w:sz w:val="28"/>
        </w:rPr>
      </w:pPr>
    </w:p>
    <w:p w:rsidR="00851499" w:rsidRDefault="00851499">
      <w:pPr>
        <w:jc w:val="center"/>
        <w:rPr>
          <w:sz w:val="28"/>
        </w:rPr>
      </w:pPr>
      <w:r>
        <w:rPr>
          <w:sz w:val="28"/>
        </w:rPr>
        <w:t>Вариант 1.</w:t>
      </w:r>
    </w:p>
    <w:p w:rsidR="00851499" w:rsidRDefault="00851499">
      <w:pPr>
        <w:jc w:val="center"/>
        <w:rPr>
          <w:sz w:val="28"/>
        </w:rPr>
      </w:pPr>
    </w:p>
    <w:p w:rsidR="00851499" w:rsidRDefault="00851499">
      <w:pPr>
        <w:jc w:val="center"/>
        <w:rPr>
          <w:sz w:val="28"/>
        </w:rPr>
      </w:pPr>
      <w:r>
        <w:rPr>
          <w:sz w:val="28"/>
        </w:rPr>
        <w:t>Задание 1.</w:t>
      </w:r>
    </w:p>
    <w:p w:rsidR="00851499" w:rsidRDefault="00851499">
      <w:pPr>
        <w:jc w:val="center"/>
        <w:rPr>
          <w:sz w:val="24"/>
        </w:rPr>
      </w:pPr>
    </w:p>
    <w:p w:rsidR="00851499" w:rsidRDefault="00851499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Пояснить назначение, принцип построения и параметры заданного коммутационного блока АТСКУ.</w:t>
      </w:r>
    </w:p>
    <w:p w:rsidR="00851499" w:rsidRDefault="00851499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Привести схему одного из указанных в варианте, звеньев в символическом виде.</w:t>
      </w:r>
    </w:p>
    <w:p w:rsidR="00851499" w:rsidRDefault="00851499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Указать тип и количество МКС, количество и параметры коммутаторов, используемых для построения данного звена.</w:t>
      </w:r>
    </w:p>
    <w:p w:rsidR="00851499" w:rsidRDefault="00851499">
      <w:pPr>
        <w:jc w:val="center"/>
        <w:rPr>
          <w:sz w:val="24"/>
        </w:rPr>
      </w:pPr>
      <w:r>
        <w:rPr>
          <w:sz w:val="24"/>
        </w:rPr>
        <w:t>Исходные данные.</w:t>
      </w:r>
    </w:p>
    <w:p w:rsidR="00851499" w:rsidRDefault="00851499">
      <w:pPr>
        <w:jc w:val="center"/>
        <w:rPr>
          <w:sz w:val="22"/>
        </w:rPr>
      </w:pPr>
      <w:r>
        <w:rPr>
          <w:sz w:val="22"/>
        </w:rPr>
        <w:t xml:space="preserve">Тип блока – </w:t>
      </w:r>
      <w:r>
        <w:rPr>
          <w:b/>
          <w:sz w:val="22"/>
        </w:rPr>
        <w:t>АИ-АВ</w:t>
      </w:r>
    </w:p>
    <w:p w:rsidR="00851499" w:rsidRDefault="00851499">
      <w:pPr>
        <w:jc w:val="center"/>
        <w:rPr>
          <w:b/>
          <w:sz w:val="22"/>
        </w:rPr>
      </w:pPr>
      <w:r>
        <w:rPr>
          <w:sz w:val="22"/>
        </w:rPr>
        <w:t xml:space="preserve">Звено блока      -    </w:t>
      </w:r>
      <w:r>
        <w:rPr>
          <w:b/>
          <w:sz w:val="22"/>
        </w:rPr>
        <w:t>А</w:t>
      </w: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4"/>
        </w:rPr>
      </w:pPr>
      <w:r>
        <w:rPr>
          <w:sz w:val="24"/>
        </w:rPr>
        <w:t>Решение.</w:t>
      </w:r>
    </w:p>
    <w:p w:rsidR="00851499" w:rsidRDefault="00851499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Блок </w:t>
      </w:r>
      <w:r>
        <w:rPr>
          <w:b/>
          <w:sz w:val="22"/>
        </w:rPr>
        <w:t xml:space="preserve">АИ-АВ </w:t>
      </w:r>
      <w:r>
        <w:rPr>
          <w:sz w:val="22"/>
        </w:rPr>
        <w:t>используется на ступени абонентского искания при обслуживании исходящих и входящих вызовов.</w:t>
      </w:r>
    </w:p>
    <w:p w:rsidR="00851499" w:rsidRDefault="00851499">
      <w:pPr>
        <w:rPr>
          <w:sz w:val="22"/>
        </w:rPr>
      </w:pPr>
      <w:r>
        <w:rPr>
          <w:sz w:val="22"/>
        </w:rPr>
        <w:t>Блок построен по схеме :</w:t>
      </w:r>
    </w:p>
    <w:p w:rsidR="00851499" w:rsidRDefault="00851499">
      <w:pPr>
        <w:rPr>
          <w:sz w:val="22"/>
        </w:rPr>
      </w:pPr>
    </w:p>
    <w:p w:rsidR="00851499" w:rsidRDefault="00145CA9">
      <w:pPr>
        <w:rPr>
          <w:sz w:val="22"/>
        </w:rPr>
      </w:pPr>
      <w:r>
        <w:rPr>
          <w:noProof/>
          <w:sz w:val="22"/>
        </w:rPr>
        <w:pict>
          <v:line id="_x0000_s1034" style="position:absolute;flip:y;z-index:251656704" from="108.2pt,7.4pt" to="115.4pt,14.6pt" o:allowincell="f"/>
        </w:pict>
      </w:r>
      <w:r>
        <w:rPr>
          <w:noProof/>
          <w:sz w:val="22"/>
        </w:rPr>
        <w:pict>
          <v:line id="_x0000_s1029" style="position:absolute;flip:y;z-index:251651584" from="57.8pt,7.4pt" to="65pt,14.6pt" o:allowincell="f"/>
        </w:pict>
      </w:r>
      <w:r w:rsidR="00851499">
        <w:rPr>
          <w:sz w:val="22"/>
        </w:rPr>
        <w:t xml:space="preserve">                   А       АИ         В</w:t>
      </w:r>
    </w:p>
    <w:p w:rsidR="00851499" w:rsidRDefault="00145CA9">
      <w:pPr>
        <w:rPr>
          <w:sz w:val="22"/>
        </w:rPr>
      </w:pPr>
      <w:r>
        <w:rPr>
          <w:noProof/>
          <w:sz w:val="22"/>
        </w:rPr>
        <w:pict>
          <v:line id="_x0000_s1033" style="position:absolute;z-index:251655680" from="108.2pt,1.95pt" to="108.2pt,59.55pt" o:allowincell="f"/>
        </w:pict>
      </w:r>
      <w:r>
        <w:rPr>
          <w:noProof/>
          <w:sz w:val="22"/>
        </w:rPr>
        <w:pict>
          <v:line id="_x0000_s1036" style="position:absolute;z-index:251658752" from="108.2pt,9.15pt" to="115.4pt,16.35pt" o:allowincell="f"/>
        </w:pict>
      </w:r>
      <w:r>
        <w:rPr>
          <w:noProof/>
          <w:sz w:val="22"/>
        </w:rPr>
        <w:pict>
          <v:line id="_x0000_s1028" style="position:absolute;z-index:251650560" from="57.8pt,1.95pt" to="57.8pt,59.55pt" o:allowincell="f"/>
        </w:pict>
      </w:r>
      <w:r w:rsidR="00851499">
        <w:rPr>
          <w:sz w:val="22"/>
        </w:rPr>
        <w:t xml:space="preserve">                                                 20</w:t>
      </w:r>
    </w:p>
    <w:p w:rsidR="00851499" w:rsidRDefault="00145CA9">
      <w:pPr>
        <w:rPr>
          <w:sz w:val="22"/>
        </w:rPr>
      </w:pPr>
      <w:r>
        <w:rPr>
          <w:noProof/>
          <w:sz w:val="22"/>
        </w:rPr>
        <w:pict>
          <v:line id="_x0000_s1038" style="position:absolute;z-index:251660800" from="115.4pt,3.7pt" to="158.6pt,3.7pt" o:allowincell="f"/>
        </w:pict>
      </w:r>
      <w:r>
        <w:rPr>
          <w:noProof/>
          <w:sz w:val="22"/>
        </w:rPr>
        <w:pict>
          <v:line id="_x0000_s1031" style="position:absolute;z-index:251653632" from="57.8pt,10.9pt" to="65pt,18.1pt" o:allowincell="f"/>
        </w:pict>
      </w:r>
      <w:r w:rsidR="00851499">
        <w:rPr>
          <w:sz w:val="22"/>
        </w:rPr>
        <w:t xml:space="preserve">           10              60</w:t>
      </w:r>
    </w:p>
    <w:p w:rsidR="00851499" w:rsidRDefault="00145CA9">
      <w:pPr>
        <w:rPr>
          <w:sz w:val="22"/>
        </w:rPr>
      </w:pPr>
      <w:r>
        <w:rPr>
          <w:noProof/>
          <w:sz w:val="22"/>
        </w:rPr>
        <w:pict>
          <v:line id="_x0000_s1032" style="position:absolute;z-index:251654656" from="65pt,5.45pt" to="108.2pt,5.45pt" o:allowincell="f"/>
        </w:pict>
      </w:r>
      <w:r>
        <w:rPr>
          <w:noProof/>
          <w:sz w:val="22"/>
        </w:rPr>
        <w:pict>
          <v:line id="_x0000_s1026" style="position:absolute;z-index:251649536" from="14.6pt,5.45pt" to="57.8pt,5.45pt" o:allowincell="f"/>
        </w:pict>
      </w:r>
      <w:r w:rsidR="00851499">
        <w:rPr>
          <w:sz w:val="22"/>
        </w:rPr>
        <w:t xml:space="preserve">                                                 20                                                                              </w:t>
      </w:r>
    </w:p>
    <w:p w:rsidR="00851499" w:rsidRDefault="00145CA9">
      <w:pPr>
        <w:rPr>
          <w:sz w:val="22"/>
        </w:rPr>
      </w:pPr>
      <w:r>
        <w:rPr>
          <w:noProof/>
          <w:sz w:val="22"/>
        </w:rPr>
        <w:pict>
          <v:line id="_x0000_s1039" style="position:absolute;z-index:251661824" from="115.4pt,7.2pt" to="158.6pt,7.2pt" o:allowincell="f"/>
        </w:pict>
      </w:r>
      <w:r>
        <w:rPr>
          <w:noProof/>
          <w:sz w:val="22"/>
        </w:rPr>
        <w:pict>
          <v:line id="_x0000_s1037" style="position:absolute;z-index:251659776" from="108.2pt,0" to="115.4pt,7.2pt" o:allowincell="f"/>
        </w:pict>
      </w:r>
    </w:p>
    <w:p w:rsidR="00851499" w:rsidRDefault="00145CA9">
      <w:pPr>
        <w:rPr>
          <w:sz w:val="22"/>
        </w:rPr>
      </w:pPr>
      <w:r>
        <w:rPr>
          <w:noProof/>
          <w:sz w:val="22"/>
        </w:rPr>
        <w:pict>
          <v:line id="_x0000_s1035" style="position:absolute;z-index:251657728" from="108.2pt,8.95pt" to="115.4pt,16.15pt" o:allowincell="f"/>
        </w:pict>
      </w:r>
      <w:r>
        <w:rPr>
          <w:noProof/>
          <w:sz w:val="22"/>
        </w:rPr>
        <w:pict>
          <v:line id="_x0000_s1030" style="position:absolute;z-index:251652608" from="57.8pt,8.95pt" to="65pt,16.15pt" o:allowincell="f"/>
        </w:pic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ПВ            ПВ    </w:t>
      </w:r>
    </w:p>
    <w:p w:rsidR="00851499" w:rsidRDefault="00851499">
      <w:pPr>
        <w:rPr>
          <w:sz w:val="22"/>
        </w:rPr>
      </w:pPr>
      <w:r>
        <w:rPr>
          <w:sz w:val="22"/>
          <w:lang w:val="en-US"/>
        </w:rPr>
        <w:t xml:space="preserve">                                                           р</w:t>
      </w:r>
      <w:r>
        <w:rPr>
          <w:sz w:val="22"/>
        </w:rPr>
        <w:t>ис. 1.</w:t>
      </w:r>
    </w:p>
    <w:p w:rsidR="00851499" w:rsidRDefault="00851499">
      <w:pPr>
        <w:rPr>
          <w:sz w:val="22"/>
        </w:rPr>
      </w:pPr>
      <w:r>
        <w:rPr>
          <w:sz w:val="22"/>
        </w:rPr>
        <w:t>С параметрами: 100х60х40.</w:t>
      </w:r>
    </w:p>
    <w:p w:rsidR="00851499" w:rsidRDefault="00851499">
      <w:pPr>
        <w:rPr>
          <w:sz w:val="22"/>
        </w:rPr>
      </w:pPr>
    </w:p>
    <w:p w:rsidR="00851499" w:rsidRDefault="00851499">
      <w:pPr>
        <w:numPr>
          <w:ilvl w:val="0"/>
          <w:numId w:val="2"/>
        </w:numPr>
        <w:rPr>
          <w:sz w:val="22"/>
          <w:lang w:val="en-US"/>
        </w:rPr>
      </w:pPr>
      <w:r>
        <w:rPr>
          <w:sz w:val="22"/>
          <w:lang w:val="en-US"/>
        </w:rPr>
        <w:t>Схема звена А в символическом виде:</w:t>
      </w:r>
    </w:p>
    <w:p w:rsidR="00851499" w:rsidRDefault="00851499">
      <w:pPr>
        <w:rPr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53"/>
      </w:tblGrid>
      <w:tr w:rsidR="00851499">
        <w:tc>
          <w:tcPr>
            <w:tcW w:w="1242" w:type="dxa"/>
          </w:tcPr>
          <w:p w:rsidR="00851499" w:rsidRDefault="00851499">
            <w:pPr>
              <w:rPr>
                <w:sz w:val="22"/>
              </w:rPr>
            </w:pPr>
            <w:r>
              <w:rPr>
                <w:sz w:val="22"/>
              </w:rPr>
              <w:t xml:space="preserve">   2       1</w:t>
            </w:r>
          </w:p>
        </w:tc>
        <w:tc>
          <w:tcPr>
            <w:tcW w:w="4253" w:type="dxa"/>
          </w:tcPr>
          <w:p w:rsidR="00851499" w:rsidRDefault="00851499">
            <w:pPr>
              <w:rPr>
                <w:sz w:val="22"/>
              </w:rPr>
            </w:pPr>
            <w:r>
              <w:rPr>
                <w:b/>
                <w:sz w:val="22"/>
              </w:rPr>
              <w:t>О1  О</w:t>
            </w: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 xml:space="preserve">   </w:t>
            </w:r>
            <w:r>
              <w:rPr>
                <w:b/>
                <w:sz w:val="22"/>
              </w:rPr>
              <w:t>О</w:t>
            </w:r>
            <w:r>
              <w:rPr>
                <w:sz w:val="22"/>
              </w:rPr>
              <w:t xml:space="preserve">3  </w:t>
            </w:r>
            <w:r>
              <w:rPr>
                <w:b/>
                <w:sz w:val="22"/>
              </w:rPr>
              <w:t>О</w:t>
            </w:r>
            <w:r>
              <w:rPr>
                <w:sz w:val="22"/>
              </w:rPr>
              <w:t xml:space="preserve">4  </w:t>
            </w:r>
            <w:r>
              <w:rPr>
                <w:rFonts w:ascii="Arial" w:hAnsi="Arial"/>
                <w:b/>
                <w:sz w:val="22"/>
              </w:rPr>
              <w:t>О</w:t>
            </w:r>
            <w:r>
              <w:rPr>
                <w:sz w:val="22"/>
              </w:rPr>
              <w:t xml:space="preserve">5  </w:t>
            </w:r>
            <w:r>
              <w:rPr>
                <w:rFonts w:ascii="Arial" w:hAnsi="Arial"/>
                <w:b/>
                <w:sz w:val="22"/>
              </w:rPr>
              <w:t>О</w:t>
            </w:r>
            <w:r>
              <w:rPr>
                <w:sz w:val="22"/>
              </w:rPr>
              <w:t xml:space="preserve">6  </w:t>
            </w:r>
            <w:r>
              <w:rPr>
                <w:rFonts w:ascii="Arial" w:hAnsi="Arial"/>
                <w:b/>
                <w:sz w:val="22"/>
              </w:rPr>
              <w:t>О</w:t>
            </w:r>
            <w:r>
              <w:rPr>
                <w:sz w:val="22"/>
              </w:rPr>
              <w:t xml:space="preserve">7  </w:t>
            </w:r>
            <w:r>
              <w:rPr>
                <w:rFonts w:ascii="Arial" w:hAnsi="Arial"/>
                <w:b/>
                <w:sz w:val="22"/>
              </w:rPr>
              <w:t>О</w:t>
            </w:r>
            <w:r>
              <w:rPr>
                <w:sz w:val="22"/>
              </w:rPr>
              <w:t xml:space="preserve">8  </w:t>
            </w:r>
            <w:r>
              <w:rPr>
                <w:rFonts w:ascii="Arial" w:hAnsi="Arial"/>
                <w:b/>
                <w:sz w:val="22"/>
              </w:rPr>
              <w:t>О</w:t>
            </w:r>
            <w:r>
              <w:rPr>
                <w:sz w:val="22"/>
              </w:rPr>
              <w:t xml:space="preserve">9 </w:t>
            </w:r>
            <w:r>
              <w:rPr>
                <w:rFonts w:ascii="Arial" w:hAnsi="Arial"/>
                <w:b/>
                <w:sz w:val="22"/>
              </w:rPr>
              <w:t>О</w:t>
            </w:r>
            <w:r>
              <w:rPr>
                <w:sz w:val="22"/>
              </w:rPr>
              <w:t xml:space="preserve">10 </w:t>
            </w:r>
          </w:p>
        </w:tc>
      </w:tr>
    </w:tbl>
    <w:p w:rsidR="00851499" w:rsidRDefault="00851499">
      <w:pPr>
        <w:rPr>
          <w:sz w:val="22"/>
        </w:rPr>
      </w:pPr>
      <w:r>
        <w:rPr>
          <w:sz w:val="22"/>
        </w:rPr>
        <w:t xml:space="preserve">    </w:t>
      </w: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numPr>
          <w:ilvl w:val="0"/>
          <w:numId w:val="2"/>
        </w:num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851"/>
        <w:gridCol w:w="1559"/>
        <w:gridCol w:w="1559"/>
        <w:gridCol w:w="1701"/>
      </w:tblGrid>
      <w:tr w:rsidR="00851499">
        <w:trPr>
          <w:trHeight w:val="599"/>
        </w:trPr>
        <w:tc>
          <w:tcPr>
            <w:tcW w:w="959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ЗВЕНО БЛОКА</w:t>
            </w:r>
          </w:p>
        </w:tc>
        <w:tc>
          <w:tcPr>
            <w:tcW w:w="992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МКС</w:t>
            </w:r>
          </w:p>
        </w:tc>
        <w:tc>
          <w:tcPr>
            <w:tcW w:w="85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МКС</w:t>
            </w:r>
          </w:p>
        </w:tc>
        <w:tc>
          <w:tcPr>
            <w:tcW w:w="1559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коммутаторов</w:t>
            </w:r>
          </w:p>
        </w:tc>
        <w:tc>
          <w:tcPr>
            <w:tcW w:w="1559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Число входов одного коммутатора</w:t>
            </w:r>
          </w:p>
        </w:tc>
        <w:tc>
          <w:tcPr>
            <w:tcW w:w="170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Число выходов одного коммутатора</w:t>
            </w:r>
          </w:p>
        </w:tc>
      </w:tr>
      <w:tr w:rsidR="00851499">
        <w:tc>
          <w:tcPr>
            <w:tcW w:w="959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</w:p>
        </w:tc>
        <w:tc>
          <w:tcPr>
            <w:tcW w:w="992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20х20х6</w:t>
            </w:r>
          </w:p>
        </w:tc>
        <w:tc>
          <w:tcPr>
            <w:tcW w:w="85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              10ком. – 10х4 10ком. – 10х2</w:t>
            </w:r>
          </w:p>
        </w:tc>
        <w:tc>
          <w:tcPr>
            <w:tcW w:w="1559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10                   10</w:t>
            </w:r>
          </w:p>
        </w:tc>
        <w:tc>
          <w:tcPr>
            <w:tcW w:w="170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4                        2</w:t>
            </w:r>
          </w:p>
        </w:tc>
      </w:tr>
    </w:tbl>
    <w:p w:rsidR="00851499" w:rsidRDefault="00851499">
      <w:pPr>
        <w:rPr>
          <w:sz w:val="22"/>
        </w:rPr>
      </w:pPr>
    </w:p>
    <w:p w:rsidR="00851499" w:rsidRDefault="00851499">
      <w:pPr>
        <w:jc w:val="center"/>
        <w:rPr>
          <w:sz w:val="28"/>
        </w:rPr>
      </w:pPr>
      <w:r>
        <w:rPr>
          <w:sz w:val="28"/>
        </w:rPr>
        <w:t>Задание 2.</w:t>
      </w:r>
    </w:p>
    <w:p w:rsidR="00851499" w:rsidRDefault="00851499">
      <w:pPr>
        <w:rPr>
          <w:sz w:val="22"/>
        </w:rPr>
      </w:pPr>
    </w:p>
    <w:p w:rsidR="00851499" w:rsidRDefault="00851499">
      <w:pPr>
        <w:pStyle w:val="a3"/>
      </w:pPr>
      <w:r>
        <w:t>Привести структурную схему управляющего устройства АТСК. Пояснить состав и взаимодействие функциональных узлов при выполнении управляющим устройством определенных функций.</w:t>
      </w:r>
    </w:p>
    <w:p w:rsidR="00851499" w:rsidRDefault="00851499">
      <w:pPr>
        <w:tabs>
          <w:tab w:val="left" w:pos="851"/>
        </w:tabs>
        <w:jc w:val="center"/>
        <w:rPr>
          <w:sz w:val="24"/>
        </w:rPr>
      </w:pPr>
      <w:r>
        <w:rPr>
          <w:sz w:val="24"/>
        </w:rPr>
        <w:t>Исходные данные.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778"/>
      </w:tblGrid>
      <w:tr w:rsidR="00851499">
        <w:tc>
          <w:tcPr>
            <w:tcW w:w="2376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УУ</w:t>
            </w:r>
          </w:p>
        </w:tc>
        <w:tc>
          <w:tcPr>
            <w:tcW w:w="5778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Заданные функции</w:t>
            </w:r>
          </w:p>
        </w:tc>
      </w:tr>
      <w:tr w:rsidR="00851499">
        <w:tc>
          <w:tcPr>
            <w:tcW w:w="2376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МАВ</w:t>
            </w:r>
          </w:p>
        </w:tc>
        <w:tc>
          <w:tcPr>
            <w:tcW w:w="5778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Определение номера АК абонента «А» и выбор ИШК</w:t>
            </w:r>
          </w:p>
        </w:tc>
      </w:tr>
    </w:tbl>
    <w:p w:rsidR="00851499" w:rsidRDefault="00851499">
      <w:pPr>
        <w:rPr>
          <w:sz w:val="22"/>
          <w:lang w:val="en-US"/>
        </w:rPr>
      </w:pPr>
    </w:p>
    <w:p w:rsidR="00851499" w:rsidRDefault="00145CA9">
      <w:pPr>
        <w:rPr>
          <w:sz w:val="22"/>
        </w:rPr>
      </w:pPr>
      <w:r>
        <w:rPr>
          <w:noProof/>
          <w:sz w:val="24"/>
        </w:rPr>
        <w:pict>
          <v:group id="_x0000_s1145" style="position:absolute;margin-left:7.4pt;margin-top:8pt;width:367.2pt;height:253.7pt;z-index:-251653632" coordorigin="432,3602" coordsize="7344,5074" o:allowincell="f">
            <v:rect id="_x0000_s1044" style="position:absolute;left:1152;top:4068;width:432;height:432"/>
            <v:line id="_x0000_s1045" style="position:absolute" from="576,4323" to="1152,4323">
              <v:stroke startarrow="block"/>
            </v:line>
            <v:line id="_x0000_s1049" style="position:absolute" from="1584,4323" to="2304,4323"/>
            <v:line id="_x0000_s1051" style="position:absolute" from="2304,3746" to="2304,4898"/>
            <v:line id="_x0000_s1052" style="position:absolute;flip:y" from="2304,3602" to="2448,3746"/>
            <v:line id="_x0000_s1053" style="position:absolute" from="2304,4899" to="2448,5043"/>
            <v:line id="_x0000_s1054" style="position:absolute" from="2304,4179" to="2448,4323"/>
            <v:line id="_x0000_s1055" style="position:absolute" from="2448,4323" to="5328,4323"/>
            <v:line id="_x0000_s1061" style="position:absolute" from="5328,3746" to="5328,4898"/>
            <v:line id="_x0000_s1062" style="position:absolute;flip:y" from="5328,3602" to="5472,3746"/>
            <v:line id="_x0000_s1063" style="position:absolute" from="5328,4899" to="5472,5043"/>
            <v:line id="_x0000_s1064" style="position:absolute" from="5328,3890" to="5472,4034"/>
            <v:line id="_x0000_s1065" style="position:absolute" from="5328,4467" to="5472,4611"/>
            <v:line id="_x0000_s1066" style="position:absolute" from="5472,4035" to="7776,4035">
              <v:stroke endarrow="block"/>
            </v:line>
            <v:line id="_x0000_s1067" style="position:absolute" from="5472,4611" to="7776,4611">
              <v:stroke endarrow="block"/>
            </v:line>
            <v:rect id="_x0000_s1068" style="position:absolute;left:3600;top:5187;width:720;height:432"/>
            <v:rect id="_x0000_s1069" style="position:absolute;left:6192;top:5187;width:720;height:432"/>
            <v:rect id="_x0000_s1070" style="position:absolute;left:5760;top:5907;width:720;height:432"/>
            <v:rect id="_x0000_s1071" style="position:absolute;left:1008;top:5940;width:720;height:432"/>
            <v:rect id="_x0000_s1072" style="position:absolute;left:1296;top:6660;width:720;height:432"/>
            <v:rect id="_x0000_s1073" style="position:absolute;left:3600;top:6483;width:720;height:432"/>
            <v:rect id="_x0000_s1074" style="position:absolute;left:6192;top:6483;width:720;height:753"/>
            <v:rect id="_x0000_s1075" style="position:absolute;left:2448;top:7092;width:3600;height:432"/>
            <v:rect id="_x0000_s1076" style="position:absolute;left:3600;top:8100;width:720;height:432"/>
            <v:rect id="_x0000_s1077" style="position:absolute;left:6192;top:7668;width:720;height:753"/>
            <v:line id="_x0000_s1078" style="position:absolute" from="1296,4500" to="1296,5940" strokeweight="1.5pt">
              <v:stroke endarrow="block"/>
            </v:line>
            <v:line id="_x0000_s1080" style="position:absolute" from="1584,5619" to="1584,5940"/>
            <v:line id="_x0000_s1081" style="position:absolute;flip:x" from="1872,5331" to="3600,5331"/>
            <v:line id="_x0000_s1082" style="position:absolute;flip:y" from="1872,4323" to="1872,5331">
              <v:stroke endarrow="block"/>
            </v:line>
            <v:line id="_x0000_s1083" style="position:absolute;flip:x" from="1584,5475" to="3600,5475">
              <v:stroke startarrow="block"/>
            </v:line>
            <v:line id="_x0000_s1084" style="position:absolute" from="1584,5475" to="1584,5619"/>
            <v:line id="_x0000_s1087" style="position:absolute" from="1728,6051" to="5760,6051">
              <v:stroke endarrow="block"/>
            </v:line>
            <v:line id="_x0000_s1088" style="position:absolute" from="3888,6195" to="5760,6195">
              <v:stroke endarrow="block"/>
            </v:line>
            <v:line id="_x0000_s1089" style="position:absolute" from="3888,6195" to="3888,6483">
              <v:stroke endarrow="block"/>
            </v:line>
            <v:line id="_x0000_s1092" style="position:absolute" from="4320,5331" to="4752,5331"/>
            <v:line id="_x0000_s1093" style="position:absolute;flip:y" from="4752,4323" to="4752,5331">
              <v:stroke endarrow="block"/>
            </v:line>
            <v:line id="_x0000_s1094" style="position:absolute;flip:x" from="4320,5475" to="5904,5475">
              <v:stroke endarrow="block"/>
            </v:line>
            <v:line id="_x0000_s1095" style="position:absolute" from="5904,5475" to="5904,5907"/>
            <v:line id="_x0000_s1096" style="position:absolute;flip:y" from="5184,4323" to="5184,5331">
              <v:stroke endarrow="block"/>
            </v:line>
            <v:line id="_x0000_s1097" style="position:absolute" from="5184,5331" to="6048,5331"/>
            <v:line id="_x0000_s1098" style="position:absolute" from="6048,5331" to="6048,5907"/>
            <v:line id="_x0000_s1099" style="position:absolute;flip:y" from="6336,5619" to="6336,5907" strokeweight="1.5pt">
              <v:stroke endarrow="block"/>
            </v:line>
            <v:line id="_x0000_s1100" style="position:absolute;flip:y" from="6624,4611" to="6624,5187" strokeweight="1.5pt">
              <v:stroke endarrow="block"/>
            </v:line>
            <v:line id="_x0000_s1101" style="position:absolute" from="6480,6051" to="7200,6051"/>
            <v:line id="_x0000_s1102" style="position:absolute;flip:y" from="7200,4035" to="7200,6051">
              <v:stroke endarrow="block"/>
            </v:line>
            <v:line id="_x0000_s1103" style="position:absolute;flip:x" from="4320,6627" to="6192,6627">
              <v:stroke endarrow="block"/>
            </v:line>
            <v:line id="_x0000_s1104" style="position:absolute;flip:y" from="5904,6339" to="5904,7059" strokeweight="1.5pt">
              <v:stroke endarrow="block"/>
            </v:line>
            <v:line id="_x0000_s1106" style="position:absolute" from="1584,6372" to="1584,6660">
              <v:stroke startarrow="block" endarrow="block"/>
            </v:line>
            <v:line id="_x0000_s1107" style="position:absolute;flip:x" from="1728,6228" to="2736,6228">
              <v:stroke endarrow="block"/>
            </v:line>
            <v:line id="_x0000_s1108" style="position:absolute" from="2736,6228" to="2736,7092"/>
            <v:line id="_x0000_s1113" style="position:absolute" from="1872,7092" to="1872,7380" strokeweight="1.5pt">
              <v:stroke startarrow="block"/>
            </v:line>
            <v:line id="_x0000_s1114" style="position:absolute" from="1872,7380" to="2448,7380" strokeweight="1.5pt">
              <v:stroke endarrow="block"/>
            </v:line>
            <v:line id="_x0000_s1115" style="position:absolute" from="3888,7524" to="3888,8100">
              <v:stroke endarrow="block"/>
            </v:line>
            <v:line id="_x0000_s1116" style="position:absolute" from="1584,7092" to="1584,7812">
              <v:stroke startarrow="block"/>
            </v:line>
            <v:line id="_x0000_s1117" style="position:absolute" from="1584,7812" to="6192,7812">
              <v:stroke endarrow="block"/>
            </v:line>
            <v:line id="_x0000_s1118" style="position:absolute" from="1440,7092" to="1440,8100"/>
            <v:line id="_x0000_s1119" style="position:absolute;flip:x" from="1440,8244" to="3600,8244">
              <v:stroke startarrow="block"/>
            </v:line>
            <v:line id="_x0000_s1120" style="position:absolute" from="1440,8100" to="1440,8244"/>
            <v:line id="_x0000_s1121" style="position:absolute;flip:x" from="1152,8388" to="3600,8388"/>
            <v:line id="_x0000_s1122" style="position:absolute;flip:y" from="1152,6372" to="1152,8388">
              <v:stroke endarrow="block"/>
            </v:line>
            <v:line id="_x0000_s1123" style="position:absolute" from="6336,7380" to="6336,7668">
              <v:stroke endarrow="block"/>
            </v:line>
            <v:line id="_x0000_s1124" style="position:absolute;flip:x" from="6048,7380" to="6336,7380">
              <v:stroke endarrow="block"/>
            </v:line>
            <v:line id="_x0000_s1126" style="position:absolute;flip:y" from="6624,7236" to="6624,7668">
              <v:stroke endarrow="block"/>
            </v:line>
            <v:line id="_x0000_s1127" style="position:absolute" from="6912,6660" to="7488,6660">
              <v:stroke endarrow="block"/>
            </v:line>
            <v:line id="_x0000_s1128" style="position:absolute" from="6912,6804" to="7488,6804">
              <v:stroke endarrow="block"/>
            </v:line>
            <v:line id="_x0000_s1130" style="position:absolute" from="6912,6948" to="7488,6948">
              <v:stroke endarrow="block"/>
            </v:line>
            <v:line id="_x0000_s1131" style="position:absolute" from="6912,7092" to="7488,7092">
              <v:stroke endarrow="block"/>
            </v:line>
            <v:line id="_x0000_s1132" style="position:absolute" from="6912,7812" to="7488,7812">
              <v:stroke startarrow="block"/>
            </v:line>
            <v:line id="_x0000_s1133" style="position:absolute" from="6912,7956" to="7488,7956">
              <v:stroke startarrow="block"/>
            </v:line>
            <v:line id="_x0000_s1134" style="position:absolute" from="6912,8100" to="7488,8100">
              <v:stroke startarrow="block"/>
            </v:line>
            <v:line id="_x0000_s1135" style="position:absolute" from="6912,8244" to="7488,8244">
              <v:stroke startarrow="block"/>
            </v:line>
            <v:line id="_x0000_s1136" style="position:absolute" from="432,5076" to="7632,5076">
              <v:stroke dashstyle="1 1"/>
            </v:line>
            <v:line id="_x0000_s1137" style="position:absolute" from="432,5076" to="432,8676">
              <v:stroke dashstyle="1 1"/>
            </v:line>
            <v:line id="_x0000_s1138" style="position:absolute" from="432,8676" to="7632,8676">
              <v:stroke dashstyle="1 1"/>
            </v:line>
            <v:line id="_x0000_s1139" style="position:absolute" from="7632,5076" to="7632,8676">
              <v:stroke dashstyle="1 1"/>
            </v:lin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141" type="#_x0000_t88" style="position:absolute;left:7488;top:6085;width:144;height:2304"/>
            <v:line id="_x0000_s1142" style="position:absolute" from="6480,6229" to="7488,6229">
              <v:stroke endarrow="block"/>
            </v:line>
            <v:line id="_x0000_s1143" style="position:absolute" from="6624,8388" to="6624,8532"/>
            <v:line id="_x0000_s1144" style="position:absolute" from="6624,8532" to="7488,8532">
              <v:stroke endarrow="block"/>
            </v:line>
          </v:group>
        </w:pict>
      </w:r>
      <w:r w:rsidR="00851499">
        <w:rPr>
          <w:sz w:val="24"/>
        </w:rPr>
        <w:t xml:space="preserve">                                </w:t>
      </w:r>
      <w:r w:rsidR="00851499">
        <w:rPr>
          <w:sz w:val="22"/>
        </w:rPr>
        <w:t>А</w:t>
      </w:r>
      <w:r w:rsidR="00851499">
        <w:rPr>
          <w:sz w:val="24"/>
        </w:rPr>
        <w:t xml:space="preserve">                    Решение.            </w:t>
      </w:r>
      <w:r w:rsidR="00851499">
        <w:rPr>
          <w:sz w:val="22"/>
        </w:rPr>
        <w:t>В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20         а,в,с,</w:t>
      </w:r>
      <w:r>
        <w:rPr>
          <w:sz w:val="22"/>
          <w:lang w:val="en-US"/>
        </w:rPr>
        <w:t>d</w:t>
      </w:r>
      <w:r>
        <w:rPr>
          <w:sz w:val="22"/>
        </w:rPr>
        <w:t xml:space="preserve">         звеноС  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а,в           а,в 100         а,в,с 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АК                                                                          20         а,в,с,</w:t>
      </w:r>
      <w:r>
        <w:rPr>
          <w:sz w:val="22"/>
          <w:lang w:val="en-US"/>
        </w:rPr>
        <w:t>d</w:t>
      </w:r>
      <w:r>
        <w:rPr>
          <w:sz w:val="22"/>
        </w:rPr>
        <w:t xml:space="preserve">            ИШК</w:t>
      </w: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е</w:t>
      </w:r>
      <w:r>
        <w:rPr>
          <w:sz w:val="22"/>
          <w:lang w:val="en-US"/>
        </w:rPr>
        <w:t>,f,k,</w:t>
      </w:r>
      <w:r>
        <w:rPr>
          <w:sz w:val="22"/>
        </w:rPr>
        <w:t xml:space="preserve">з  </w:t>
      </w: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                                         УУК                                       УПП   </w:t>
      </w: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АО                                                                                 ПУ</w:t>
      </w:r>
    </w:p>
    <w:p w:rsidR="00851499" w:rsidRDefault="00851499">
      <w:pPr>
        <w:rPr>
          <w:sz w:val="22"/>
          <w:lang w:val="en-US"/>
        </w:rPr>
      </w:pPr>
      <w:r>
        <w:rPr>
          <w:sz w:val="22"/>
          <w:lang w:val="en-US"/>
        </w:rPr>
        <w:t xml:space="preserve">                                                                                                                              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                                         ФНА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ОВС                                                                                УПФ                маи 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</w:t>
      </w:r>
      <w:r>
        <w:rPr>
          <w:sz w:val="22"/>
          <w:lang w:val="en-US"/>
        </w:rPr>
        <w:t>CD</w:t>
      </w:r>
      <w:r>
        <w:rPr>
          <w:sz w:val="22"/>
        </w:rPr>
        <w:t xml:space="preserve">   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                                         РП                                                                       </w:t>
      </w: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ОБ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                                              ТВ                                                                  </w:t>
      </w:r>
    </w:p>
    <w:p w:rsidR="00851499" w:rsidRDefault="00851499">
      <w:pPr>
        <w:rPr>
          <w:sz w:val="22"/>
          <w:lang w:val="en-US"/>
        </w:rPr>
      </w:pPr>
      <w:r>
        <w:rPr>
          <w:sz w:val="22"/>
        </w:rPr>
        <w:t xml:space="preserve">                        </w:t>
      </w:r>
    </w:p>
    <w:p w:rsidR="00851499" w:rsidRDefault="00851499">
      <w:pPr>
        <w:jc w:val="center"/>
        <w:rPr>
          <w:sz w:val="22"/>
          <w:lang w:val="en-US"/>
        </w:rPr>
      </w:pPr>
      <w:r>
        <w:rPr>
          <w:sz w:val="22"/>
          <w:lang w:val="en-US"/>
        </w:rPr>
        <w:t>рис. 2. Структурная схема МАВ.</w:t>
      </w: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При исходящей связи МАИ АВ занимается после срабатывания АК,  проключается </w:t>
      </w:r>
      <w:r>
        <w:rPr>
          <w:sz w:val="22"/>
          <w:u w:val="single"/>
        </w:rPr>
        <w:t>АО</w:t>
      </w:r>
      <w:r>
        <w:rPr>
          <w:sz w:val="22"/>
        </w:rPr>
        <w:t xml:space="preserve"> – определитель абонентских линий, предназначенный для определения и фиксации номера вызывающего абонента,                                                               затем </w:t>
      </w:r>
      <w:r>
        <w:rPr>
          <w:sz w:val="22"/>
          <w:u w:val="single"/>
        </w:rPr>
        <w:t>ОВС</w:t>
      </w:r>
      <w:r>
        <w:rPr>
          <w:sz w:val="22"/>
        </w:rPr>
        <w:t xml:space="preserve"> – определитель вида связи, обеспечивающий установление в данный момент времени только одного вида соединения – исходящего или входящего, потом проключается </w:t>
      </w:r>
      <w:r>
        <w:rPr>
          <w:sz w:val="22"/>
          <w:u w:val="single"/>
        </w:rPr>
        <w:t>РП</w:t>
      </w:r>
      <w:r>
        <w:rPr>
          <w:sz w:val="22"/>
        </w:rPr>
        <w:t xml:space="preserve"> –распределитель преимущества, в цепях удержания реле определителей ОАЛ и ОСД и пробных реле,</w:t>
      </w:r>
    </w:p>
    <w:p w:rsidR="00851499" w:rsidRDefault="00851499">
      <w:pPr>
        <w:rPr>
          <w:sz w:val="22"/>
          <w:u w:val="single"/>
        </w:rPr>
      </w:pPr>
      <w:r>
        <w:rPr>
          <w:sz w:val="22"/>
        </w:rPr>
        <w:t xml:space="preserve">затем </w:t>
      </w:r>
      <w:r>
        <w:rPr>
          <w:sz w:val="22"/>
          <w:u w:val="single"/>
        </w:rPr>
        <w:t>ПУ</w:t>
      </w:r>
      <w:r>
        <w:rPr>
          <w:sz w:val="22"/>
        </w:rPr>
        <w:t xml:space="preserve"> – пробное устройство, выбирающее промежуточные линии между звеньями А, В и С и исходящую линию к ИШК, а также подготавливающее цепи работы электромагнитов МКС звеньев А и В,                                                                     затем </w:t>
      </w:r>
      <w:r>
        <w:rPr>
          <w:sz w:val="22"/>
          <w:u w:val="single"/>
        </w:rPr>
        <w:t>УПП</w:t>
      </w:r>
      <w:r>
        <w:rPr>
          <w:sz w:val="22"/>
        </w:rPr>
        <w:t xml:space="preserve"> – устройство подключения пробных цепей, подключающее при исходящей связи пробные провода </w:t>
      </w:r>
      <w:r>
        <w:rPr>
          <w:sz w:val="22"/>
          <w:lang w:val="en-US"/>
        </w:rPr>
        <w:t xml:space="preserve">k </w:t>
      </w:r>
      <w:r>
        <w:rPr>
          <w:sz w:val="22"/>
        </w:rPr>
        <w:t xml:space="preserve">ИШК к индивидуальным и групповым реле, и проключает </w:t>
      </w:r>
      <w:r>
        <w:rPr>
          <w:sz w:val="22"/>
          <w:u w:val="single"/>
        </w:rPr>
        <w:t>ИШК.</w:t>
      </w:r>
    </w:p>
    <w:p w:rsidR="00851499" w:rsidRDefault="00851499">
      <w:pPr>
        <w:rPr>
          <w:sz w:val="22"/>
          <w:u w:val="single"/>
        </w:rPr>
      </w:pPr>
    </w:p>
    <w:p w:rsidR="00851499" w:rsidRDefault="00851499">
      <w:pPr>
        <w:jc w:val="center"/>
        <w:rPr>
          <w:sz w:val="28"/>
        </w:rPr>
      </w:pPr>
      <w:r>
        <w:rPr>
          <w:sz w:val="28"/>
        </w:rPr>
        <w:t>Задание 3.</w:t>
      </w:r>
    </w:p>
    <w:p w:rsidR="00851499" w:rsidRDefault="00851499">
      <w:pPr>
        <w:jc w:val="center"/>
        <w:rPr>
          <w:sz w:val="28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Используя информацию, передаваемого из передающего устройства АОН в УЗПИ, которая приведена в табл. 4, заполнить табл. 5,6,7. В табл. 5 указать номера позиций и цифры номера вызываемого абонента. В табл. 6 указать номера передаваемых комбинаций на каждой из позиции. В табл. 7 показать последовательность выдачи кодовых комбинаций из ПУ АОН в УЗПИ </w:t>
      </w:r>
      <w:r>
        <w:rPr>
          <w:sz w:val="22"/>
          <w:lang w:val="en-US"/>
        </w:rPr>
        <w:t>(</w:t>
      </w:r>
      <w:r>
        <w:rPr>
          <w:sz w:val="22"/>
        </w:rPr>
        <w:t>частотно – кодируемый безинтервальный пакет), при условии получения сигнала запроса в момент передачи цифры, указанной в табл. 4.</w:t>
      </w:r>
    </w:p>
    <w:p w:rsidR="00851499" w:rsidRDefault="00851499">
      <w:pPr>
        <w:rPr>
          <w:sz w:val="22"/>
        </w:rPr>
      </w:pPr>
    </w:p>
    <w:p w:rsidR="00851499" w:rsidRDefault="00851499">
      <w:pPr>
        <w:jc w:val="center"/>
        <w:rPr>
          <w:sz w:val="22"/>
        </w:rPr>
      </w:pPr>
      <w:r>
        <w:rPr>
          <w:sz w:val="22"/>
        </w:rPr>
        <w:t>ТАБЛИЦА 4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59"/>
        <w:gridCol w:w="3793"/>
      </w:tblGrid>
      <w:tr w:rsidR="00851499">
        <w:tc>
          <w:tcPr>
            <w:tcW w:w="2802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вызывающего абонента</w:t>
            </w:r>
          </w:p>
        </w:tc>
        <w:tc>
          <w:tcPr>
            <w:tcW w:w="1559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категории</w:t>
            </w:r>
          </w:p>
        </w:tc>
        <w:tc>
          <w:tcPr>
            <w:tcW w:w="379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Цифра начала передачи информации</w:t>
            </w:r>
          </w:p>
        </w:tc>
      </w:tr>
      <w:tr w:rsidR="00851499">
        <w:tc>
          <w:tcPr>
            <w:tcW w:w="2802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1233558</w:t>
            </w:r>
          </w:p>
        </w:tc>
        <w:tc>
          <w:tcPr>
            <w:tcW w:w="1559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9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</w:tr>
    </w:tbl>
    <w:p w:rsidR="00851499" w:rsidRDefault="00145CA9">
      <w:pPr>
        <w:jc w:val="center"/>
        <w:rPr>
          <w:sz w:val="22"/>
        </w:rPr>
      </w:pPr>
      <w:r>
        <w:rPr>
          <w:noProof/>
          <w:sz w:val="22"/>
        </w:rPr>
        <w:pict>
          <v:line id="_x0000_s1148" style="position:absolute;left:0;text-align:left;z-index:251664896;mso-position-horizontal-relative:text;mso-position-vertical-relative:text" from="266.6pt,8.5pt" to="288.2pt,8.5pt" o:allowincell="f"/>
        </w:pict>
      </w:r>
      <w:r>
        <w:rPr>
          <w:noProof/>
          <w:sz w:val="22"/>
        </w:rPr>
        <w:pict>
          <v:line id="_x0000_s1147" style="position:absolute;left:0;text-align:left;z-index:251663872;mso-position-horizontal-relative:text;mso-position-vertical-relative:text" from="266.6pt,8.5pt" to="266.6pt,22.9pt" o:allowincell="f">
            <v:stroke endarrow="block"/>
          </v:line>
        </w:pict>
      </w:r>
      <w:r w:rsidR="00851499">
        <w:rPr>
          <w:sz w:val="22"/>
          <w:lang w:val="en-US"/>
        </w:rPr>
        <w:t xml:space="preserve">                                                                           </w:t>
      </w:r>
      <w:r w:rsidR="00851499">
        <w:rPr>
          <w:sz w:val="22"/>
        </w:rPr>
        <w:t>«СЗ»</w:t>
      </w:r>
    </w:p>
    <w:p w:rsidR="00851499" w:rsidRDefault="00851499">
      <w:pPr>
        <w:jc w:val="center"/>
        <w:rPr>
          <w:sz w:val="22"/>
        </w:rPr>
      </w:pPr>
      <w:r>
        <w:rPr>
          <w:sz w:val="22"/>
        </w:rPr>
        <w:t>ТАБЛИЦА 5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567"/>
        <w:gridCol w:w="567"/>
        <w:gridCol w:w="567"/>
        <w:gridCol w:w="567"/>
        <w:gridCol w:w="567"/>
        <w:gridCol w:w="567"/>
        <w:gridCol w:w="567"/>
        <w:gridCol w:w="671"/>
      </w:tblGrid>
      <w:tr w:rsidR="00851499">
        <w:tc>
          <w:tcPr>
            <w:tcW w:w="294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№ПОЗИЦИИ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51499">
        <w:tc>
          <w:tcPr>
            <w:tcW w:w="294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Обозначение цифр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К2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К3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</w:p>
        </w:tc>
        <w:tc>
          <w:tcPr>
            <w:tcW w:w="67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</w:p>
        </w:tc>
      </w:tr>
      <w:tr w:rsidR="00851499">
        <w:tc>
          <w:tcPr>
            <w:tcW w:w="294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Передаваемые цифры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7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  <w:r>
        <w:rPr>
          <w:sz w:val="22"/>
        </w:rPr>
        <w:t>ТАБЛИЦА 6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567"/>
        <w:gridCol w:w="567"/>
        <w:gridCol w:w="567"/>
        <w:gridCol w:w="567"/>
        <w:gridCol w:w="567"/>
        <w:gridCol w:w="567"/>
        <w:gridCol w:w="567"/>
        <w:gridCol w:w="671"/>
      </w:tblGrid>
      <w:tr w:rsidR="00851499">
        <w:tc>
          <w:tcPr>
            <w:tcW w:w="294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№ПОЗИЦИИ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51499">
        <w:tc>
          <w:tcPr>
            <w:tcW w:w="294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передаваемой комбинации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7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  <w:r>
        <w:rPr>
          <w:sz w:val="22"/>
        </w:rPr>
        <w:t>ТАБЛИЦА 7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567"/>
        <w:gridCol w:w="567"/>
        <w:gridCol w:w="567"/>
        <w:gridCol w:w="567"/>
        <w:gridCol w:w="567"/>
        <w:gridCol w:w="567"/>
        <w:gridCol w:w="567"/>
        <w:gridCol w:w="671"/>
      </w:tblGrid>
      <w:tr w:rsidR="00851499">
        <w:tc>
          <w:tcPr>
            <w:tcW w:w="294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№ПОЗИЦИИ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1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851499">
        <w:tc>
          <w:tcPr>
            <w:tcW w:w="2943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Передаваемая частотная комбинация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F4   F11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F1   F2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F0   F2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F0   F1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F2   F11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F0   F1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F1   F7</w:t>
            </w:r>
          </w:p>
        </w:tc>
        <w:tc>
          <w:tcPr>
            <w:tcW w:w="567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F4   F1</w:t>
            </w:r>
          </w:p>
        </w:tc>
        <w:tc>
          <w:tcPr>
            <w:tcW w:w="671" w:type="dxa"/>
          </w:tcPr>
          <w:p w:rsidR="00851499" w:rsidRDefault="0085149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F1    F4</w:t>
            </w:r>
          </w:p>
        </w:tc>
      </w:tr>
    </w:tbl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8"/>
        </w:rPr>
      </w:pPr>
      <w:r>
        <w:rPr>
          <w:sz w:val="28"/>
        </w:rPr>
        <w:t>Задание 4.</w:t>
      </w:r>
    </w:p>
    <w:p w:rsidR="00851499" w:rsidRDefault="00851499">
      <w:pPr>
        <w:jc w:val="center"/>
        <w:rPr>
          <w:sz w:val="28"/>
        </w:rPr>
      </w:pPr>
    </w:p>
    <w:p w:rsidR="00851499" w:rsidRDefault="00851499">
      <w:pPr>
        <w:pStyle w:val="a3"/>
      </w:pPr>
      <w:r>
        <w:t xml:space="preserve">Пояснить назначение сигнализации на АТСКУ.  Описать назначение одного из видов сигнализации и причина появле6ния соответствующих сигналов. </w:t>
      </w:r>
    </w:p>
    <w:p w:rsidR="00851499" w:rsidRDefault="00851499">
      <w:pPr>
        <w:jc w:val="center"/>
        <w:rPr>
          <w:sz w:val="24"/>
        </w:rPr>
      </w:pPr>
      <w:r>
        <w:rPr>
          <w:sz w:val="24"/>
        </w:rPr>
        <w:t>Исходные данные.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077"/>
      </w:tblGrid>
      <w:tr w:rsidR="00851499">
        <w:tc>
          <w:tcPr>
            <w:tcW w:w="407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Виды сигнализации и сигналов</w:t>
            </w:r>
          </w:p>
        </w:tc>
        <w:tc>
          <w:tcPr>
            <w:tcW w:w="407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Рядовая</w:t>
            </w:r>
          </w:p>
        </w:tc>
      </w:tr>
      <w:tr w:rsidR="00851499">
        <w:tc>
          <w:tcPr>
            <w:tcW w:w="407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Сигналы снимаемые с СВА</w:t>
            </w:r>
          </w:p>
        </w:tc>
        <w:tc>
          <w:tcPr>
            <w:tcW w:w="407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Вызывного типа</w:t>
            </w:r>
          </w:p>
        </w:tc>
      </w:tr>
    </w:tbl>
    <w:p w:rsidR="00851499" w:rsidRDefault="00851499">
      <w:pPr>
        <w:jc w:val="center"/>
        <w:rPr>
          <w:sz w:val="22"/>
        </w:rPr>
      </w:pPr>
    </w:p>
    <w:p w:rsidR="00851499" w:rsidRDefault="00851499">
      <w:pPr>
        <w:rPr>
          <w:sz w:val="22"/>
          <w:lang w:val="en-US"/>
        </w:rPr>
      </w:pPr>
      <w:r>
        <w:rPr>
          <w:sz w:val="22"/>
        </w:rPr>
        <w:t xml:space="preserve">Устройства станционной сигнализации предназначены для контроля действия приборов АТС и создания оптических и акустических сигналов при их повреждениях или неправильной работе. По степени важности различают следующие виды сигналов: аварийные, групповые и отдельные. К аварийным относятся сигналы, вызванные перегоранием предохранителей: рядового, стативных СВУ, МГ, КП, КСА, ПЭУ, АОН, АК-АВ, платы маркера АК-АВ. Групповые сигналы появляются при перегорании всех стативных предохранителей на 6 А, индивидуальных на платах маркеров АИ-СД, ГИ, ГИК, РИА и на стативе УЗПИ, предохранителя МКС, а также при блокировках маркера АИ-СД, ГИ, ГИК, РИА, РИВ, нарушении работы МКПП, электронных регистров или неисправности в цепях вызывного тока. Отдельные сигналы возникают при перегорании индивидуальных предохранителей приборов, блокировке комплектов РСЛ, безотбойности абонентских устройств. Наиболее важные оптические сигналы сопровождаются непрерывным акустическим сигналом </w:t>
      </w:r>
      <w:r>
        <w:rPr>
          <w:sz w:val="22"/>
          <w:lang w:val="en-US"/>
        </w:rPr>
        <w:t>(</w:t>
      </w:r>
      <w:r>
        <w:rPr>
          <w:sz w:val="22"/>
        </w:rPr>
        <w:t>звонком</w:t>
      </w:r>
      <w:r>
        <w:rPr>
          <w:sz w:val="22"/>
          <w:lang w:val="en-US"/>
        </w:rPr>
        <w:t>), остальные – прерывистым звонком. Сигналы одного вида появляются немедленно после повреждения, другие, например сигнал о безотбойности абонентской линии, с выдержкой во времени.</w:t>
      </w:r>
    </w:p>
    <w:p w:rsidR="00851499" w:rsidRDefault="00851499">
      <w:pPr>
        <w:rPr>
          <w:sz w:val="22"/>
          <w:lang w:val="en-US"/>
        </w:rPr>
      </w:pPr>
      <w:r>
        <w:rPr>
          <w:sz w:val="22"/>
          <w:lang w:val="en-US"/>
        </w:rPr>
        <w:t>По месту действия сигнализация подразделяется на стативную, рядовую, групповую и общестанционную. Кроме того, предусмотрено табло выносной сигнализации, устанавливаемое за пределами автоматного зала.</w:t>
      </w:r>
    </w:p>
    <w:p w:rsidR="00851499" w:rsidRDefault="00851499">
      <w:pPr>
        <w:pStyle w:val="2"/>
        <w:rPr>
          <w:u w:val="none"/>
          <w:lang w:val="ru-RU"/>
        </w:rPr>
      </w:pPr>
      <w:r>
        <w:t xml:space="preserve">Рядовая сигнализация </w:t>
      </w:r>
      <w:r>
        <w:rPr>
          <w:u w:val="none"/>
        </w:rPr>
        <w:t>дублирует все сигналы стативов ряда</w:t>
      </w:r>
      <w:r>
        <w:rPr>
          <w:u w:val="none"/>
          <w:lang w:val="ru-RU"/>
        </w:rPr>
        <w:t>. На плате рядовой сигнализации имеются два главных предохранителя по 6 А, два реле – А и РС и восемь сигнальных ламп: А (синяя</w:t>
      </w:r>
      <w:r>
        <w:rPr>
          <w:u w:val="none"/>
        </w:rPr>
        <w:t>)</w:t>
      </w:r>
      <w:r>
        <w:rPr>
          <w:u w:val="none"/>
          <w:lang w:val="ru-RU"/>
        </w:rPr>
        <w:t xml:space="preserve"> – аварийная сигнализация, ПП </w:t>
      </w:r>
      <w:r>
        <w:rPr>
          <w:u w:val="none"/>
        </w:rPr>
        <w:t>(</w:t>
      </w:r>
      <w:r>
        <w:rPr>
          <w:u w:val="none"/>
          <w:lang w:val="ru-RU"/>
        </w:rPr>
        <w:t>матово-белая</w:t>
      </w:r>
      <w:r>
        <w:rPr>
          <w:u w:val="none"/>
        </w:rPr>
        <w:t>)</w:t>
      </w:r>
      <w:r>
        <w:rPr>
          <w:u w:val="none"/>
          <w:lang w:val="ru-RU"/>
        </w:rPr>
        <w:t xml:space="preserve"> – перегорание индивидуальных предохранителей; ТС </w:t>
      </w:r>
      <w:r>
        <w:rPr>
          <w:u w:val="none"/>
        </w:rPr>
        <w:t>(</w:t>
      </w:r>
      <w:r>
        <w:rPr>
          <w:u w:val="none"/>
          <w:lang w:val="ru-RU"/>
        </w:rPr>
        <w:t>красная</w:t>
      </w:r>
      <w:r>
        <w:rPr>
          <w:u w:val="none"/>
        </w:rPr>
        <w:t>)</w:t>
      </w:r>
      <w:r>
        <w:rPr>
          <w:u w:val="none"/>
          <w:lang w:val="ru-RU"/>
        </w:rPr>
        <w:t xml:space="preserve"> – техническая сигнализация, АС </w:t>
      </w:r>
      <w:r>
        <w:rPr>
          <w:u w:val="none"/>
        </w:rPr>
        <w:t>(</w:t>
      </w:r>
      <w:r>
        <w:rPr>
          <w:u w:val="none"/>
          <w:lang w:val="ru-RU"/>
        </w:rPr>
        <w:t>зеленая</w:t>
      </w:r>
      <w:r>
        <w:rPr>
          <w:u w:val="none"/>
        </w:rPr>
        <w:t>)</w:t>
      </w:r>
      <w:r>
        <w:rPr>
          <w:u w:val="none"/>
          <w:lang w:val="ru-RU"/>
        </w:rPr>
        <w:t xml:space="preserve"> – абонентская сигнализация, БЛ </w:t>
      </w:r>
      <w:r>
        <w:rPr>
          <w:u w:val="none"/>
        </w:rPr>
        <w:t>(</w:t>
      </w:r>
      <w:r>
        <w:rPr>
          <w:u w:val="none"/>
          <w:lang w:val="ru-RU"/>
        </w:rPr>
        <w:t>белая</w:t>
      </w:r>
      <w:r>
        <w:rPr>
          <w:u w:val="none"/>
        </w:rPr>
        <w:t>)</w:t>
      </w:r>
      <w:r>
        <w:rPr>
          <w:u w:val="none"/>
          <w:lang w:val="ru-RU"/>
        </w:rPr>
        <w:t xml:space="preserve"> – блокировка комплекта РСЛ, НИ (фиолетовая</w:t>
      </w:r>
      <w:r>
        <w:rPr>
          <w:u w:val="none"/>
        </w:rPr>
        <w:t>)</w:t>
      </w:r>
      <w:r>
        <w:rPr>
          <w:u w:val="none"/>
          <w:lang w:val="ru-RU"/>
        </w:rPr>
        <w:t xml:space="preserve"> – неисправность в цепи вызывного тока, ПР1 </w:t>
      </w:r>
      <w:r>
        <w:rPr>
          <w:u w:val="none"/>
        </w:rPr>
        <w:t>(</w:t>
      </w:r>
      <w:r>
        <w:rPr>
          <w:u w:val="none"/>
          <w:lang w:val="ru-RU"/>
        </w:rPr>
        <w:t>оранжевая</w:t>
      </w:r>
      <w:r>
        <w:rPr>
          <w:u w:val="none"/>
        </w:rPr>
        <w:t>)</w:t>
      </w:r>
      <w:r>
        <w:rPr>
          <w:u w:val="none"/>
          <w:lang w:val="ru-RU"/>
        </w:rPr>
        <w:t xml:space="preserve"> – перегорание рядового предохранителя (30 А</w:t>
      </w:r>
      <w:r>
        <w:rPr>
          <w:u w:val="none"/>
        </w:rPr>
        <w:t>)</w:t>
      </w:r>
      <w:r>
        <w:rPr>
          <w:u w:val="none"/>
          <w:lang w:val="ru-RU"/>
        </w:rPr>
        <w:t xml:space="preserve">, ПР2 </w:t>
      </w:r>
      <w:r>
        <w:rPr>
          <w:u w:val="none"/>
        </w:rPr>
        <w:t>(</w:t>
      </w:r>
      <w:r>
        <w:rPr>
          <w:u w:val="none"/>
          <w:lang w:val="ru-RU"/>
        </w:rPr>
        <w:t>желтая</w:t>
      </w:r>
      <w:r>
        <w:rPr>
          <w:u w:val="none"/>
        </w:rPr>
        <w:t>)</w:t>
      </w:r>
      <w:r>
        <w:rPr>
          <w:u w:val="none"/>
          <w:lang w:val="ru-RU"/>
        </w:rPr>
        <w:t xml:space="preserve"> – перегорание главных предохранителей платы рядовой сигнализации. </w:t>
      </w:r>
      <w:r>
        <w:rPr>
          <w:u w:val="none"/>
        </w:rPr>
        <w:t xml:space="preserve"> </w:t>
      </w:r>
      <w:r>
        <w:rPr>
          <w:u w:val="none"/>
          <w:lang w:val="ru-RU"/>
        </w:rPr>
        <w:t xml:space="preserve">  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рсли-2      вшк, рсли-2</w:t>
      </w:r>
    </w:p>
    <w:p w:rsidR="00851499" w:rsidRDefault="00145CA9">
      <w:pPr>
        <w:rPr>
          <w:sz w:val="22"/>
        </w:rPr>
      </w:pPr>
      <w:r>
        <w:rPr>
          <w:noProof/>
          <w:sz w:val="22"/>
        </w:rPr>
        <w:pict>
          <v:group id="_x0000_s1240" style="position:absolute;margin-left:.2pt;margin-top:5.45pt;width:172.8pt;height:316.8pt;z-index:251665920" coordorigin="288,1152" coordsize="3456,6336" o:allowincell="f">
            <v:shape id="_x0000_s1150" style="position:absolute;left:1440;top:1152;width:288;height:144;flip:y" coordsize="432,144" path="m,c48,72,96,144,144,144,192,144,240,,288,v48,,120,120,144,144e" filled="f">
              <v:path arrowok="t"/>
            </v:shape>
            <v:group id="_x0000_s1238" style="position:absolute;left:288;top:1296;width:3456;height:6192" coordorigin="288,1296" coordsize="3456,6192">
              <v:line id="_x0000_s1156" style="position:absolute" from="1584,1296" to="1584,1728">
                <v:stroke startarrow="block"/>
              </v:line>
              <v:line id="_x0000_s1157" style="position:absolute" from="2448,1296" to="2448,1728">
                <v:stroke startarrow="block"/>
              </v:line>
              <v:line id="_x0000_s1158" style="position:absolute" from="1584,1728" to="1728,1728"/>
              <v:line id="_x0000_s1159" style="position:absolute" from="2448,1728" to="2592,1728"/>
              <v:line id="_x0000_s1160" style="position:absolute;flip:x" from="1728,1584" to="1872,2160"/>
              <v:line id="_x0000_s1162" style="position:absolute;flip:x" from="2592,1584" to="2736,2160"/>
              <v:line id="_x0000_s1163" style="position:absolute" from="1728,2160" to="1728,3024"/>
              <v:line id="_x0000_s1164" style="position:absolute;flip:x" from="1152,2592" to="1728,2592"/>
              <v:group id="_x0000_s1165" style="position:absolute;left:1440;top:2448;width:144;height:288" coordorigin="2304,2016" coordsize="144,288">
                <v:line id="_x0000_s1166" style="position:absolute;flip:x" from="2304,2016" to="2448,2160"/>
                <v:line id="_x0000_s1167" style="position:absolute" from="2304,2160" to="2448,2304"/>
                <v:line id="_x0000_s1168" style="position:absolute" from="2448,2016" to="2448,2304"/>
                <v:line id="_x0000_s1169" style="position:absolute" from="2304,2016" to="2304,2304"/>
              </v:group>
              <v:group id="_x0000_s1207" style="position:absolute;left:720;top:2304;width:432;height:576" coordorigin="720,2304" coordsize="432,576">
                <v:line id="_x0000_s1174" style="position:absolute" from="1152,2304" to="1152,2880"/>
                <v:line id="_x0000_s1175" style="position:absolute" from="720,2304" to="1152,2304"/>
                <v:line id="_x0000_s1176" style="position:absolute" from="720,2880" to="1152,2880"/>
                <v:line id="_x0000_s1177" style="position:absolute" from="720,2304" to="720,2880"/>
              </v:group>
              <v:line id="_x0000_s1178" style="position:absolute" from="1728,3024" to="1728,3168"/>
              <v:line id="_x0000_s1179" style="position:absolute;flip:x" from="1584,3168" to="1728,3456"/>
              <v:shape id="_x0000_s1181" style="position:absolute;left:720;top:3888;width:144;height:1152" coordsize="144,1152" path="m,c72,48,144,96,144,144,144,192,,240,,288v,48,144,96,144,144c144,480,,528,,576v,48,144,96,144,144c144,768,,816,,864v,48,144,96,144,144c144,1056,72,1104,,1152e" filled="f">
                <v:path arrowok="t"/>
              </v:shape>
              <v:shape id="_x0000_s1183" style="position:absolute;left:1152;top:3888;width:144;height:576" coordsize="144,576" path="m144,c72,48,,96,,144v,48,144,96,144,144c144,336,,384,,432v,48,120,120,144,144e" filled="f">
                <v:path arrowok="t"/>
              </v:shape>
              <v:line id="_x0000_s1184" style="position:absolute;flip:x" from="1296,3312" to="1728,3312"/>
              <v:line id="_x0000_s1185" style="position:absolute" from="1296,3312" to="1296,3888"/>
              <v:line id="_x0000_s1186" style="position:absolute" from="1008,3888" to="1008,5040"/>
              <v:shape id="_x0000_s1187" style="position:absolute;left:1152;top:4608;width:144;height:576" coordsize="144,576" path="m144,c72,48,,96,,144v,48,144,96,144,144c144,336,,384,,432v,48,120,120,144,144e" filled="f">
                <v:path arrowok="t"/>
              </v:shape>
              <v:line id="_x0000_s1188" style="position:absolute" from="432,3744" to="1584,3744"/>
              <v:line id="_x0000_s1189" style="position:absolute" from="1584,3744" to="1584,5328"/>
              <v:line id="_x0000_s1190" style="position:absolute" from="432,3744" to="432,5328"/>
              <v:line id="_x0000_s1191" style="position:absolute" from="432,5328" to="1584,5328"/>
              <v:line id="_x0000_s1192" style="position:absolute" from="1296,5184" to="2016,5184"/>
              <v:line id="_x0000_s1193" style="position:absolute;flip:y" from="2016,5040" to="2016,5184"/>
              <v:line id="_x0000_s1194" style="position:absolute" from="2016,5040" to="2448,5040"/>
              <v:line id="_x0000_s1195" style="position:absolute" from="2592,2160" to="2592,4752"/>
              <v:line id="_x0000_s1196" style="position:absolute" from="2448,5040" to="2592,5040"/>
              <v:line id="_x0000_s1197" style="position:absolute;flip:x" from="2448,4752" to="2592,5184"/>
              <v:line id="_x0000_s1198" style="position:absolute" from="2592,2592" to="3168,2592"/>
              <v:line id="_x0000_s1199" style="position:absolute" from="3168,2592" to="3312,2592"/>
              <v:line id="_x0000_s1202" style="position:absolute" from="2880,2448" to="2880,2736"/>
              <v:line id="_x0000_s1203" style="position:absolute" from="2880,2448" to="3024,2592"/>
              <v:line id="_x0000_s1204" style="position:absolute;flip:y" from="2880,2592" to="3024,2736"/>
              <v:line id="_x0000_s1206" style="position:absolute" from="3024,2448" to="3024,2736"/>
              <v:group id="_x0000_s1208" style="position:absolute;left:3312;top:2304;width:432;height:576" coordorigin="720,2304" coordsize="432,576">
                <v:line id="_x0000_s1209" style="position:absolute" from="1152,2304" to="1152,2880"/>
                <v:line id="_x0000_s1210" style="position:absolute" from="720,2304" to="1152,2304"/>
                <v:line id="_x0000_s1211" style="position:absolute" from="720,2880" to="1152,2880"/>
                <v:line id="_x0000_s1212" style="position:absolute" from="720,2304" to="720,2880"/>
              </v:group>
              <v:line id="_x0000_s1213" style="position:absolute" from="2160,3312" to="2160,5760">
                <v:stroke endarrow="block"/>
              </v:line>
              <v:line id="_x0000_s1214" style="position:absolute" from="2016,3312" to="2160,3312"/>
              <v:line id="_x0000_s1215" style="position:absolute" from="1872,3312" to="2016,3312"/>
              <v:line id="_x0000_s1216" style="position:absolute" from="2736,5040" to="3024,5040"/>
              <v:line id="_x0000_s1217" style="position:absolute" from="3024,5040" to="3024,5760">
                <v:stroke endarrow="block"/>
              </v:line>
              <v:line id="_x0000_s1218" style="position:absolute" from="720,5040" to="720,6336"/>
              <v:line id="_x0000_s1219" style="position:absolute" from="576,6336" to="864,6336"/>
              <v:shape id="_x0000_s1223" style="position:absolute;left:720;top:6480;width:288;height:144;flip:y" coordsize="432,144" path="m,c48,72,96,144,144,144,192,144,240,,288,v48,,120,120,144,144e" filled="f">
                <v:path arrowok="t"/>
              </v:shape>
              <v:line id="_x0000_s1224" style="position:absolute" from="864,6336" to="1008,6336"/>
              <v:line id="_x0000_s1226" style="position:absolute" from="576,6336" to="576,6624"/>
              <v:line id="_x0000_s1227" style="position:absolute" from="576,6624" to="576,6768"/>
              <v:line id="_x0000_s1228" style="position:absolute" from="576,6768" to="1008,6768"/>
              <v:line id="_x0000_s1229" style="position:absolute" from="1152,6336" to="1152,6768"/>
              <v:line id="_x0000_s1230" style="position:absolute" from="1008,6336" to="1152,6336"/>
              <v:line id="_x0000_s1231" style="position:absolute" from="1008,6768" to="1152,6768"/>
              <v:line id="_x0000_s1232" style="position:absolute" from="288,6192" to="288,7056"/>
              <v:line id="_x0000_s1233" style="position:absolute" from="288,6192" to="3168,6192"/>
              <v:line id="_x0000_s1234" style="position:absolute" from="288,7056" to="3168,7056"/>
              <v:line id="_x0000_s1235" style="position:absolute" from="3168,6192" to="3168,7056"/>
              <v:line id="_x0000_s1236" style="position:absolute" from="1008,7056" to="1008,7488"/>
              <v:line id="_x0000_s1237" style="position:absolute" from="1728,7056" to="1728,7488"/>
            </v:group>
            <v:shape id="_x0000_s1239" style="position:absolute;left:2304;top:1152;width:288;height:144;flip:y" coordsize="432,144" path="m,c48,72,96,144,144,144,192,144,240,,288,v48,,120,120,144,144e" filled="f">
              <v:path arrowok="t"/>
            </v:shape>
          </v:group>
        </w:pict>
      </w:r>
      <w:r w:rsidR="00851499">
        <w:rPr>
          <w:sz w:val="22"/>
        </w:rPr>
        <w:t xml:space="preserve">                          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+               -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    кн            кн </w:t>
      </w: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         КИ                                          КИ</w:t>
      </w: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      ТР                </w:t>
      </w:r>
      <w:r>
        <w:rPr>
          <w:sz w:val="22"/>
          <w:lang w:val="en-US"/>
        </w:rPr>
        <w:t>n</w:t>
      </w:r>
      <w:r>
        <w:rPr>
          <w:sz w:val="22"/>
        </w:rPr>
        <w:t xml:space="preserve">      </w:t>
      </w:r>
    </w:p>
    <w:p w:rsidR="00851499" w:rsidRDefault="00851499">
      <w:pPr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  <w:lang w:val="en-US"/>
        </w:rPr>
      </w:pPr>
      <w:r>
        <w:rPr>
          <w:sz w:val="22"/>
          <w:lang w:val="en-US"/>
        </w:rPr>
        <w:t xml:space="preserve">                     +</w:t>
      </w:r>
    </w:p>
    <w:p w:rsidR="00851499" w:rsidRDefault="00851499">
      <w:pPr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rPr>
          <w:sz w:val="22"/>
          <w:lang w:val="en-US"/>
        </w:rPr>
      </w:pPr>
      <w:r>
        <w:rPr>
          <w:sz w:val="22"/>
          <w:lang w:val="en-US"/>
        </w:rPr>
        <w:t xml:space="preserve">                                           n  </w:t>
      </w: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rPr>
          <w:sz w:val="22"/>
          <w:lang w:val="en-US"/>
        </w:rPr>
      </w:pPr>
      <w:r>
        <w:rPr>
          <w:sz w:val="22"/>
          <w:lang w:val="en-US"/>
        </w:rPr>
        <w:t xml:space="preserve">                 25Гц            СВА  </w:t>
      </w: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 xml:space="preserve">               +           -     рис.3 Цепь снятия с СВА сигнала вызывного типа.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         </w:t>
      </w:r>
    </w:p>
    <w:p w:rsidR="00851499" w:rsidRDefault="00851499">
      <w:pPr>
        <w:rPr>
          <w:sz w:val="22"/>
        </w:rPr>
      </w:pPr>
      <w:r>
        <w:rPr>
          <w:sz w:val="22"/>
        </w:rPr>
        <w:t>Напряжение вызывного тока снимается с СВА на первичную обмотку трансформатора ТР, повышающего напряжение до 100 В. схема распределения напряжения вызывного тока по стативам АТС однопроводная, поэтому один конец вторичной обмотки ТР подключается к минусу батареи. Для РСЛИ-2 необходимо напряжение вызывного тока с минусом и плюсом, поэтому одна из вторичных обмоток ТР подключается к плюсу батареи.</w:t>
      </w: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8"/>
        </w:rPr>
      </w:pPr>
      <w:r>
        <w:rPr>
          <w:sz w:val="28"/>
        </w:rPr>
        <w:t>Задание 5.</w:t>
      </w:r>
    </w:p>
    <w:p w:rsidR="00851499" w:rsidRDefault="00851499">
      <w:pPr>
        <w:jc w:val="center"/>
        <w:rPr>
          <w:sz w:val="28"/>
        </w:rPr>
      </w:pPr>
    </w:p>
    <w:p w:rsidR="00851499" w:rsidRDefault="00851499">
      <w:pPr>
        <w:pStyle w:val="a3"/>
      </w:pPr>
      <w:r>
        <w:t>Пояснить назначение и функции одной из КИА АТСКУ.</w:t>
      </w:r>
    </w:p>
    <w:p w:rsidR="00851499" w:rsidRDefault="00851499">
      <w:pPr>
        <w:rPr>
          <w:sz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77"/>
      </w:tblGrid>
      <w:tr w:rsidR="00851499">
        <w:tc>
          <w:tcPr>
            <w:tcW w:w="2376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КИА</w:t>
            </w:r>
          </w:p>
        </w:tc>
        <w:tc>
          <w:tcPr>
            <w:tcW w:w="2977" w:type="dxa"/>
          </w:tcPr>
          <w:p w:rsidR="00851499" w:rsidRDefault="008514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Пульты ППМ, ППР</w:t>
            </w:r>
          </w:p>
        </w:tc>
      </w:tr>
    </w:tbl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>ППМ – предназначен для проверки и контроля работы маркеров, а также связанных с ними КП и РПА. При проверке маркеров АС-СД и ГИ он запоминает и обеспечивает индикацию на световом номеров входящей линии, направления и промежуточной линии, отметку о приеме цифр, начале и окончании пробы, включении электромагнитов МКС и т. д. При проверке маркера РИА фиксируются: номер входящей линии, отметка об окончании групповой и индивидуальных проб. Возможны режимы проверок: однократная, многократная, наблюдения за работой маркера, записи информации о состоянии реле по сигналам технической выдержки времени. Многократная проверка прекращается после контроля всех 20 промлиний, доступных входу.</w:t>
      </w:r>
    </w:p>
    <w:p w:rsidR="00851499" w:rsidRDefault="00851499">
      <w:pPr>
        <w:rPr>
          <w:sz w:val="22"/>
        </w:rPr>
      </w:pPr>
      <w:r>
        <w:rPr>
          <w:sz w:val="22"/>
        </w:rPr>
        <w:t xml:space="preserve">ППР – предназначен для проверки регистров АРБ, ВРД, ВРДБ, а также закрепленных за ними АКС, МКП, РПА и КП. С помощью пульта в регистр вводится информация: в АРБ шлейфными импульсами, в ВРД и ВРДБ батарейными импульсами. Пульт принимает информацию, выдаваемую регистром, многочастотным кодом или батарейными импульсами. Пульт содержит кодовый приемник. Напряжение частот </w:t>
      </w:r>
      <w:r>
        <w:rPr>
          <w:sz w:val="22"/>
          <w:lang w:val="en-US"/>
        </w:rPr>
        <w:t xml:space="preserve">f0,….,f11 </w:t>
      </w:r>
      <w:r>
        <w:rPr>
          <w:sz w:val="22"/>
        </w:rPr>
        <w:t xml:space="preserve">для обмена с регистром подводится кабелем с соединительной колодкой, подключаемой к колодке на стативе. Программа проверки задается с помощью кнопок. В цепи выдачи и приема информации можно вводить сопротивление, емкость и сопротивление утечки, имитируя абонентскую и соединительную линии.  </w:t>
      </w: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  <w:r>
        <w:rPr>
          <w:sz w:val="22"/>
        </w:rPr>
        <w:t>Используемая литература:</w:t>
      </w:r>
    </w:p>
    <w:p w:rsidR="00851499" w:rsidRDefault="00851499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Корнышев Ю.Н. «Станционные сооружения городских телефонных сетей»        М. «Радио и связь» 1987.</w:t>
      </w:r>
    </w:p>
    <w:p w:rsidR="00851499" w:rsidRDefault="00851499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Рабочая программа «Аналоговые системы коммутации» Ставрополь.СКС 1998. </w:t>
      </w: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</w:p>
    <w:p w:rsidR="00851499" w:rsidRDefault="00851499">
      <w:pPr>
        <w:jc w:val="center"/>
        <w:rPr>
          <w:sz w:val="22"/>
        </w:rPr>
      </w:pPr>
      <w:bookmarkStart w:id="0" w:name="_GoBack"/>
      <w:bookmarkEnd w:id="0"/>
    </w:p>
    <w:sectPr w:rsidR="00851499">
      <w:pgSz w:w="11906" w:h="16838"/>
      <w:pgMar w:top="284" w:right="3684" w:bottom="6379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77D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694D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4F5A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FA9119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8B7720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9F706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D0A"/>
    <w:rsid w:val="00145CA9"/>
    <w:rsid w:val="003E1FAB"/>
    <w:rsid w:val="00851499"/>
    <w:rsid w:val="00D4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1"/>
    <o:shapelayout v:ext="edit">
      <o:idmap v:ext="edit" data="1"/>
    </o:shapelayout>
  </w:shapeDefaults>
  <w:decimalSymbol w:val=","/>
  <w:listSeparator w:val=";"/>
  <w15:chartTrackingRefBased/>
  <w15:docId w15:val="{80F81CB4-5362-4B71-81EC-9804BF1B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2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Аналоговые системы коммутации</vt:lpstr>
    </vt:vector>
  </TitlesOfParts>
  <Company>GTS</Company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Аналоговые системы коммутации</dc:title>
  <dc:subject/>
  <dc:creator>Елена</dc:creator>
  <cp:keywords/>
  <cp:lastModifiedBy>admin</cp:lastModifiedBy>
  <cp:revision>2</cp:revision>
  <cp:lastPrinted>2000-08-28T23:56:00Z</cp:lastPrinted>
  <dcterms:created xsi:type="dcterms:W3CDTF">2014-02-09T13:58:00Z</dcterms:created>
  <dcterms:modified xsi:type="dcterms:W3CDTF">2014-02-09T13:58:00Z</dcterms:modified>
</cp:coreProperties>
</file>