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70" w:rsidRPr="00D81E04" w:rsidRDefault="00E35470" w:rsidP="00E35470">
      <w:pPr>
        <w:spacing w:before="120"/>
        <w:jc w:val="center"/>
        <w:rPr>
          <w:b/>
          <w:sz w:val="32"/>
        </w:rPr>
      </w:pPr>
      <w:r w:rsidRPr="00D81E04">
        <w:rPr>
          <w:b/>
          <w:sz w:val="32"/>
        </w:rPr>
        <w:t>Фитные названия в теоретических руководствах XVII века</w:t>
      </w:r>
    </w:p>
    <w:p w:rsidR="00E35470" w:rsidRPr="00D81E04" w:rsidRDefault="00E35470" w:rsidP="00E35470">
      <w:pPr>
        <w:spacing w:before="120"/>
        <w:jc w:val="center"/>
        <w:rPr>
          <w:sz w:val="28"/>
        </w:rPr>
      </w:pPr>
      <w:r w:rsidRPr="00D81E04">
        <w:rPr>
          <w:sz w:val="28"/>
        </w:rPr>
        <w:t>Архимандрит Гусейнова З. М.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Вопросу фитных названий</w:t>
      </w:r>
      <w:r>
        <w:t xml:space="preserve">, </w:t>
      </w:r>
      <w:r w:rsidRPr="00071A5F">
        <w:t>их происхождения</w:t>
      </w:r>
      <w:r>
        <w:t xml:space="preserve">, </w:t>
      </w:r>
      <w:r w:rsidRPr="00071A5F">
        <w:t>бытования</w:t>
      </w:r>
      <w:r>
        <w:t xml:space="preserve">, </w:t>
      </w:r>
      <w:r w:rsidRPr="00071A5F">
        <w:t>значения посвящены многие страницы трудов М.В. Бражникова.</w:t>
      </w:r>
      <w:r>
        <w:t xml:space="preserve"> </w:t>
      </w:r>
      <w:r w:rsidRPr="00071A5F">
        <w:t>В "Древнерусской теории музыки" он приводит практически полный перечень фитных названий</w:t>
      </w:r>
      <w:r>
        <w:t xml:space="preserve">, </w:t>
      </w:r>
      <w:r w:rsidRPr="00071A5F">
        <w:t>когда-либо отмеченных им в рукописях (309)</w:t>
      </w:r>
      <w:r>
        <w:t xml:space="preserve">, </w:t>
      </w:r>
      <w:r w:rsidRPr="00071A5F">
        <w:t>дифференцировав фиты по времени происхождения – соответственно</w:t>
      </w:r>
      <w:r>
        <w:t xml:space="preserve">, </w:t>
      </w:r>
      <w:r w:rsidRPr="00071A5F">
        <w:t>XV-го</w:t>
      </w:r>
      <w:r>
        <w:t xml:space="preserve">, </w:t>
      </w:r>
      <w:r w:rsidRPr="00071A5F">
        <w:t>XVI-го и XVII-го вв.1 В другой же своей работе</w:t>
      </w:r>
      <w:r>
        <w:t xml:space="preserve"> - </w:t>
      </w:r>
      <w:r w:rsidRPr="00071A5F">
        <w:t>"Лица и фиты" исследователь устанавливает истоки происхождения названий</w:t>
      </w:r>
      <w:r>
        <w:t xml:space="preserve">, </w:t>
      </w:r>
      <w:r w:rsidRPr="00071A5F">
        <w:t xml:space="preserve">отмечая следующее: 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"Названия фит происходят от: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1) характера напева и его внутреннего музыкального содержания (высокая</w:t>
      </w:r>
      <w:r>
        <w:t xml:space="preserve">, </w:t>
      </w:r>
      <w:r w:rsidRPr="00071A5F">
        <w:t>светлая</w:t>
      </w:r>
      <w:r>
        <w:t xml:space="preserve">, </w:t>
      </w:r>
      <w:r w:rsidRPr="00071A5F">
        <w:t>красная и др.);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2) лежащего в основе напева текста и отдельных составляющих его слов (слезная</w:t>
      </w:r>
      <w:r>
        <w:t xml:space="preserve">, </w:t>
      </w:r>
      <w:r w:rsidRPr="00071A5F">
        <w:t>бисер);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3) соединения особенностей</w:t>
      </w:r>
      <w:r>
        <w:t xml:space="preserve">, </w:t>
      </w:r>
      <w:r w:rsidRPr="00071A5F">
        <w:t>указанных в первых двух пунктах (фита слезная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своим наименованием обязана слову "слезы"</w:t>
      </w:r>
      <w:r>
        <w:t xml:space="preserve">, </w:t>
      </w:r>
      <w:r w:rsidRPr="00071A5F">
        <w:t>находящемуся в тексте песнопения</w:t>
      </w:r>
      <w:r>
        <w:t xml:space="preserve">, </w:t>
      </w:r>
      <w:r w:rsidRPr="00071A5F">
        <w:t>а также характеру напева);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4) места в церемониале и события</w:t>
      </w:r>
      <w:r>
        <w:t xml:space="preserve">, </w:t>
      </w:r>
      <w:r w:rsidRPr="00071A5F">
        <w:t>которому посвящено песнопение (успенская</w:t>
      </w:r>
      <w:r>
        <w:t xml:space="preserve">, </w:t>
      </w:r>
      <w:r w:rsidRPr="00071A5F">
        <w:t>воздвиженская</w:t>
      </w:r>
      <w:r>
        <w:t xml:space="preserve">, </w:t>
      </w:r>
      <w:r w:rsidRPr="00071A5F">
        <w:t>входичная</w:t>
      </w:r>
      <w:r>
        <w:t xml:space="preserve">, </w:t>
      </w:r>
      <w:r w:rsidRPr="00071A5F">
        <w:t>надгробная);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5) наименования и состава отдельных знамен</w:t>
      </w:r>
      <w:r>
        <w:t xml:space="preserve">, </w:t>
      </w:r>
      <w:r w:rsidRPr="00071A5F">
        <w:t>из которых образовано начертание фиты (зельная</w:t>
      </w:r>
      <w:r>
        <w:t xml:space="preserve">, </w:t>
      </w:r>
      <w:r w:rsidRPr="00071A5F">
        <w:t>с рогом</w:t>
      </w:r>
      <w:r>
        <w:t xml:space="preserve">, </w:t>
      </w:r>
      <w:r w:rsidRPr="00071A5F">
        <w:t>переводочная</w:t>
      </w:r>
      <w:r>
        <w:t xml:space="preserve">, </w:t>
      </w:r>
      <w:r w:rsidRPr="00071A5F">
        <w:t>трехстрельная);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6) чистых или искаженных греческих слов (апостроф</w:t>
      </w:r>
      <w:r>
        <w:t xml:space="preserve">, </w:t>
      </w:r>
      <w:r w:rsidRPr="00071A5F">
        <w:t>хабува);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7) звукового сходства текста в его произнесении с каким-либо звучанием (названия</w:t>
      </w:r>
      <w:r>
        <w:t xml:space="preserve">, </w:t>
      </w:r>
      <w:r w:rsidRPr="00071A5F">
        <w:t>происходящие</w:t>
      </w:r>
      <w:r>
        <w:t xml:space="preserve">, </w:t>
      </w:r>
      <w:r w:rsidRPr="00071A5F">
        <w:t>возможно</w:t>
      </w:r>
      <w:r>
        <w:t xml:space="preserve">, </w:t>
      </w:r>
      <w:r w:rsidRPr="00071A5F">
        <w:t>от профессионального просторечия). К числу таких фит (а они очень редки) может быть отнесена фита</w:t>
      </w:r>
      <w:r>
        <w:t xml:space="preserve">, </w:t>
      </w:r>
      <w:r w:rsidRPr="00071A5F">
        <w:t>в фитниках приводимая на слово "бяше" и называемая "баран". Возможно</w:t>
      </w:r>
      <w:r>
        <w:t xml:space="preserve">, </w:t>
      </w:r>
      <w:r w:rsidRPr="00071A5F">
        <w:t>здесь имеет место своеобразное сравнение с блеянием барана</w:t>
      </w:r>
      <w:r>
        <w:t xml:space="preserve">, </w:t>
      </w:r>
      <w:r w:rsidRPr="00071A5F">
        <w:t>так как большая часть напева этой фиты приходится на слог "бя";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8) неизвестного значения (сернокрылая</w:t>
      </w:r>
      <w:r>
        <w:t xml:space="preserve">, </w:t>
      </w:r>
      <w:r w:rsidRPr="00071A5F">
        <w:t>аполотка). Сюда же могут быть отнесены такие наименования</w:t>
      </w:r>
      <w:r>
        <w:t xml:space="preserve">, </w:t>
      </w:r>
      <w:r w:rsidRPr="00071A5F">
        <w:t>как "кобыла"</w:t>
      </w:r>
      <w:r>
        <w:t xml:space="preserve">, </w:t>
      </w:r>
      <w:r w:rsidRPr="00071A5F">
        <w:t>"полукобылие".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Наименования фит должны быть предметом особого изучения с точки зрения их соответствия одним и тем же или различным начертаниям</w:t>
      </w:r>
      <w:r>
        <w:t xml:space="preserve">, </w:t>
      </w:r>
      <w:r w:rsidRPr="00071A5F">
        <w:t>со стороны филологической</w:t>
      </w:r>
      <w:r>
        <w:t xml:space="preserve">, </w:t>
      </w:r>
      <w:r w:rsidRPr="00071A5F">
        <w:t>хронологической</w:t>
      </w:r>
      <w:r>
        <w:t xml:space="preserve">, </w:t>
      </w:r>
      <w:r w:rsidRPr="00071A5F">
        <w:t xml:space="preserve">эстетической"2. 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Любая азбука-перечисление</w:t>
      </w:r>
      <w:r>
        <w:t xml:space="preserve">, </w:t>
      </w:r>
      <w:r w:rsidRPr="00071A5F">
        <w:t>начиная с XV века</w:t>
      </w:r>
      <w:r>
        <w:t xml:space="preserve">, </w:t>
      </w:r>
      <w:r w:rsidRPr="00071A5F">
        <w:t>приводит начертания фит</w:t>
      </w:r>
      <w:r>
        <w:t xml:space="preserve">, </w:t>
      </w:r>
      <w:r w:rsidRPr="00071A5F">
        <w:t>неизменно сопровождая их названиями. Однако</w:t>
      </w:r>
      <w:r>
        <w:t xml:space="preserve">, </w:t>
      </w:r>
      <w:r w:rsidRPr="00071A5F">
        <w:t>с появлением специальных руководств – фитников в начале XVII века ситуация меняется: названия фит в основном исчезают из "своих" теоретических руководств (как</w:t>
      </w:r>
      <w:r>
        <w:t xml:space="preserve">, </w:t>
      </w:r>
      <w:r w:rsidRPr="00071A5F">
        <w:t>кстати</w:t>
      </w:r>
      <w:r>
        <w:t xml:space="preserve">, </w:t>
      </w:r>
      <w:r w:rsidRPr="00071A5F">
        <w:t>и их начертания). Так в фитнике инока Христофора3 в азбуке-перечислении показано 24 фиты с названиями (л. 1001)</w:t>
      </w:r>
      <w:r>
        <w:t xml:space="preserve">, </w:t>
      </w:r>
      <w:r w:rsidRPr="00071A5F">
        <w:t>в то же время в фитнике с разводами есть название одной – утешительной. Она включена в раздел фит праздника Вознесения (л. 1021)</w:t>
      </w:r>
      <w:r>
        <w:t xml:space="preserve">, </w:t>
      </w:r>
      <w:r w:rsidRPr="00071A5F">
        <w:t>и то только для того</w:t>
      </w:r>
      <w:r>
        <w:t xml:space="preserve">, </w:t>
      </w:r>
      <w:r w:rsidRPr="00071A5F">
        <w:t>чтобы обозначить факт введения определенного распева</w:t>
      </w:r>
      <w:r>
        <w:t xml:space="preserve">, </w:t>
      </w:r>
      <w:r w:rsidRPr="00071A5F">
        <w:t>возникающего в песнопении ("От сих мест пошла [фита] утешителная")</w:t>
      </w:r>
      <w:r>
        <w:t xml:space="preserve">, </w:t>
      </w:r>
      <w:r w:rsidRPr="00071A5F">
        <w:t>а вовсе не для представления фиты. В Фитнике Федора Крестьянина4 названий тоже немного: кобыла</w:t>
      </w:r>
      <w:r>
        <w:t xml:space="preserve">, </w:t>
      </w:r>
      <w:r w:rsidRPr="00071A5F">
        <w:t>хабува</w:t>
      </w:r>
      <w:r>
        <w:t xml:space="preserve">, </w:t>
      </w:r>
      <w:r w:rsidRPr="00071A5F">
        <w:t>двоечелная</w:t>
      </w:r>
      <w:r>
        <w:t xml:space="preserve">, </w:t>
      </w:r>
      <w:r w:rsidRPr="00071A5F">
        <w:t>перевяска</w:t>
      </w:r>
      <w:r>
        <w:t xml:space="preserve">, </w:t>
      </w:r>
      <w:r w:rsidRPr="00071A5F">
        <w:t>зелная</w:t>
      </w:r>
      <w:r>
        <w:t xml:space="preserve">, </w:t>
      </w:r>
      <w:r w:rsidRPr="00071A5F">
        <w:t>светлая</w:t>
      </w:r>
      <w:r>
        <w:t xml:space="preserve">, </w:t>
      </w:r>
      <w:r w:rsidRPr="00071A5F">
        <w:t>мрачная. В Фитнике в "Ключе" Тихона Макарьевского по большинству списков (например</w:t>
      </w:r>
      <w:r>
        <w:t xml:space="preserve">, </w:t>
      </w:r>
      <w:r w:rsidRPr="00071A5F">
        <w:t>РНБ</w:t>
      </w:r>
      <w:r>
        <w:t xml:space="preserve">, </w:t>
      </w:r>
      <w:r w:rsidRPr="00071A5F">
        <w:t>собрание Вяземского Q № 215 и Q № 649) названий приблизительно столько же: красная</w:t>
      </w:r>
      <w:r>
        <w:t xml:space="preserve">, </w:t>
      </w:r>
      <w:r w:rsidRPr="00071A5F">
        <w:t>грановитка</w:t>
      </w:r>
      <w:r>
        <w:t xml:space="preserve">, </w:t>
      </w:r>
      <w:r w:rsidRPr="00071A5F">
        <w:t>кобыла</w:t>
      </w:r>
      <w:r>
        <w:t xml:space="preserve">, </w:t>
      </w:r>
      <w:r w:rsidRPr="00071A5F">
        <w:t>бисер многоценный.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Это вовсе не означает</w:t>
      </w:r>
      <w:r>
        <w:t xml:space="preserve">, </w:t>
      </w:r>
      <w:r w:rsidRPr="00071A5F">
        <w:t>что названия фит в певческой практике вышли из употребления. Весьма распространены случаи указаний фитных разводов в каких-либо рукописях именно посредством выписывания названий фит на полях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"красная". Практически это выглядит следующим образом: в тексте дается начертание фиты</w:t>
      </w:r>
      <w:r>
        <w:t xml:space="preserve">, </w:t>
      </w:r>
      <w:r w:rsidRPr="00071A5F">
        <w:t>а на поле против начертания – название фиты</w:t>
      </w:r>
      <w:r>
        <w:t xml:space="preserve">, </w:t>
      </w:r>
      <w:r w:rsidRPr="00071A5F">
        <w:t>которого</w:t>
      </w:r>
      <w:r>
        <w:t xml:space="preserve">, </w:t>
      </w:r>
      <w:r w:rsidRPr="00071A5F">
        <w:t>вероятно</w:t>
      </w:r>
      <w:r>
        <w:t xml:space="preserve">, </w:t>
      </w:r>
      <w:r w:rsidRPr="00071A5F">
        <w:t>было достаточно для указания распева. Именно на эти случаи ссылался Д.В. Разумовский</w:t>
      </w:r>
      <w:r>
        <w:t xml:space="preserve">, </w:t>
      </w:r>
      <w:r w:rsidRPr="00071A5F">
        <w:t>объясняя некоторые фиты. Однако</w:t>
      </w:r>
      <w:r>
        <w:t xml:space="preserve">, </w:t>
      </w:r>
      <w:r w:rsidRPr="00071A5F">
        <w:t>в рукописях гораздо чаще ссылка на распев осуществляется с помощью не названия фиты</w:t>
      </w:r>
      <w:r>
        <w:t xml:space="preserve">, </w:t>
      </w:r>
      <w:r w:rsidRPr="00071A5F">
        <w:t>а фрагмента подтекстовки ее развода. Например</w:t>
      </w:r>
      <w:r>
        <w:t xml:space="preserve">, </w:t>
      </w:r>
      <w:r w:rsidRPr="00071A5F">
        <w:t>в осмогласном цикле "Свете тихий" из рукописи РНБ конца XVII века Кир.-Бел. 725/982 (л. 154 об.) рядом с начертаниями фит в тексте стоят указания: в первом гласе</w:t>
      </w:r>
      <w:r>
        <w:t xml:space="preserve"> - </w:t>
      </w:r>
      <w:r w:rsidRPr="00071A5F">
        <w:t>"Снедию"</w:t>
      </w:r>
      <w:r>
        <w:t xml:space="preserve">, </w:t>
      </w:r>
      <w:r w:rsidRPr="00071A5F">
        <w:t>предполагая в качестве образца развод фиты в блаженне первого гласа "Снедию ради"</w:t>
      </w:r>
      <w:r>
        <w:t xml:space="preserve">, </w:t>
      </w:r>
      <w:r w:rsidRPr="00071A5F">
        <w:t>в третьем гласе – "Сердеца"</w:t>
      </w:r>
      <w:r>
        <w:t xml:space="preserve">, </w:t>
      </w:r>
      <w:r w:rsidRPr="00071A5F">
        <w:t>предполагая фиту из стихиры на стиховне праздника Троицы "Ныне во знамение" и так далее. Интересным случаем является подобная ссылка во втором гласе "Не рыдай"</w:t>
      </w:r>
      <w:r>
        <w:t xml:space="preserve">, </w:t>
      </w:r>
      <w:r w:rsidRPr="00071A5F">
        <w:t>указывающая на распев фиты по образцу ирмоса (возможно</w:t>
      </w:r>
      <w:r>
        <w:t xml:space="preserve">, </w:t>
      </w:r>
      <w:r w:rsidRPr="00071A5F">
        <w:t>задостойника) шестого гласа "Не рыдай мене</w:t>
      </w:r>
      <w:r>
        <w:t xml:space="preserve">, </w:t>
      </w:r>
      <w:r w:rsidRPr="00071A5F">
        <w:t>Мати". Следовательно</w:t>
      </w:r>
      <w:r>
        <w:t xml:space="preserve">, </w:t>
      </w:r>
      <w:r w:rsidRPr="00071A5F">
        <w:t>здесь в одном гласе вполне допускался развод по образцу другого гласа. В любом случае</w:t>
      </w:r>
      <w:r>
        <w:t xml:space="preserve">, </w:t>
      </w:r>
      <w:r w:rsidRPr="00071A5F">
        <w:t>цель приводимых указаний – определить распев</w:t>
      </w:r>
      <w:r>
        <w:t xml:space="preserve">, </w:t>
      </w:r>
      <w:r w:rsidRPr="00071A5F">
        <w:t xml:space="preserve">предназначенный для этого начертания. 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Почему же информация о фитах по их названиям стала вводиться реже</w:t>
      </w:r>
      <w:r>
        <w:t xml:space="preserve">, </w:t>
      </w:r>
      <w:r w:rsidRPr="00071A5F">
        <w:t>чем по их подтекстовкам? Возможно</w:t>
      </w:r>
      <w:r>
        <w:t xml:space="preserve">, </w:t>
      </w:r>
      <w:r w:rsidRPr="00071A5F">
        <w:t>здесь основную роль играла широко распространенное положение</w:t>
      </w:r>
      <w:r>
        <w:t xml:space="preserve">, </w:t>
      </w:r>
      <w:r w:rsidRPr="00071A5F">
        <w:t>а именно</w:t>
      </w:r>
      <w:r>
        <w:t xml:space="preserve">, </w:t>
      </w:r>
      <w:r w:rsidRPr="00071A5F">
        <w:t>принадлежность одной фиты к разным гласам. Введение названия в этой ситуации ничего не говорило о распеве в гласе</w:t>
      </w:r>
      <w:r>
        <w:t xml:space="preserve">, </w:t>
      </w:r>
      <w:r w:rsidRPr="00071A5F">
        <w:t>в то время как подтекстовка (фрагментами хорошо известных песнопений</w:t>
      </w:r>
      <w:r>
        <w:t xml:space="preserve">, </w:t>
      </w:r>
      <w:r w:rsidRPr="00071A5F">
        <w:t>строго связанных с определенным гласом) служила прямым указанием. Кроме того</w:t>
      </w:r>
      <w:r>
        <w:t xml:space="preserve">, </w:t>
      </w:r>
      <w:r w:rsidRPr="00071A5F">
        <w:t>как показывает документальный материал</w:t>
      </w:r>
      <w:r>
        <w:t xml:space="preserve">, </w:t>
      </w:r>
      <w:r w:rsidRPr="00071A5F">
        <w:t>формирование певческого репертуара (пение на подобен)</w:t>
      </w:r>
      <w:r>
        <w:t xml:space="preserve">, </w:t>
      </w:r>
      <w:r w:rsidRPr="00071A5F">
        <w:t>заучивание распевов традиционно осуществлялось на примере какого-либо распетого текста. Поэтому ссылка на развод более действенной оказывалась именно с позиций подтекстовки (это было "прямое напоминание")</w:t>
      </w:r>
      <w:r>
        <w:t xml:space="preserve">, </w:t>
      </w:r>
      <w:r w:rsidRPr="00071A5F">
        <w:t>нежели названия фиты (в этом случае возникало бы "косвенное напоминание").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Добавим к этому</w:t>
      </w:r>
      <w:r>
        <w:t xml:space="preserve">, </w:t>
      </w:r>
      <w:r w:rsidRPr="00071A5F">
        <w:t>что объяснение всех теоретических позиций в руководствах в XVII веке также происходило не абстрактно</w:t>
      </w:r>
      <w:r>
        <w:t xml:space="preserve">, </w:t>
      </w:r>
      <w:r w:rsidRPr="00071A5F">
        <w:t>а на основе музыкальных примеров. Попевки</w:t>
      </w:r>
      <w:r>
        <w:t xml:space="preserve">, </w:t>
      </w:r>
      <w:r w:rsidRPr="00071A5F">
        <w:t>строки</w:t>
      </w:r>
      <w:r>
        <w:t xml:space="preserve">, </w:t>
      </w:r>
      <w:r w:rsidRPr="00071A5F">
        <w:t>система помет</w:t>
      </w:r>
      <w:r>
        <w:t xml:space="preserve">, </w:t>
      </w:r>
      <w:r w:rsidRPr="00071A5F">
        <w:t>система звукоряда объяснялись посредством ссылок на музыкальные примеры. Хорошо знакомые</w:t>
      </w:r>
      <w:r>
        <w:t xml:space="preserve">, </w:t>
      </w:r>
      <w:r w:rsidRPr="00071A5F">
        <w:t>они иллюстрировали и дополняли теоретические положения. Везде использовался принцип "подобия": заученный образец давал возможность распева как прямых совпадающих образцов</w:t>
      </w:r>
      <w:r>
        <w:t xml:space="preserve">, </w:t>
      </w:r>
      <w:r w:rsidRPr="00071A5F">
        <w:t>так и распеваемых "по аналогии". Для получения точного результата более важным оказывалось напоминание текста</w:t>
      </w:r>
      <w:r>
        <w:t xml:space="preserve">, </w:t>
      </w:r>
      <w:r w:rsidRPr="00071A5F">
        <w:t>чем названия</w:t>
      </w:r>
      <w:r>
        <w:t xml:space="preserve">, </w:t>
      </w:r>
      <w:r w:rsidRPr="00071A5F">
        <w:t>которое</w:t>
      </w:r>
      <w:r>
        <w:t xml:space="preserve">, </w:t>
      </w:r>
      <w:r w:rsidRPr="00071A5F">
        <w:t>во-первых</w:t>
      </w:r>
      <w:r>
        <w:t xml:space="preserve">, </w:t>
      </w:r>
      <w:r w:rsidRPr="00071A5F">
        <w:t>отражало начертание вне гласа</w:t>
      </w:r>
      <w:r>
        <w:t xml:space="preserve">, </w:t>
      </w:r>
      <w:r w:rsidRPr="00071A5F">
        <w:t>во-вторых</w:t>
      </w:r>
      <w:r>
        <w:t xml:space="preserve">, </w:t>
      </w:r>
      <w:r w:rsidRPr="00071A5F">
        <w:t>существовало во многих вариантах (об этом свидетельствуют сами фитники и рядовые рукописи). Следовательно</w:t>
      </w:r>
      <w:r>
        <w:t xml:space="preserve">, </w:t>
      </w:r>
      <w:r w:rsidRPr="00071A5F">
        <w:t>поскольку тайнозамкненное начертание могло иметь несколько распевов</w:t>
      </w:r>
      <w:r>
        <w:t xml:space="preserve">, </w:t>
      </w:r>
      <w:r w:rsidRPr="00071A5F">
        <w:t>указание его не по названию</w:t>
      </w:r>
      <w:r>
        <w:t xml:space="preserve">, </w:t>
      </w:r>
      <w:r w:rsidRPr="00071A5F">
        <w:t>а по тексту предоставляло возможность избрания точно определенного распева.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Почему же тогда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в целом ряде кокизников сохраняются названия попевок? Вероятно</w:t>
      </w:r>
      <w:r>
        <w:t xml:space="preserve">, </w:t>
      </w:r>
      <w:r w:rsidRPr="00071A5F">
        <w:t>это происходит в тех случаях</w:t>
      </w:r>
      <w:r>
        <w:t xml:space="preserve">, </w:t>
      </w:r>
      <w:r w:rsidRPr="00071A5F">
        <w:t>когда цель руководства</w:t>
      </w:r>
      <w:r>
        <w:t xml:space="preserve"> - </w:t>
      </w:r>
      <w:r w:rsidRPr="00071A5F">
        <w:t>заучить не разводы</w:t>
      </w:r>
      <w:r>
        <w:t xml:space="preserve">, </w:t>
      </w:r>
      <w:r w:rsidRPr="00071A5F">
        <w:t>а начертания знаковых оборотов. Не случайно в одном из самых знаменитых теоретических руководств XVII века</w:t>
      </w:r>
      <w:r>
        <w:t xml:space="preserve"> - </w:t>
      </w:r>
      <w:r w:rsidRPr="00071A5F">
        <w:t>Согласнике в рукописи РНБ Соловецкого собрания 690/752</w:t>
      </w:r>
      <w:r>
        <w:t xml:space="preserve">, </w:t>
      </w:r>
      <w:r w:rsidRPr="00071A5F">
        <w:t>задача которого заключалась в том</w:t>
      </w:r>
      <w:r>
        <w:t xml:space="preserve">, </w:t>
      </w:r>
      <w:r w:rsidRPr="00071A5F">
        <w:t>чтобы показать в сравнении попевки знаменного и путного распевов</w:t>
      </w:r>
      <w:r>
        <w:t xml:space="preserve">, </w:t>
      </w:r>
      <w:r w:rsidRPr="00071A5F">
        <w:t>введены названия попевок</w:t>
      </w:r>
      <w:r>
        <w:t xml:space="preserve">, </w:t>
      </w:r>
      <w:r w:rsidRPr="00071A5F">
        <w:t>но нет их разводов. Следовательно</w:t>
      </w:r>
      <w:r>
        <w:t xml:space="preserve">, </w:t>
      </w:r>
      <w:r w:rsidRPr="00071A5F">
        <w:t>задача составителя заключалась здесь</w:t>
      </w:r>
      <w:r>
        <w:t xml:space="preserve">, </w:t>
      </w:r>
      <w:r w:rsidRPr="00071A5F">
        <w:t>главным образом</w:t>
      </w:r>
      <w:r>
        <w:t xml:space="preserve">, </w:t>
      </w:r>
      <w:r w:rsidRPr="00071A5F">
        <w:t>в сопоставлении именно начертаний</w:t>
      </w:r>
      <w:r>
        <w:t xml:space="preserve">, </w:t>
      </w:r>
      <w:r w:rsidRPr="00071A5F">
        <w:t>разводы же попевок были материалом второстепенным.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Очень немногие фитники XVII века при изложении фит содержат все четыре необходимых компонента основной фитной информации: разделение словаря фит по гласам</w:t>
      </w:r>
      <w:r>
        <w:t xml:space="preserve">, </w:t>
      </w:r>
      <w:r w:rsidRPr="00071A5F">
        <w:t>начертаниекаждой из фиты</w:t>
      </w:r>
      <w:r>
        <w:t xml:space="preserve">, </w:t>
      </w:r>
      <w:r w:rsidRPr="00071A5F">
        <w:t>ее название</w:t>
      </w:r>
      <w:r>
        <w:t xml:space="preserve">, </w:t>
      </w:r>
      <w:r w:rsidRPr="00071A5F">
        <w:t>ее развод с подтекстовкой. Среди таких фитников с полной информацией – один из трех фитников</w:t>
      </w:r>
      <w:r>
        <w:t xml:space="preserve">, </w:t>
      </w:r>
      <w:r w:rsidRPr="00071A5F">
        <w:t>включенных в состав знаменитого теоретического кодекса второй четверти XVII века из собрания Российской государственной библиотеки5</w:t>
      </w:r>
      <w:r>
        <w:t xml:space="preserve">, </w:t>
      </w:r>
      <w:r w:rsidRPr="00071A5F">
        <w:t>фонд 210 (Одоевского) № 16: "Сказание известно и разсужение существенно фитам. Каяждо фита именем зовется и како поется</w:t>
      </w:r>
      <w:r>
        <w:t xml:space="preserve">, </w:t>
      </w:r>
      <w:r w:rsidRPr="00071A5F">
        <w:t>сице имена им внимай и разумей". А в конце фитника отмечается: "Сии речь фиты. Сущих их числом речении шестьдесят с седмию" (л. 27). Но этот фитник</w:t>
      </w:r>
      <w:r>
        <w:t xml:space="preserve">, </w:t>
      </w:r>
      <w:r w:rsidRPr="00071A5F">
        <w:t>повторю</w:t>
      </w:r>
      <w:r>
        <w:t xml:space="preserve">, - </w:t>
      </w:r>
      <w:r w:rsidRPr="00071A5F">
        <w:t>очень редкий.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Лишь в руководствах преимущественно конца XVII века происходит своеобразная реабилитация фитных названий: они начинают "возвращаться" в свои руководства</w:t>
      </w:r>
      <w:r>
        <w:t xml:space="preserve">, </w:t>
      </w:r>
      <w:r w:rsidRPr="00071A5F">
        <w:t>сопровождая начертания фит и сосуществуя с их разводами. С этой точки зрения важен список "Ключа разумения" Тихона Макарьевского РНБ Q I № 188</w:t>
      </w:r>
      <w:r>
        <w:t xml:space="preserve">, </w:t>
      </w:r>
      <w:r w:rsidRPr="00071A5F">
        <w:t>один из немногих</w:t>
      </w:r>
      <w:r>
        <w:t xml:space="preserve">, </w:t>
      </w:r>
      <w:r w:rsidRPr="00071A5F">
        <w:t>в которых наличествуют названия фит7. Сохраняя в основном репертуар</w:t>
      </w:r>
      <w:r>
        <w:t xml:space="preserve">, </w:t>
      </w:r>
      <w:r w:rsidRPr="00071A5F">
        <w:t>последовательность изложения тайнозамкненных начертаний и их разводов</w:t>
      </w:r>
      <w:r>
        <w:t xml:space="preserve">, </w:t>
      </w:r>
      <w:r w:rsidRPr="00071A5F">
        <w:t>характерную для большинства списков "Ключа разумения"</w:t>
      </w:r>
      <w:r>
        <w:t xml:space="preserve">, </w:t>
      </w:r>
      <w:r w:rsidRPr="00071A5F">
        <w:t>список Q I № 188 в то же время вводит названия</w:t>
      </w:r>
      <w:r>
        <w:t xml:space="preserve">, </w:t>
      </w:r>
      <w:r w:rsidRPr="00071A5F">
        <w:t>которых нет в других списках</w:t>
      </w:r>
      <w:r>
        <w:t xml:space="preserve">, </w:t>
      </w:r>
      <w:r w:rsidRPr="00071A5F">
        <w:t>расширяя</w:t>
      </w:r>
      <w:r>
        <w:t xml:space="preserve">, </w:t>
      </w:r>
      <w:r w:rsidRPr="00071A5F">
        <w:t>таким образом</w:t>
      </w:r>
      <w:r>
        <w:t xml:space="preserve">, </w:t>
      </w:r>
      <w:r w:rsidRPr="00071A5F">
        <w:t>информацию "Ключа разумения"</w:t>
      </w:r>
      <w:r>
        <w:t xml:space="preserve">, </w:t>
      </w:r>
      <w:r w:rsidRPr="00071A5F">
        <w:t>известную по другим спискам.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В связи с дополнительной информацией</w:t>
      </w:r>
      <w:r>
        <w:t xml:space="preserve">, </w:t>
      </w:r>
      <w:r w:rsidRPr="00071A5F">
        <w:t>введенной в список Q I № 188</w:t>
      </w:r>
      <w:r>
        <w:t xml:space="preserve">, </w:t>
      </w:r>
      <w:r w:rsidRPr="00071A5F">
        <w:t>может возникнуть вопрос: "Может быть названия в фитнике являются их возвращенной</w:t>
      </w:r>
      <w:r>
        <w:t xml:space="preserve">, </w:t>
      </w:r>
      <w:r w:rsidRPr="00071A5F">
        <w:t>а не вновь введенной информацией? Проведенный с этой целью в данном списке Q I № 188 анализ названий позволил сделать следующее заключение: названия не возвращены в руководство</w:t>
      </w:r>
      <w:r>
        <w:t xml:space="preserve">, </w:t>
      </w:r>
      <w:r w:rsidRPr="00071A5F">
        <w:t>а привнесены в него из руководств другого типа (или других типов). Данное заключение следует из того</w:t>
      </w:r>
      <w:r>
        <w:t xml:space="preserve">, </w:t>
      </w:r>
      <w:r w:rsidRPr="00071A5F">
        <w:t>что даже в рамках одного гласа для в целом непохожих фит употребляются одинаковые названия. Это проистекает</w:t>
      </w:r>
      <w:r>
        <w:t xml:space="preserve">, </w:t>
      </w:r>
      <w:r w:rsidRPr="00071A5F">
        <w:t>на наш взгляд</w:t>
      </w:r>
      <w:r>
        <w:t xml:space="preserve">, </w:t>
      </w:r>
      <w:r w:rsidRPr="00071A5F">
        <w:t>из-за использования нескольких дополнительных руководств</w:t>
      </w:r>
      <w:r>
        <w:t xml:space="preserve">, </w:t>
      </w:r>
      <w:r w:rsidRPr="00071A5F">
        <w:t>в которых естественная многовариантность фитных начертаний</w:t>
      </w:r>
      <w:r>
        <w:t xml:space="preserve">, </w:t>
      </w:r>
      <w:r w:rsidRPr="00071A5F">
        <w:t>не говоря уже о разводах</w:t>
      </w:r>
      <w:r>
        <w:t xml:space="preserve">, </w:t>
      </w:r>
      <w:r w:rsidRPr="00071A5F">
        <w:t>привела к тому</w:t>
      </w:r>
      <w:r>
        <w:t xml:space="preserve">, </w:t>
      </w:r>
      <w:r w:rsidRPr="00071A5F">
        <w:t>что одно название могло употребляться для несхожих фит. В результате в списке Q I № 188 во втором гласе три фиты получили название "красная" и одна – "полукрасная"</w:t>
      </w:r>
      <w:r>
        <w:t xml:space="preserve">, </w:t>
      </w:r>
      <w:r w:rsidRPr="00071A5F">
        <w:t>в восьмом гласе – две фиты "красные" и две – "краснокрыжные"; во втором гласе два тайнозамкненных начертания называются "зелными" и одно "зилотным"</w:t>
      </w:r>
      <w:r>
        <w:t xml:space="preserve">, </w:t>
      </w:r>
      <w:r w:rsidRPr="00071A5F">
        <w:t>три – "двоечелными"</w:t>
      </w:r>
      <w:r>
        <w:t xml:space="preserve">, </w:t>
      </w:r>
      <w:r w:rsidRPr="00071A5F">
        <w:t>два – "мрачными"</w:t>
      </w:r>
      <w:r>
        <w:t xml:space="preserve">, </w:t>
      </w:r>
      <w:r w:rsidRPr="00071A5F">
        <w:t>два – "светлыми"; в четвертом гласе два начертания названы "светлыми"</w:t>
      </w:r>
      <w:r>
        <w:t xml:space="preserve">, </w:t>
      </w:r>
      <w:r w:rsidRPr="00071A5F">
        <w:t>два – "мрачными"</w:t>
      </w:r>
      <w:r>
        <w:t xml:space="preserve">, </w:t>
      </w:r>
      <w:r w:rsidRPr="00071A5F">
        <w:t>в восьмом гласе две фиты названы "высокими" и еще одна – "высокой с мечем" и так далее.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В этом же списке Q I № 188 целый ряд лиц – четыре в первом гласе и одно во втором гласе</w:t>
      </w:r>
      <w:r>
        <w:t xml:space="preserve"> - </w:t>
      </w:r>
      <w:r w:rsidRPr="00071A5F">
        <w:t>определен как "узол". Вообще лица в руководствах гораздо реже</w:t>
      </w:r>
      <w:r>
        <w:t xml:space="preserve">, </w:t>
      </w:r>
      <w:r w:rsidRPr="00071A5F">
        <w:t>чем фиты</w:t>
      </w:r>
      <w:r>
        <w:t xml:space="preserve">, </w:t>
      </w:r>
      <w:r w:rsidRPr="00071A5F">
        <w:t>получают названия. Тем более странно</w:t>
      </w:r>
      <w:r>
        <w:t xml:space="preserve">, </w:t>
      </w:r>
      <w:r w:rsidRPr="00071A5F">
        <w:t>что несколько разных лицевых начертаний объединяются одинаковым названием "узол". Вероятно</w:t>
      </w:r>
      <w:r>
        <w:t xml:space="preserve">, </w:t>
      </w:r>
      <w:r w:rsidRPr="00071A5F">
        <w:t>в данном случае термин "узол" выступает в качестве синонима термина "лицо". Данное название "узел"</w:t>
      </w:r>
      <w:r>
        <w:t xml:space="preserve">, </w:t>
      </w:r>
      <w:r w:rsidRPr="00071A5F">
        <w:t>"узол"</w:t>
      </w:r>
      <w:r>
        <w:t xml:space="preserve">, </w:t>
      </w:r>
      <w:r w:rsidRPr="00071A5F">
        <w:t>"узлы" (множественное число) довольно часто встречается в теоретических руководствах по отношению именно к лицам (термин "лицо" при этом часто означает начертание</w:t>
      </w:r>
      <w:r>
        <w:t xml:space="preserve">, </w:t>
      </w:r>
      <w:r w:rsidRPr="00071A5F">
        <w:t>графическую форму фит). Например</w:t>
      </w:r>
      <w:r>
        <w:t xml:space="preserve">, </w:t>
      </w:r>
      <w:r w:rsidRPr="00071A5F">
        <w:t>в рукописи РГБ ф. 379 (Разумовского) № 4 (кон. XVII в.) на л. 29 указывается: "Фитник на 8 гласов. Из Стихир евангельских</w:t>
      </w:r>
      <w:r>
        <w:t xml:space="preserve">, </w:t>
      </w:r>
      <w:r w:rsidRPr="00071A5F">
        <w:t>из Октая</w:t>
      </w:r>
      <w:r>
        <w:t xml:space="preserve">, </w:t>
      </w:r>
      <w:r w:rsidRPr="00071A5F">
        <w:t>из Треодей ис праздников. Изо всякаго пения. И узлы всякие". Здесь "узлы"</w:t>
      </w:r>
      <w:r>
        <w:t xml:space="preserve">, </w:t>
      </w:r>
      <w:r w:rsidRPr="00071A5F">
        <w:t>то есть лица вводятся после перечня фит. Во втором из трех фитников рукописи РГБ ф. 299 (Тихонравова) № 212 (кон. XVII в.)</w:t>
      </w:r>
      <w:r>
        <w:t xml:space="preserve">, </w:t>
      </w:r>
      <w:r w:rsidRPr="00071A5F">
        <w:t>расположенном на л. 127 об.</w:t>
      </w:r>
      <w:r>
        <w:t xml:space="preserve">, </w:t>
      </w:r>
      <w:r w:rsidRPr="00071A5F">
        <w:t>указывается: "Ины фиты. Узлы прибы[вочные]"</w:t>
      </w:r>
      <w:r>
        <w:t xml:space="preserve">, </w:t>
      </w:r>
      <w:r w:rsidRPr="00071A5F">
        <w:t>а в третьем (л. 151 об.) "Разводы фитам знаменным и имена им. Сия строки большия и узлы". Бражников М.В. в работе "Лица и фиты" употребляет термин "узел" по-разному. Он пишет: "Название "узлы" следует понимать как свидетельство сложности и запутанности начертаний и мелодических оборотов"8; далее "узел" вводится исследователем как название ряда тайнозамкненных оборотов: Л 1-</w:t>
      </w:r>
      <w:smartTag w:uri="urn:schemas-microsoft-com:office:smarttags" w:element="metricconverter">
        <w:smartTagPr>
          <w:attr w:name="ProductID" w:val="2, Л"/>
        </w:smartTagPr>
        <w:r w:rsidRPr="00071A5F">
          <w:t>2</w:t>
        </w:r>
        <w:r>
          <w:t xml:space="preserve">, </w:t>
        </w:r>
        <w:r w:rsidRPr="00071A5F">
          <w:t>Л</w:t>
        </w:r>
      </w:smartTag>
      <w:r w:rsidRPr="00071A5F">
        <w:t xml:space="preserve"> 1-</w:t>
      </w:r>
      <w:smartTag w:uri="urn:schemas-microsoft-com:office:smarttags" w:element="metricconverter">
        <w:smartTagPr>
          <w:attr w:name="ProductID" w:val="3, Л"/>
        </w:smartTagPr>
        <w:r w:rsidRPr="00071A5F">
          <w:t>3</w:t>
        </w:r>
        <w:r>
          <w:t xml:space="preserve">, </w:t>
        </w:r>
        <w:r w:rsidRPr="00071A5F">
          <w:t>Л</w:t>
        </w:r>
      </w:smartTag>
      <w:r w:rsidRPr="00071A5F">
        <w:t xml:space="preserve"> 1-4 и др.; затем термин "узел" употребляется в значении "лицо"9. Вероятно</w:t>
      </w:r>
      <w:r>
        <w:t xml:space="preserve">, </w:t>
      </w:r>
      <w:r w:rsidRPr="00071A5F">
        <w:t>именно третье значение термина является наиболее близким к тому</w:t>
      </w:r>
      <w:r>
        <w:t xml:space="preserve">, </w:t>
      </w:r>
      <w:r w:rsidRPr="00071A5F">
        <w:t>как использует его переписчик или</w:t>
      </w:r>
      <w:r>
        <w:t xml:space="preserve">, </w:t>
      </w:r>
      <w:r w:rsidRPr="00071A5F">
        <w:t>точнее</w:t>
      </w:r>
      <w:r>
        <w:t xml:space="preserve">, </w:t>
      </w:r>
      <w:r w:rsidRPr="00071A5F">
        <w:t>редактор "Ключа разумения" по списку Q I № 188. Он (редактор) в "своем" списке начал применять термин "узол" и применил его по отношению ко всем безымянным лицам первого гласа и к первому безымянному лицу второго гласа</w:t>
      </w:r>
      <w:r>
        <w:t xml:space="preserve">, </w:t>
      </w:r>
      <w:r w:rsidRPr="00071A5F">
        <w:t>однако не довел эту процедуру до конца. В лицах с 3 по 8 гласы этот термин "узол" не употребляется. Таким образом</w:t>
      </w:r>
      <w:r>
        <w:t xml:space="preserve">, </w:t>
      </w:r>
      <w:r w:rsidRPr="00071A5F">
        <w:t>слово "узел" ("узол") используется преимущественно для определения типа тайнозамкненного начертания (того</w:t>
      </w:r>
      <w:r>
        <w:t xml:space="preserve">, </w:t>
      </w:r>
      <w:r w:rsidRPr="00071A5F">
        <w:t>который мы сейчас называем "лицо")</w:t>
      </w:r>
      <w:r>
        <w:t xml:space="preserve">, </w:t>
      </w:r>
      <w:r w:rsidRPr="00071A5F">
        <w:t>как в итоге и устанавливает Бражников М.В.</w:t>
      </w:r>
      <w:r>
        <w:t xml:space="preserve">, </w:t>
      </w:r>
      <w:r w:rsidRPr="00071A5F">
        <w:t>а не является названием какого-либо отдельного тайнозамкненного оборота.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Таким образом</w:t>
      </w:r>
      <w:r>
        <w:t xml:space="preserve">, </w:t>
      </w:r>
      <w:r w:rsidRPr="00071A5F">
        <w:t>материалы фитников и рядовых рукописей XVII века позволяют нам сделать следующие выводы: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1. Использование названий фит (вероятно</w:t>
      </w:r>
      <w:r>
        <w:t xml:space="preserve">, </w:t>
      </w:r>
      <w:r w:rsidRPr="00071A5F">
        <w:t>и других тайнозамкненных оборотов) предполагалось только при показе начертаний. Представление же распевов осуществлялось с помощью подтекстовки</w:t>
      </w:r>
      <w:r>
        <w:t xml:space="preserve">, </w:t>
      </w:r>
      <w:r w:rsidRPr="00071A5F">
        <w:t>на что были</w:t>
      </w:r>
      <w:r>
        <w:t xml:space="preserve">, </w:t>
      </w:r>
      <w:r w:rsidRPr="00071A5F">
        <w:t>как кажется</w:t>
      </w:r>
      <w:r>
        <w:t xml:space="preserve">, </w:t>
      </w:r>
      <w:r w:rsidRPr="00071A5F">
        <w:t>две основные причины: во-первых</w:t>
      </w:r>
      <w:r>
        <w:t xml:space="preserve">, </w:t>
      </w:r>
      <w:r w:rsidRPr="00071A5F">
        <w:t>заучивание (а</w:t>
      </w:r>
      <w:r>
        <w:t xml:space="preserve">, </w:t>
      </w:r>
      <w:r w:rsidRPr="00071A5F">
        <w:t>следовательно) и знание распевов происходило именно на основе конкретных фрагментов текста песнопений; во-вторых</w:t>
      </w:r>
      <w:r>
        <w:t xml:space="preserve">, </w:t>
      </w:r>
      <w:r w:rsidRPr="00071A5F">
        <w:t>каждая из фит могла иметь по несколько распевов даже в пределах одного гласа</w:t>
      </w:r>
      <w:r>
        <w:t xml:space="preserve">, </w:t>
      </w:r>
      <w:r w:rsidRPr="00071A5F">
        <w:t>не говоря уже о разных гласах (они могли быть для распева</w:t>
      </w:r>
      <w:r>
        <w:t xml:space="preserve">, </w:t>
      </w:r>
      <w:r w:rsidRPr="00071A5F">
        <w:t>характерного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отдельно для ирмосов и отдельно для славников). В этих условиях начертание и название фиты не сообщало самого главного – необходимого в каждом конкретном случае распева.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2. Наличие всех компонентов фитной информации – начертаний</w:t>
      </w:r>
      <w:r>
        <w:t xml:space="preserve">, </w:t>
      </w:r>
      <w:r w:rsidRPr="00071A5F">
        <w:t>названий</w:t>
      </w:r>
      <w:r>
        <w:t xml:space="preserve">, </w:t>
      </w:r>
      <w:r w:rsidRPr="00071A5F">
        <w:t>разводов</w:t>
      </w:r>
      <w:r>
        <w:t xml:space="preserve">, </w:t>
      </w:r>
      <w:r w:rsidRPr="00071A5F">
        <w:t>гласовой дифференциации – отличало только очень немногие списки. Большинство фитников вероятно обходилось без некоторых из них</w:t>
      </w:r>
      <w:r>
        <w:t xml:space="preserve">, </w:t>
      </w:r>
      <w:r w:rsidRPr="00071A5F">
        <w:t>в первую очередь без названий. Заучивание и последующее использование фитных распевов гораздо точнее и направленнее осуществлялось с помощью подтекстовки</w:t>
      </w:r>
      <w:r>
        <w:t xml:space="preserve">, </w:t>
      </w:r>
      <w:r w:rsidRPr="00071A5F">
        <w:t>указывавшей глас и тип распева точнее</w:t>
      </w:r>
      <w:r>
        <w:t xml:space="preserve">, </w:t>
      </w:r>
      <w:r w:rsidRPr="00071A5F">
        <w:t>чем названия.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3. Введение названий в некоторые списки "Ключа" Тихона Макарьевского</w:t>
      </w:r>
      <w:r>
        <w:t xml:space="preserve">, </w:t>
      </w:r>
      <w:r w:rsidRPr="00071A5F">
        <w:t>в том числе и Q I № 188</w:t>
      </w:r>
      <w:r>
        <w:t xml:space="preserve">, </w:t>
      </w:r>
      <w:r w:rsidRPr="00071A5F">
        <w:t>осуществлялось позднее</w:t>
      </w:r>
      <w:r>
        <w:t xml:space="preserve">, </w:t>
      </w:r>
      <w:r w:rsidRPr="00071A5F">
        <w:t>а не было заложено в руководстве изначально. Об этом свидетельствуют непоследовательность в применении названий</w:t>
      </w:r>
      <w:r>
        <w:t xml:space="preserve">, </w:t>
      </w:r>
      <w:r w:rsidRPr="00071A5F">
        <w:t>повторяемость их по отношению к разным начертаниям</w:t>
      </w:r>
      <w:r>
        <w:t xml:space="preserve">, </w:t>
      </w:r>
      <w:r w:rsidRPr="00071A5F">
        <w:t>возникающие внутренние противоречия. Таким образом</w:t>
      </w:r>
      <w:r>
        <w:t xml:space="preserve">, </w:t>
      </w:r>
      <w:r w:rsidRPr="00071A5F">
        <w:t>введение названий в один из списков "Ключа разумения" – это результат работы редактора</w:t>
      </w:r>
      <w:r>
        <w:t xml:space="preserve">, </w:t>
      </w:r>
      <w:r w:rsidRPr="00071A5F">
        <w:t>но не автора руководства.</w:t>
      </w:r>
    </w:p>
    <w:p w:rsidR="00E35470" w:rsidRPr="00D81E04" w:rsidRDefault="00E35470" w:rsidP="00E3547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Список литературы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1. Бражников М.В. Древнерусская теория музыки. – Л.: Музыка</w:t>
      </w:r>
      <w:r>
        <w:t xml:space="preserve">, </w:t>
      </w:r>
      <w:r w:rsidRPr="00071A5F">
        <w:t>1972. – С. 156-158.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2. Бражников М.В. Лица и фиты знаменного распева.- Л.: Музыка</w:t>
      </w:r>
      <w:r>
        <w:t xml:space="preserve">, </w:t>
      </w:r>
      <w:r w:rsidRPr="00071A5F">
        <w:t>1984.</w:t>
      </w:r>
      <w:r>
        <w:t xml:space="preserve"> - </w:t>
      </w:r>
      <w:r w:rsidRPr="00071A5F">
        <w:t>С. 24-25.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3. Рукопись Российской национальной библиотеки (далее – РНБ)</w:t>
      </w:r>
      <w:r>
        <w:t xml:space="preserve">, </w:t>
      </w:r>
      <w:r w:rsidRPr="00071A5F">
        <w:t>собр. Кирилло-Белозерского монастыря № 665/922. Опубл.: Христофор. Ключ знкаменной. 1604. Публ.</w:t>
      </w:r>
      <w:r>
        <w:t xml:space="preserve">, </w:t>
      </w:r>
      <w:r w:rsidRPr="00071A5F">
        <w:t>пер. М.В. Бражникова и Г.А. Никишова / Памятники русского музыкального искусства. Вып. 9. – М.: Музыка</w:t>
      </w:r>
      <w:r>
        <w:t xml:space="preserve">, </w:t>
      </w:r>
      <w:r w:rsidRPr="00071A5F">
        <w:t>1983. – С. 121.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4. Рукопись РНБ</w:t>
      </w:r>
      <w:r>
        <w:t xml:space="preserve">, </w:t>
      </w:r>
      <w:r w:rsidRPr="00071A5F">
        <w:t>собрание Погодина № 1925. Опубл.: Гусейнова З.М. Фитник Федора Крестьянина. – СПб.: изд СПбГК</w:t>
      </w:r>
      <w:r>
        <w:t xml:space="preserve">, </w:t>
      </w:r>
      <w:r w:rsidRPr="00071A5F">
        <w:t>2001. – С. 175-187.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5. Далее – РГБ.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6. Первый фитник – "Сказание известно и разсужение существенно фитам…" (л. 18 об.)</w:t>
      </w:r>
      <w:r>
        <w:t xml:space="preserve">, </w:t>
      </w:r>
      <w:r w:rsidRPr="00071A5F">
        <w:t>второй фитник – "Строки розводныя и фитам розвод" (л. 72)</w:t>
      </w:r>
      <w:r>
        <w:t xml:space="preserve">, </w:t>
      </w:r>
      <w:r w:rsidRPr="00071A5F">
        <w:t>третий фитник – "Фиты и строки изо ирмосов…" (л. 111 об.).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7. Отмечу</w:t>
      </w:r>
      <w:r>
        <w:t xml:space="preserve">, </w:t>
      </w:r>
      <w:r w:rsidRPr="00071A5F">
        <w:t>что этот список вошел в перечень источников для работы Бражникова М.В. "Лица и фиты знаменного распева" под № 2</w:t>
      </w:r>
      <w:r>
        <w:t xml:space="preserve">, </w:t>
      </w:r>
      <w:r w:rsidRPr="00071A5F">
        <w:t>и именно на нем основывался исследователь</w:t>
      </w:r>
      <w:r>
        <w:t xml:space="preserve">, </w:t>
      </w:r>
      <w:r w:rsidRPr="00071A5F">
        <w:t>приводя названия некоторых фит и лиц в своей работе. См.: Бражников М.В. Лица и фиты знаменного распева.</w:t>
      </w:r>
      <w:r>
        <w:t xml:space="preserve"> - </w:t>
      </w:r>
      <w:r w:rsidRPr="00071A5F">
        <w:t>С. 269.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8. Бражников М.В. Лица и фиты знаменного распева.</w:t>
      </w:r>
      <w:r>
        <w:t xml:space="preserve"> - </w:t>
      </w:r>
      <w:r w:rsidRPr="00071A5F">
        <w:t>С. 18.</w:t>
      </w:r>
    </w:p>
    <w:p w:rsidR="00E35470" w:rsidRPr="00071A5F" w:rsidRDefault="00E35470" w:rsidP="00E35470">
      <w:pPr>
        <w:spacing w:before="120"/>
        <w:ind w:firstLine="567"/>
        <w:jc w:val="both"/>
      </w:pPr>
      <w:r w:rsidRPr="00071A5F">
        <w:t>9. Бражников М.В. Лица и фиты знаменного распева.</w:t>
      </w:r>
      <w:r>
        <w:t xml:space="preserve"> - </w:t>
      </w:r>
      <w:r w:rsidRPr="00071A5F">
        <w:t>С. 128-129.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470"/>
    <w:rsid w:val="00071A5F"/>
    <w:rsid w:val="001A35F6"/>
    <w:rsid w:val="002C631A"/>
    <w:rsid w:val="005045D4"/>
    <w:rsid w:val="00811DD4"/>
    <w:rsid w:val="00D81E04"/>
    <w:rsid w:val="00E3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9D39D9-1776-4787-A691-F885774B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2152</Words>
  <Characters>12268</Characters>
  <Application>Microsoft Office Word</Application>
  <DocSecurity>0</DocSecurity>
  <Lines>102</Lines>
  <Paragraphs>28</Paragraphs>
  <ScaleCrop>false</ScaleCrop>
  <Company>Home</Company>
  <LinksUpToDate>false</LinksUpToDate>
  <CharactersWithSpaces>14392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Фитные названия в теоретических руководствах XVII века</dc:title>
  <dc:subject/>
  <dc:creator>User</dc:creator>
  <cp:keywords/>
  <dc:description/>
  <cp:lastModifiedBy>Irina</cp:lastModifiedBy>
  <cp:revision>2</cp:revision>
  <dcterms:created xsi:type="dcterms:W3CDTF">2014-07-19T07:38:00Z</dcterms:created>
  <dcterms:modified xsi:type="dcterms:W3CDTF">2014-07-19T07:38:00Z</dcterms:modified>
</cp:coreProperties>
</file>