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83" w:rsidRPr="0035375E" w:rsidRDefault="001D4283" w:rsidP="001D4283">
      <w:pPr>
        <w:spacing w:before="120"/>
        <w:jc w:val="center"/>
        <w:rPr>
          <w:b/>
          <w:sz w:val="32"/>
        </w:rPr>
      </w:pPr>
      <w:r w:rsidRPr="0035375E">
        <w:rPr>
          <w:b/>
          <w:sz w:val="32"/>
        </w:rPr>
        <w:t>Исследование влияния давления на химический состав высокотемпературной смолы при ее нагревании</w:t>
      </w:r>
    </w:p>
    <w:p w:rsidR="001D4283" w:rsidRPr="0035375E" w:rsidRDefault="001D4283" w:rsidP="001D4283">
      <w:pPr>
        <w:spacing w:before="120"/>
        <w:jc w:val="center"/>
        <w:rPr>
          <w:sz w:val="28"/>
        </w:rPr>
      </w:pPr>
      <w:r w:rsidRPr="0035375E">
        <w:rPr>
          <w:sz w:val="28"/>
        </w:rPr>
        <w:t>А.Н. Чистяков и С.Н. Лисин (Ленинградский технологический институт)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В настоящее время каменноугольную смолу перерабатывают на коксохимических предприятиях в трубчатых печах с одно- или двухколонным агрегатом. Ее нагревание осуществляют в радиантной части до 400°С при давлении</w:t>
      </w:r>
      <w:r>
        <w:t xml:space="preserve">, </w:t>
      </w:r>
      <w:r w:rsidRPr="0035375E">
        <w:t>не превышающем 500 кПа.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В последнее время внимание специалистов привлекает процесс переработки смолы под повышенным давлением (Пат. 3835024 (США)</w:t>
      </w:r>
      <w:r>
        <w:t xml:space="preserve">, </w:t>
      </w:r>
      <w:r w:rsidRPr="0035375E">
        <w:t>1974) [1]. Понятно</w:t>
      </w:r>
      <w:r>
        <w:t xml:space="preserve">, </w:t>
      </w:r>
      <w:r w:rsidRPr="0035375E">
        <w:t>что изменение технологического режима должно приводить к изменению не только физико-химических свойств смолы</w:t>
      </w:r>
      <w:r>
        <w:t xml:space="preserve">, </w:t>
      </w:r>
      <w:r w:rsidRPr="0035375E">
        <w:t>но и химического состава. Однако сведения об экспериментах в этом направлении переработки каменноугольной смолы отсутствуют.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В данной статье приведены результаты исследования химического состава смолы</w:t>
      </w:r>
      <w:r>
        <w:t xml:space="preserve">, </w:t>
      </w:r>
      <w:r w:rsidRPr="0035375E">
        <w:t>обезвоженной в промышленной трубчатой печи и подвергнутой термообработке при 350°С в течение 30 мин при давлениях инертного газа (гелия) от 500 до 2000 кПа. Характеристика исходной обезвоженной смолы следующая: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3"/>
        <w:gridCol w:w="675"/>
      </w:tblGrid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Плотность</w:t>
            </w:r>
            <w:r>
              <w:t xml:space="preserve">, </w:t>
            </w:r>
            <w:r w:rsidRPr="0035375E">
              <w:t>г/см3</w:t>
            </w:r>
          </w:p>
        </w:tc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</w:t>
            </w:r>
            <w:r>
              <w:t xml:space="preserve">, </w:t>
            </w:r>
            <w:r w:rsidRPr="0035375E">
              <w:t>94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Содержание</w:t>
            </w:r>
            <w:r>
              <w:t xml:space="preserve">, </w:t>
            </w:r>
            <w:r w:rsidRPr="0035375E">
              <w:t>% (по массе):</w:t>
            </w:r>
          </w:p>
        </w:tc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фенолов</w:t>
            </w:r>
          </w:p>
        </w:tc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</w:t>
            </w:r>
            <w:r>
              <w:t xml:space="preserve">, </w:t>
            </w:r>
            <w:r w:rsidRPr="0035375E">
              <w:t>15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оснований</w:t>
            </w:r>
          </w:p>
        </w:tc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</w:t>
            </w:r>
            <w:r>
              <w:t xml:space="preserve">, </w:t>
            </w:r>
            <w:r w:rsidRPr="0035375E">
              <w:t>28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нафталина</w:t>
            </w:r>
          </w:p>
        </w:tc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11</w:t>
            </w:r>
            <w:r>
              <w:t xml:space="preserve">, </w:t>
            </w:r>
            <w:r w:rsidRPr="0035375E">
              <w:t>28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веществ</w:t>
            </w:r>
            <w:r>
              <w:t xml:space="preserve">, </w:t>
            </w:r>
            <w:r w:rsidRPr="0035375E">
              <w:t>нерастворимых в толуоле</w:t>
            </w:r>
          </w:p>
        </w:tc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8</w:t>
            </w:r>
            <w:r>
              <w:t xml:space="preserve">, </w:t>
            </w:r>
            <w:r w:rsidRPr="0035375E">
              <w:t>60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Зольность</w:t>
            </w:r>
            <w:r>
              <w:t xml:space="preserve">, </w:t>
            </w:r>
            <w:r w:rsidRPr="0035375E">
              <w:t>% (по массе)</w:t>
            </w:r>
          </w:p>
        </w:tc>
        <w:tc>
          <w:tcPr>
            <w:tcW w:w="0" w:type="auto"/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0</w:t>
            </w:r>
            <w:r>
              <w:t xml:space="preserve">, </w:t>
            </w:r>
            <w:r w:rsidRPr="0035375E">
              <w:t>11</w:t>
            </w:r>
          </w:p>
        </w:tc>
      </w:tr>
    </w:tbl>
    <w:p w:rsidR="001D4283" w:rsidRPr="0035375E" w:rsidRDefault="001D4283" w:rsidP="001D4283">
      <w:pPr>
        <w:spacing w:before="120"/>
        <w:ind w:firstLine="567"/>
        <w:jc w:val="both"/>
      </w:pPr>
      <w:r w:rsidRPr="0035375E">
        <w:t xml:space="preserve">Схема лабораторной установки приведена на рис. 1. </w:t>
      </w:r>
    </w:p>
    <w:p w:rsidR="001D4283" w:rsidRDefault="0071073C" w:rsidP="001D428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хема лабораторной установки термической обработки смолы под давлением" style="width:149.25pt;height:88.5pt">
            <v:imagedata r:id="rId4" o:title=""/>
          </v:shape>
        </w:pic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Рисунок 1</w:t>
      </w:r>
      <w:r>
        <w:t xml:space="preserve"> - </w:t>
      </w:r>
      <w:r w:rsidRPr="0035375E">
        <w:t>Схема лабораторной установки термической обработки смолы под давлением: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1</w:t>
      </w:r>
      <w:r>
        <w:t xml:space="preserve"> - </w:t>
      </w:r>
      <w:r w:rsidRPr="0035375E">
        <w:t>редуктор; 2</w:t>
      </w:r>
      <w:r>
        <w:t xml:space="preserve"> - </w:t>
      </w:r>
      <w:r w:rsidRPr="0035375E">
        <w:t>распределитель газа; 3</w:t>
      </w:r>
      <w:r>
        <w:t xml:space="preserve"> - </w:t>
      </w:r>
      <w:r w:rsidRPr="0035375E">
        <w:t>запорный вентиль; 4</w:t>
      </w:r>
      <w:r>
        <w:t xml:space="preserve"> - </w:t>
      </w:r>
      <w:r w:rsidRPr="0035375E">
        <w:t>гильза; 5</w:t>
      </w:r>
      <w:r>
        <w:t xml:space="preserve"> - </w:t>
      </w:r>
      <w:r w:rsidRPr="0035375E">
        <w:t>термостат.</w:t>
      </w:r>
    </w:p>
    <w:p w:rsidR="001D4283" w:rsidRDefault="001D4283" w:rsidP="001D4283">
      <w:pPr>
        <w:spacing w:before="120"/>
        <w:ind w:firstLine="567"/>
        <w:jc w:val="both"/>
      </w:pPr>
      <w:r w:rsidRPr="0035375E">
        <w:t xml:space="preserve">Гильзы (рис. 2) из нержавеющей стали имели следующие размеры: внутренний диаметр </w:t>
      </w:r>
      <w:smartTag w:uri="urn:schemas-microsoft-com:office:smarttags" w:element="metricconverter">
        <w:smartTagPr>
          <w:attr w:name="ProductID" w:val="16 мм"/>
        </w:smartTagPr>
        <w:r w:rsidRPr="0035375E">
          <w:t>16 мм</w:t>
        </w:r>
      </w:smartTag>
      <w:r>
        <w:t xml:space="preserve">, </w:t>
      </w:r>
      <w:r w:rsidRPr="0035375E">
        <w:t xml:space="preserve">наружный диаметр </w:t>
      </w:r>
      <w:smartTag w:uri="urn:schemas-microsoft-com:office:smarttags" w:element="metricconverter">
        <w:smartTagPr>
          <w:attr w:name="ProductID" w:val="30 мм"/>
        </w:smartTagPr>
        <w:r w:rsidRPr="0035375E">
          <w:t>30 мм</w:t>
        </w:r>
      </w:smartTag>
      <w:r>
        <w:t xml:space="preserve">, </w:t>
      </w:r>
      <w:r w:rsidRPr="0035375E">
        <w:t xml:space="preserve">высота </w:t>
      </w:r>
      <w:smartTag w:uri="urn:schemas-microsoft-com:office:smarttags" w:element="metricconverter">
        <w:smartTagPr>
          <w:attr w:name="ProductID" w:val="170 мм"/>
        </w:smartTagPr>
        <w:r w:rsidRPr="0035375E">
          <w:t>170 мм</w:t>
        </w:r>
      </w:smartTag>
      <w:r w:rsidRPr="0035375E">
        <w:t>.</w:t>
      </w:r>
    </w:p>
    <w:p w:rsidR="001D4283" w:rsidRDefault="0071073C" w:rsidP="001D4283">
      <w:pPr>
        <w:spacing w:before="120"/>
        <w:ind w:firstLine="567"/>
        <w:jc w:val="both"/>
      </w:pPr>
      <w:r>
        <w:pict>
          <v:shape id="_x0000_i1026" type="#_x0000_t75" alt="Устройство гильзы" style="width:95.25pt;height:149.25pt">
            <v:imagedata r:id="rId5" o:title=""/>
          </v:shape>
        </w:pict>
      </w:r>
    </w:p>
    <w:p w:rsidR="001D4283" w:rsidRDefault="001D4283" w:rsidP="001D4283">
      <w:pPr>
        <w:spacing w:before="120"/>
        <w:ind w:firstLine="567"/>
        <w:jc w:val="both"/>
      </w:pPr>
      <w:r w:rsidRPr="0035375E">
        <w:t>Устройство гильзы: 1</w:t>
      </w:r>
      <w:r>
        <w:t xml:space="preserve"> - </w:t>
      </w:r>
      <w:r w:rsidRPr="0035375E">
        <w:t>карман для термопары; 2</w:t>
      </w:r>
      <w:r>
        <w:t xml:space="preserve"> - </w:t>
      </w:r>
      <w:r w:rsidRPr="0035375E">
        <w:t>накидная гайка; 3</w:t>
      </w:r>
      <w:r>
        <w:t xml:space="preserve"> - </w:t>
      </w:r>
      <w:r w:rsidRPr="0035375E">
        <w:t>шайба; 4</w:t>
      </w:r>
      <w:r>
        <w:t xml:space="preserve"> - </w:t>
      </w:r>
      <w:r w:rsidRPr="0035375E">
        <w:t>капиляр; 5</w:t>
      </w:r>
      <w:r>
        <w:t xml:space="preserve"> - </w:t>
      </w:r>
      <w:r w:rsidRPr="0035375E">
        <w:t>прокладка; 6</w:t>
      </w:r>
      <w:r>
        <w:t xml:space="preserve"> - </w:t>
      </w:r>
      <w:r w:rsidRPr="0035375E">
        <w:t>корпус;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Пробу смолы (~30 г) загружали в гильзы</w:t>
      </w:r>
      <w:r>
        <w:t xml:space="preserve">, </w:t>
      </w:r>
      <w:r w:rsidRPr="0035375E">
        <w:t>закрывали накидными гайками с шайбами</w:t>
      </w:r>
      <w:r>
        <w:t xml:space="preserve">, </w:t>
      </w:r>
      <w:r w:rsidRPr="0035375E">
        <w:t>которые соединялись с распредителем газа капиллярами (диам. 2X1 мм) из нержавеющей стали. Перед опытом истему для удаления воздуха продували 1—2 мин гелием (Р = 200 кПа) при неплотно закрученных гайках. Затем</w:t>
      </w:r>
      <w:r>
        <w:t xml:space="preserve">, </w:t>
      </w:r>
      <w:r w:rsidRPr="0035375E">
        <w:t>не снижая подачи гелия</w:t>
      </w:r>
      <w:r>
        <w:t xml:space="preserve">, </w:t>
      </w:r>
      <w:r w:rsidRPr="0035375E">
        <w:t>гайки плотно закручивали и при помощи алюминиевых прокладок добивались полной герметизации. После проверки на герметичность в системе устанавливали заданное давление и одну из гильз (или все пять) помещали в воздушный термостат с постоянной и регулируемой (с точностью ±0</w:t>
      </w:r>
      <w:r>
        <w:t xml:space="preserve">, </w:t>
      </w:r>
      <w:r w:rsidRPr="0035375E">
        <w:t>5°С) температурой.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Термостат работал по принципу воздушных термостатов-газовых хроматографов и позволял поддерживать температуру в пределах 80—500°С.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 xml:space="preserve">Исходную смолу и термообработанную разделяли на фракции с помощью растворителей по известным методикам. Химический состав фракций смолы определяли на хроматографе «Цвет-104» с пламенно-ионизационным детектором и программированием температуры. Условия хроматографирования: колонка длина </w:t>
      </w:r>
      <w:smartTag w:uri="urn:schemas-microsoft-com:office:smarttags" w:element="metricconverter">
        <w:smartTagPr>
          <w:attr w:name="ProductID" w:val="2 м"/>
        </w:smartTagPr>
        <w:r w:rsidRPr="0035375E">
          <w:t>2 м</w:t>
        </w:r>
      </w:smartTag>
      <w:r>
        <w:t xml:space="preserve">, </w:t>
      </w:r>
      <w:r w:rsidRPr="0035375E">
        <w:t xml:space="preserve">диаметр </w:t>
      </w:r>
      <w:smartTag w:uri="urn:schemas-microsoft-com:office:smarttags" w:element="metricconverter">
        <w:smartTagPr>
          <w:attr w:name="ProductID" w:val="3 мм"/>
        </w:smartTagPr>
        <w:r w:rsidRPr="0035375E">
          <w:t>3 мм</w:t>
        </w:r>
      </w:smartTag>
      <w:r w:rsidRPr="0035375E">
        <w:t>; неподвижная фаза хезасорб AW-HMDS с 5 % (по массе) SЕ-30; температура испарителя 300 °С; программирование температуры от 50 до 300 °С со скоростью 4 град/мин; скорость газа-носителя (гелия) 100 мл/мин</w:t>
      </w:r>
      <w:r>
        <w:t xml:space="preserve">, </w:t>
      </w:r>
      <w:r w:rsidRPr="0035375E">
        <w:t>водорода 100 мл/мин</w:t>
      </w:r>
      <w:r>
        <w:t xml:space="preserve">, </w:t>
      </w:r>
      <w:r w:rsidRPr="0035375E">
        <w:t>воздуха 1 л/мин.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Идентификацию компонентов проводили по известным временам удерживания [2</w:t>
      </w:r>
      <w:r>
        <w:t xml:space="preserve">, </w:t>
      </w:r>
      <w:r w:rsidRPr="0035375E">
        <w:t>3]. Для этой же цели использовали метод введения эталонных веществ с дальнейшим анализом исследуемой смолы на хроматографе ОС-1С фирмы «Шимадзу» при следующих условиях: колонка длина 3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35375E">
          <w:t>5 м</w:t>
        </w:r>
      </w:smartTag>
      <w:r>
        <w:t xml:space="preserve">, </w:t>
      </w:r>
      <w:r w:rsidRPr="0035375E">
        <w:t xml:space="preserve">диаметр </w:t>
      </w:r>
      <w:smartTag w:uri="urn:schemas-microsoft-com:office:smarttags" w:element="metricconverter">
        <w:smartTagPr>
          <w:attr w:name="ProductID" w:val="3 мм"/>
        </w:smartTagPr>
        <w:r w:rsidRPr="0035375E">
          <w:t>3 мм</w:t>
        </w:r>
      </w:smartTag>
      <w:r w:rsidRPr="0035375E">
        <w:t>; неподвижная фаза хезасорб AW-HMDS с 5 % (по массе) SЕ-30; температура испарителя и детектора соответственно 350 и и 330°С; линейное программирование температуры колонок от 50 до 320 °С со скоростью 2 град/мин; скорость газа-носителя (гелия) 120 мл/мин</w:t>
      </w:r>
      <w:r>
        <w:t xml:space="preserve">, </w:t>
      </w:r>
      <w:r w:rsidRPr="0035375E">
        <w:t>водорода 90 мл/мин</w:t>
      </w:r>
      <w:r>
        <w:t xml:space="preserve">, </w:t>
      </w:r>
      <w:r w:rsidRPr="0035375E">
        <w:t>воздуха 1</w:t>
      </w:r>
      <w:r>
        <w:t xml:space="preserve">, </w:t>
      </w:r>
      <w:r w:rsidRPr="0035375E">
        <w:t>7 л/мин.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Сравнение хроматограмм</w:t>
      </w:r>
      <w:r>
        <w:t xml:space="preserve">, </w:t>
      </w:r>
      <w:r w:rsidRPr="0035375E">
        <w:t>полученных на разных приборах при использовании одного и того же наполнителя колонок</w:t>
      </w:r>
      <w:r>
        <w:t xml:space="preserve">, </w:t>
      </w:r>
      <w:r w:rsidRPr="0035375E">
        <w:t>давало возможность достаточно точно идентифицировать компоненты</w:t>
      </w:r>
      <w:r>
        <w:t xml:space="preserve">, </w:t>
      </w:r>
      <w:r w:rsidRPr="0035375E">
        <w:t>При этом применяли единую нумерацию пиков</w:t>
      </w:r>
      <w:r>
        <w:t xml:space="preserve">, </w:t>
      </w:r>
      <w:r w:rsidRPr="0035375E">
        <w:t>а так как качество разделения на разных приборах различалось</w:t>
      </w:r>
      <w:r>
        <w:t xml:space="preserve">, </w:t>
      </w:r>
      <w:r w:rsidRPr="0035375E">
        <w:t>то совместившиеся пики обозначали несколькими номерами. Общее количество идентифицированных соединений в каменноугольной смоле равно 59</w:t>
      </w:r>
      <w:r>
        <w:t xml:space="preserve">, </w:t>
      </w:r>
      <w:r w:rsidRPr="0035375E">
        <w:t>26—62</w:t>
      </w:r>
      <w:r>
        <w:t xml:space="preserve">, </w:t>
      </w:r>
      <w:r w:rsidRPr="0035375E">
        <w:t>09 % (по массе).</w:t>
      </w:r>
    </w:p>
    <w:p w:rsidR="001D4283" w:rsidRDefault="001D4283" w:rsidP="001D4283">
      <w:pPr>
        <w:spacing w:before="120"/>
        <w:ind w:firstLine="567"/>
        <w:jc w:val="both"/>
      </w:pPr>
      <w:r w:rsidRPr="0035375E">
        <w:t>Типичные хроматограммы растворимой в гептане γ</w:t>
      </w:r>
      <w:r>
        <w:t xml:space="preserve"> - </w:t>
      </w:r>
      <w:r w:rsidRPr="0035375E">
        <w:t>фракции смолы</w:t>
      </w:r>
      <w:r>
        <w:t xml:space="preserve">, </w:t>
      </w:r>
      <w:r w:rsidRPr="0035375E">
        <w:t>полученные на хроматографе «Цвет-104»</w:t>
      </w:r>
      <w:r>
        <w:t xml:space="preserve">, </w:t>
      </w:r>
      <w:r w:rsidRPr="0035375E">
        <w:t>представлены на рис. 3.</w:t>
      </w:r>
    </w:p>
    <w:p w:rsidR="001D4283" w:rsidRDefault="0071073C" w:rsidP="001D4283">
      <w:pPr>
        <w:spacing w:before="120"/>
        <w:ind w:firstLine="567"/>
        <w:jc w:val="both"/>
      </w:pPr>
      <w:r>
        <w:pict>
          <v:shape id="_x0000_i1027" type="#_x0000_t75" alt="Хроматограммы γ - фракций, выделенных из исходной (а) и термообработанной (б) смол при 350 °С и Р=500 кПа" style="width:371.25pt;height:371.25pt">
            <v:imagedata r:id="rId6" o:title=""/>
          </v:shape>
        </w:pic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Рис. 3. Хроматограммы γ</w:t>
      </w:r>
      <w:r>
        <w:t xml:space="preserve"> - </w:t>
      </w:r>
      <w:r w:rsidRPr="0035375E">
        <w:t>фракций</w:t>
      </w:r>
      <w:r>
        <w:t xml:space="preserve">, </w:t>
      </w:r>
      <w:r w:rsidRPr="0035375E">
        <w:t>выделенных из исходной (а) и термообработанной (б) смол при 350 °С и Р=500 кПа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Количественное содержание каждого компонента определяли методом нормализации площадей пиков</w:t>
      </w:r>
      <w:r>
        <w:t xml:space="preserve">, </w:t>
      </w:r>
      <w:r w:rsidRPr="0035375E">
        <w:t>а количество хроматографируемых веществ — с помощью внутреннего стандарта додекана</w:t>
      </w:r>
      <w:r>
        <w:t xml:space="preserve">, </w:t>
      </w:r>
      <w:r w:rsidRPr="0035375E">
        <w:t>пик которого появлялся после нафталина и не накладывался на другие пики [4].</w:t>
      </w:r>
    </w:p>
    <w:p w:rsidR="001D4283" w:rsidRDefault="001D4283" w:rsidP="001D4283">
      <w:pPr>
        <w:spacing w:before="120"/>
        <w:ind w:firstLine="567"/>
        <w:jc w:val="both"/>
      </w:pPr>
      <w:r w:rsidRPr="0035375E">
        <w:t>Выход фракций из исходной и термообработанных в течение 30 мин смол приведен в табл. 1</w:t>
      </w:r>
      <w:r>
        <w:t xml:space="preserve">, </w:t>
      </w:r>
      <w:r w:rsidRPr="0035375E">
        <w:t>из которой видно</w:t>
      </w:r>
      <w:r>
        <w:t xml:space="preserve">, </w:t>
      </w:r>
      <w:r w:rsidRPr="0035375E">
        <w:t>что с повышением давления термообработки до 2000 кПа наблюдается значительный рост содержания в смоле α</w:t>
      </w:r>
      <w:r>
        <w:t xml:space="preserve"> - </w:t>
      </w:r>
      <w:r w:rsidRPr="0035375E">
        <w:t>фракции (на 3</w:t>
      </w:r>
      <w:r>
        <w:t xml:space="preserve">, </w:t>
      </w:r>
      <w:r w:rsidRPr="0035375E">
        <w:t>25 %) за счет увеличения ее части</w:t>
      </w:r>
      <w:r>
        <w:t xml:space="preserve">, </w:t>
      </w:r>
      <w:r w:rsidRPr="0035375E">
        <w:t>растворимой в хинолине ( α 2</w:t>
      </w:r>
      <w:r>
        <w:t xml:space="preserve"> - </w:t>
      </w:r>
      <w:r w:rsidRPr="0035375E">
        <w:t>фракции)</w:t>
      </w:r>
      <w:r>
        <w:t xml:space="preserve">, </w:t>
      </w:r>
      <w:r w:rsidRPr="0035375E">
        <w:t>и некоторого снижения доли β</w:t>
      </w:r>
      <w:r>
        <w:t xml:space="preserve"> - </w:t>
      </w:r>
      <w:r w:rsidRPr="0035375E">
        <w:t>фракции. Известно</w:t>
      </w:r>
      <w:r>
        <w:t xml:space="preserve">, </w:t>
      </w:r>
      <w:r w:rsidRPr="0035375E">
        <w:t>что при нагревании имеют место реакции конденсации</w:t>
      </w:r>
      <w:r>
        <w:t xml:space="preserve">, </w:t>
      </w:r>
      <w:r w:rsidRPr="0035375E">
        <w:t>а также происходит термическая деструкция недостаточно стабильных веществ</w:t>
      </w:r>
      <w:r>
        <w:t xml:space="preserve">, </w:t>
      </w:r>
      <w:r w:rsidRPr="0035375E">
        <w:t>что в конечном итоге приводит к накоплению в смоле более высококонденсированных соединений</w:t>
      </w:r>
      <w:r>
        <w:t xml:space="preserve">, </w:t>
      </w:r>
      <w:r w:rsidRPr="0035375E">
        <w:t>а значит и к изменению физико-химических свойств. Это направление реакций усиливается с повышением давления термообработки.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Таблица 1</w:t>
      </w:r>
      <w:r>
        <w:t xml:space="preserve"> - </w:t>
      </w:r>
      <w:r w:rsidRPr="0035375E">
        <w:t>Выход фракций из исходной и термообработанных в течение 30 минут смол.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5"/>
        <w:gridCol w:w="1949"/>
        <w:gridCol w:w="1057"/>
        <w:gridCol w:w="1057"/>
        <w:gridCol w:w="1155"/>
        <w:gridCol w:w="1155"/>
        <w:gridCol w:w="1170"/>
      </w:tblGrid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Условия термообработки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Выход фракций</w:t>
            </w:r>
            <w:r>
              <w:t xml:space="preserve">, </w:t>
            </w:r>
            <w:r w:rsidRPr="0035375E">
              <w:t>%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температура</w:t>
            </w:r>
            <w:r>
              <w:t xml:space="preserve">, </w:t>
            </w:r>
            <w:r w:rsidRPr="0035375E">
              <w:t>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давление</w:t>
            </w:r>
            <w:r>
              <w:t xml:space="preserve">, </w:t>
            </w:r>
            <w:r w:rsidRPr="0035375E">
              <w:t>кПа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α1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α2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γ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</w:t>
            </w:r>
            <w:r>
              <w:t xml:space="preserve">, </w:t>
            </w:r>
            <w:r w:rsidRPr="0035375E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5</w:t>
            </w:r>
            <w:r>
              <w:t xml:space="preserve">, </w:t>
            </w:r>
            <w:r w:rsidRPr="0035375E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8</w:t>
            </w:r>
            <w:r>
              <w:t xml:space="preserve">, </w:t>
            </w:r>
            <w:r w:rsidRPr="0035375E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38</w:t>
            </w:r>
            <w:r>
              <w:t xml:space="preserve">, </w:t>
            </w:r>
            <w:r w:rsidRPr="0035375E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53</w:t>
            </w:r>
            <w:r>
              <w:t xml:space="preserve">, </w:t>
            </w:r>
            <w:r w:rsidRPr="0035375E">
              <w:t>00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2</w:t>
            </w:r>
            <w:r>
              <w:t xml:space="preserve">, </w:t>
            </w:r>
            <w:r w:rsidRPr="0035375E"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7</w:t>
            </w:r>
            <w:r>
              <w:t xml:space="preserve">, </w:t>
            </w:r>
            <w:r w:rsidRPr="0035375E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9</w:t>
            </w:r>
            <w:r>
              <w:t xml:space="preserve">, </w:t>
            </w:r>
            <w:r w:rsidRPr="0035375E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34</w:t>
            </w:r>
            <w:r>
              <w:t xml:space="preserve">, </w:t>
            </w:r>
            <w:r w:rsidRPr="0035375E"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55</w:t>
            </w:r>
            <w:r>
              <w:t xml:space="preserve">, </w:t>
            </w:r>
            <w:r w:rsidRPr="0035375E">
              <w:t>77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</w:t>
            </w:r>
            <w:r>
              <w:t xml:space="preserve">, </w:t>
            </w:r>
            <w:r w:rsidRPr="0035375E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7</w:t>
            </w:r>
            <w:r>
              <w:t xml:space="preserve">, </w:t>
            </w:r>
            <w:r w:rsidRPr="0035375E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10</w:t>
            </w:r>
            <w:r>
              <w:t xml:space="preserve">, </w:t>
            </w:r>
            <w:r w:rsidRPr="0035375E"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29</w:t>
            </w:r>
            <w:r>
              <w:t xml:space="preserve">, </w:t>
            </w:r>
            <w:r w:rsidRPr="0035375E"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59</w:t>
            </w:r>
            <w:r>
              <w:t xml:space="preserve">, </w:t>
            </w:r>
            <w:r w:rsidRPr="0035375E">
              <w:t>73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2</w:t>
            </w:r>
            <w:r>
              <w:t xml:space="preserve">, </w:t>
            </w:r>
            <w:r w:rsidRPr="0035375E"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8</w:t>
            </w:r>
            <w:r>
              <w:t xml:space="preserve">, </w:t>
            </w:r>
            <w:r w:rsidRPr="0035375E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11</w:t>
            </w:r>
            <w:r>
              <w:t xml:space="preserve">, </w:t>
            </w:r>
            <w:r w:rsidRPr="0035375E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32</w:t>
            </w:r>
            <w:r>
              <w:t xml:space="preserve">, </w:t>
            </w:r>
            <w:r w:rsidRPr="0035375E"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56</w:t>
            </w:r>
            <w:r>
              <w:t xml:space="preserve">, </w:t>
            </w:r>
            <w:r w:rsidRPr="0035375E">
              <w:t>72</w:t>
            </w:r>
          </w:p>
        </w:tc>
      </w:tr>
      <w:tr w:rsidR="001D4283" w:rsidRPr="0035375E" w:rsidTr="008B07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2</w:t>
            </w:r>
            <w:r>
              <w:t xml:space="preserve">, </w:t>
            </w:r>
            <w:r w:rsidRPr="0035375E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9</w:t>
            </w:r>
            <w:r>
              <w:t xml:space="preserve">, </w:t>
            </w:r>
            <w:r w:rsidRPr="0035375E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11</w:t>
            </w:r>
            <w:r>
              <w:t xml:space="preserve">, </w:t>
            </w:r>
            <w:r w:rsidRPr="0035375E"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33</w:t>
            </w:r>
            <w:r>
              <w:t xml:space="preserve">, </w:t>
            </w:r>
            <w:r w:rsidRPr="0035375E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4283" w:rsidRPr="0035375E" w:rsidRDefault="001D4283" w:rsidP="008B07D7">
            <w:pPr>
              <w:spacing w:before="120"/>
              <w:ind w:firstLine="567"/>
              <w:jc w:val="both"/>
            </w:pPr>
            <w:r w:rsidRPr="0035375E">
              <w:t>54</w:t>
            </w:r>
            <w:r>
              <w:t xml:space="preserve">, </w:t>
            </w:r>
            <w:r w:rsidRPr="0035375E">
              <w:t>31</w:t>
            </w:r>
          </w:p>
        </w:tc>
      </w:tr>
    </w:tbl>
    <w:p w:rsidR="001D4283" w:rsidRPr="0035375E" w:rsidRDefault="001D4283" w:rsidP="001D4283">
      <w:pPr>
        <w:spacing w:before="120"/>
        <w:ind w:firstLine="567"/>
        <w:jc w:val="both"/>
      </w:pPr>
      <w:r w:rsidRPr="0035375E">
        <w:t>Изменения химического состава смол после термообработки для отдельных компонентов прослеживаются четко</w:t>
      </w:r>
      <w:r>
        <w:t xml:space="preserve">, </w:t>
      </w:r>
      <w:r w:rsidRPr="0035375E">
        <w:t>например</w:t>
      </w:r>
      <w:r>
        <w:t xml:space="preserve">, </w:t>
      </w:r>
      <w:r w:rsidRPr="0035375E">
        <w:t>снижается содержание веществ</w:t>
      </w:r>
      <w:r>
        <w:t xml:space="preserve">, </w:t>
      </w:r>
      <w:r w:rsidRPr="0035375E">
        <w:t>которым соответствуют пики 10—14 (ксилидин</w:t>
      </w:r>
      <w:r>
        <w:t xml:space="preserve">, </w:t>
      </w:r>
      <w:r w:rsidRPr="0035375E">
        <w:t>изопропилфенол</w:t>
      </w:r>
      <w:r>
        <w:t xml:space="preserve">, </w:t>
      </w:r>
      <w:r w:rsidRPr="0035375E">
        <w:t>диметилкумарон)</w:t>
      </w:r>
      <w:r>
        <w:t xml:space="preserve">, </w:t>
      </w:r>
      <w:r w:rsidRPr="0035375E">
        <w:t>24 (аценафтилен)</w:t>
      </w:r>
      <w:r>
        <w:t xml:space="preserve">, </w:t>
      </w:r>
      <w:r w:rsidRPr="0035375E">
        <w:t>30 (метилдифениленоксиды)</w:t>
      </w:r>
      <w:r>
        <w:t xml:space="preserve">, </w:t>
      </w:r>
      <w:r w:rsidRPr="0035375E">
        <w:t>34 (дифениленсульфид</w:t>
      </w:r>
      <w:r>
        <w:t xml:space="preserve">, </w:t>
      </w:r>
      <w:r w:rsidRPr="0035375E">
        <w:t>бензотионафтены)</w:t>
      </w:r>
      <w:r>
        <w:t xml:space="preserve">, </w:t>
      </w:r>
      <w:r w:rsidRPr="0035375E">
        <w:t>46 (бензодифениленоксиды). Одновременно увеличивается концентрация веществ с пиками 21 (метилинданолы</w:t>
      </w:r>
      <w:r>
        <w:t xml:space="preserve">, </w:t>
      </w:r>
      <w:r w:rsidRPr="0035375E">
        <w:t>2</w:t>
      </w:r>
      <w:r>
        <w:t xml:space="preserve">, </w:t>
      </w:r>
      <w:r w:rsidRPr="0035375E">
        <w:t>6-диметилнафталин)</w:t>
      </w:r>
      <w:r>
        <w:t xml:space="preserve">, </w:t>
      </w:r>
      <w:r w:rsidRPr="0035375E">
        <w:t>25</w:t>
      </w:r>
      <w:r>
        <w:t xml:space="preserve">, </w:t>
      </w:r>
      <w:r w:rsidRPr="0035375E">
        <w:t>26 (аценафтен)</w:t>
      </w:r>
      <w:r>
        <w:t xml:space="preserve">, </w:t>
      </w:r>
      <w:r w:rsidRPr="0035375E">
        <w:t>27 (дифениленоксид)</w:t>
      </w:r>
      <w:r>
        <w:t xml:space="preserve">, </w:t>
      </w:r>
      <w:r w:rsidRPr="0035375E">
        <w:t>32 (метилфлуорены</w:t>
      </w:r>
      <w:r>
        <w:t xml:space="preserve">, </w:t>
      </w:r>
      <w:r w:rsidRPr="0035375E">
        <w:t>диметилдифениленоксид)</w:t>
      </w:r>
      <w:r>
        <w:t xml:space="preserve">, </w:t>
      </w:r>
      <w:r w:rsidRPr="0035375E">
        <w:t>47 (пирен)</w:t>
      </w:r>
      <w:r>
        <w:t xml:space="preserve">, </w:t>
      </w:r>
      <w:r w:rsidRPr="0035375E">
        <w:t>59 (хризен)</w:t>
      </w:r>
      <w:r>
        <w:t xml:space="preserve">, </w:t>
      </w:r>
      <w:r w:rsidRPr="0035375E">
        <w:t>68—70 (бензпирены)</w:t>
      </w:r>
      <w:r>
        <w:t xml:space="preserve">, </w:t>
      </w:r>
      <w:r w:rsidRPr="0035375E">
        <w:t>79 (коронен) и др.</w:t>
      </w:r>
    </w:p>
    <w:p w:rsidR="001D4283" w:rsidRPr="0035375E" w:rsidRDefault="001D4283" w:rsidP="001D4283">
      <w:pPr>
        <w:spacing w:before="120"/>
        <w:jc w:val="center"/>
        <w:rPr>
          <w:b/>
          <w:sz w:val="28"/>
        </w:rPr>
      </w:pPr>
      <w:r w:rsidRPr="0035375E">
        <w:rPr>
          <w:b/>
          <w:sz w:val="28"/>
        </w:rPr>
        <w:t>Вывод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Термообработка смолы при повышенных давлениях вызывает изменения химического состава в направлении значительного повышения высоконденсированных соединений</w:t>
      </w:r>
      <w:r>
        <w:t xml:space="preserve">, </w:t>
      </w:r>
      <w:r w:rsidRPr="0035375E">
        <w:t>чего нельзя не учитывать при организации процесса переработки смолы при высоких давлениях.</w:t>
      </w:r>
    </w:p>
    <w:p w:rsidR="001D4283" w:rsidRPr="0035375E" w:rsidRDefault="001D4283" w:rsidP="001D4283">
      <w:pPr>
        <w:spacing w:before="120"/>
        <w:jc w:val="center"/>
        <w:rPr>
          <w:b/>
          <w:sz w:val="28"/>
        </w:rPr>
      </w:pPr>
      <w:r w:rsidRPr="0035375E">
        <w:rPr>
          <w:b/>
          <w:sz w:val="28"/>
        </w:rPr>
        <w:t>Список литературы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Р.К. Лисицкая //Кокс и химия</w:t>
      </w:r>
      <w:r>
        <w:t xml:space="preserve">, </w:t>
      </w:r>
      <w:r w:rsidRPr="0035375E">
        <w:t>1981</w:t>
      </w:r>
      <w:r>
        <w:t xml:space="preserve">, </w:t>
      </w:r>
      <w:r w:rsidRPr="0035375E">
        <w:t>№9</w:t>
      </w:r>
      <w:r>
        <w:t xml:space="preserve">, </w:t>
      </w:r>
      <w:r w:rsidRPr="0035375E">
        <w:t xml:space="preserve">с.54-56 </w:t>
      </w:r>
    </w:p>
    <w:p w:rsidR="001D4283" w:rsidRPr="0035375E" w:rsidRDefault="001D4283" w:rsidP="001D4283">
      <w:pPr>
        <w:spacing w:before="120"/>
        <w:ind w:firstLine="567"/>
        <w:jc w:val="both"/>
        <w:rPr>
          <w:lang w:val="en-US"/>
        </w:rPr>
      </w:pPr>
      <w:r w:rsidRPr="0035375E">
        <w:rPr>
          <w:lang w:val="en-US"/>
        </w:rPr>
        <w:t>K.F. Lang,</w:t>
      </w:r>
      <w:r>
        <w:rPr>
          <w:lang w:val="en-US"/>
        </w:rPr>
        <w:t xml:space="preserve"> </w:t>
      </w:r>
      <w:r w:rsidRPr="0035375E">
        <w:rPr>
          <w:lang w:val="en-US"/>
        </w:rPr>
        <w:t>J. Eigen //Fortschr. der chem. Forschung,</w:t>
      </w:r>
      <w:r>
        <w:rPr>
          <w:lang w:val="en-US"/>
        </w:rPr>
        <w:t xml:space="preserve"> </w:t>
      </w:r>
      <w:r w:rsidRPr="0035375E">
        <w:rPr>
          <w:lang w:val="en-US"/>
        </w:rPr>
        <w:t>1977,</w:t>
      </w:r>
      <w:r>
        <w:rPr>
          <w:lang w:val="en-US"/>
        </w:rPr>
        <w:t xml:space="preserve"> </w:t>
      </w:r>
      <w:r w:rsidRPr="0035375E">
        <w:rPr>
          <w:lang w:val="en-US"/>
        </w:rPr>
        <w:t>Bd 8,</w:t>
      </w:r>
      <w:r>
        <w:rPr>
          <w:lang w:val="en-US"/>
        </w:rPr>
        <w:t xml:space="preserve"> </w:t>
      </w:r>
      <w:r w:rsidRPr="0035375E">
        <w:rPr>
          <w:lang w:val="en-US"/>
        </w:rPr>
        <w:t>Heft 1,</w:t>
      </w:r>
      <w:r>
        <w:rPr>
          <w:lang w:val="en-US"/>
        </w:rPr>
        <w:t xml:space="preserve"> </w:t>
      </w:r>
      <w:r w:rsidRPr="0035375E">
        <w:rPr>
          <w:lang w:val="en-US"/>
        </w:rPr>
        <w:t xml:space="preserve">S. 91-170 </w:t>
      </w:r>
    </w:p>
    <w:p w:rsidR="001D4283" w:rsidRPr="0035375E" w:rsidRDefault="001D4283" w:rsidP="001D4283">
      <w:pPr>
        <w:spacing w:before="120"/>
        <w:ind w:firstLine="567"/>
        <w:jc w:val="both"/>
        <w:rPr>
          <w:lang w:val="en-US"/>
        </w:rPr>
      </w:pPr>
      <w:r w:rsidRPr="0035375E">
        <w:rPr>
          <w:lang w:val="en-US"/>
        </w:rPr>
        <w:t>E. Proksch //Osterreichische Chemiker Zeitung,</w:t>
      </w:r>
      <w:r>
        <w:rPr>
          <w:lang w:val="en-US"/>
        </w:rPr>
        <w:t xml:space="preserve"> </w:t>
      </w:r>
      <w:r w:rsidRPr="0035375E">
        <w:rPr>
          <w:lang w:val="en-US"/>
        </w:rPr>
        <w:t>1966,</w:t>
      </w:r>
      <w:r>
        <w:rPr>
          <w:lang w:val="en-US"/>
        </w:rPr>
        <w:t xml:space="preserve"> </w:t>
      </w:r>
      <w:r w:rsidRPr="0035375E">
        <w:rPr>
          <w:lang w:val="en-US"/>
        </w:rPr>
        <w:t>Heft 4,</w:t>
      </w:r>
      <w:r>
        <w:rPr>
          <w:lang w:val="en-US"/>
        </w:rPr>
        <w:t xml:space="preserve"> </w:t>
      </w:r>
      <w:r w:rsidRPr="0035375E">
        <w:rPr>
          <w:lang w:val="en-US"/>
        </w:rPr>
        <w:t xml:space="preserve">S. 105-112. </w:t>
      </w:r>
    </w:p>
    <w:p w:rsidR="001D4283" w:rsidRPr="0035375E" w:rsidRDefault="001D4283" w:rsidP="001D4283">
      <w:pPr>
        <w:spacing w:before="120"/>
        <w:ind w:firstLine="567"/>
        <w:jc w:val="both"/>
      </w:pPr>
      <w:r w:rsidRPr="0035375E">
        <w:t>С.Д. Ногаре</w:t>
      </w:r>
      <w:r>
        <w:t xml:space="preserve">, </w:t>
      </w:r>
      <w:r w:rsidRPr="0035375E">
        <w:t>Р.С. Джувет</w:t>
      </w:r>
      <w:r>
        <w:t xml:space="preserve">, </w:t>
      </w:r>
      <w:r w:rsidRPr="0035375E">
        <w:t>Газожидкостная хроматография: Пер. с англ. Л.: Недра</w:t>
      </w:r>
      <w:r>
        <w:t xml:space="preserve">, </w:t>
      </w:r>
      <w:r w:rsidRPr="0035375E">
        <w:t xml:space="preserve">1966. 471 с.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283"/>
    <w:rsid w:val="000D1E4C"/>
    <w:rsid w:val="001A35F6"/>
    <w:rsid w:val="001D4283"/>
    <w:rsid w:val="0035375E"/>
    <w:rsid w:val="004243DC"/>
    <w:rsid w:val="005652A1"/>
    <w:rsid w:val="0071073C"/>
    <w:rsid w:val="00811DD4"/>
    <w:rsid w:val="008B07D7"/>
    <w:rsid w:val="0095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5124C27B-24CF-44C6-BEF2-7ACDDF3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2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D42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влияния давления на химический состав высокотемпературной смолы при ее нагревании</vt:lpstr>
    </vt:vector>
  </TitlesOfParts>
  <Company>Home</Company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влияния давления на химический состав высокотемпературной смолы при ее нагревании</dc:title>
  <dc:subject/>
  <dc:creator>User</dc:creator>
  <cp:keywords/>
  <dc:description/>
  <cp:lastModifiedBy>admin</cp:lastModifiedBy>
  <cp:revision>2</cp:revision>
  <dcterms:created xsi:type="dcterms:W3CDTF">2014-03-25T08:58:00Z</dcterms:created>
  <dcterms:modified xsi:type="dcterms:W3CDTF">2014-03-25T08:58:00Z</dcterms:modified>
</cp:coreProperties>
</file>