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B0A" w:rsidRPr="00203CAE" w:rsidRDefault="009F0B0A" w:rsidP="00203CAE">
      <w:pPr>
        <w:shd w:val="clear" w:color="auto" w:fill="FFFFFF"/>
        <w:spacing w:line="360" w:lineRule="auto"/>
        <w:ind w:firstLine="720"/>
        <w:jc w:val="both"/>
        <w:rPr>
          <w:b/>
          <w:sz w:val="28"/>
          <w:szCs w:val="28"/>
          <w:lang w:val="uk-UA"/>
        </w:rPr>
      </w:pPr>
    </w:p>
    <w:p w:rsidR="009F0B0A" w:rsidRPr="00203CAE" w:rsidRDefault="009F0B0A" w:rsidP="00203CAE">
      <w:pPr>
        <w:shd w:val="clear" w:color="auto" w:fill="FFFFFF"/>
        <w:spacing w:line="360" w:lineRule="auto"/>
        <w:ind w:firstLine="720"/>
        <w:jc w:val="both"/>
        <w:rPr>
          <w:b/>
          <w:sz w:val="28"/>
          <w:szCs w:val="28"/>
          <w:lang w:val="uk-UA"/>
        </w:rPr>
      </w:pPr>
    </w:p>
    <w:p w:rsidR="009F0B0A" w:rsidRPr="00203CAE" w:rsidRDefault="009F0B0A" w:rsidP="00203CAE">
      <w:pPr>
        <w:shd w:val="clear" w:color="auto" w:fill="FFFFFF"/>
        <w:spacing w:line="360" w:lineRule="auto"/>
        <w:ind w:firstLine="720"/>
        <w:jc w:val="both"/>
        <w:rPr>
          <w:b/>
          <w:sz w:val="28"/>
          <w:szCs w:val="28"/>
          <w:lang w:val="uk-UA"/>
        </w:rPr>
      </w:pPr>
    </w:p>
    <w:p w:rsidR="009F0B0A" w:rsidRPr="00203CAE" w:rsidRDefault="009F0B0A" w:rsidP="00203CAE">
      <w:pPr>
        <w:shd w:val="clear" w:color="auto" w:fill="FFFFFF"/>
        <w:spacing w:line="360" w:lineRule="auto"/>
        <w:ind w:firstLine="720"/>
        <w:jc w:val="both"/>
        <w:rPr>
          <w:b/>
          <w:sz w:val="28"/>
          <w:szCs w:val="28"/>
          <w:lang w:val="uk-UA"/>
        </w:rPr>
      </w:pPr>
    </w:p>
    <w:p w:rsidR="009F0B0A" w:rsidRPr="00203CAE" w:rsidRDefault="009F0B0A" w:rsidP="00203CAE">
      <w:pPr>
        <w:shd w:val="clear" w:color="auto" w:fill="FFFFFF"/>
        <w:spacing w:line="360" w:lineRule="auto"/>
        <w:ind w:firstLine="720"/>
        <w:jc w:val="both"/>
        <w:rPr>
          <w:b/>
          <w:sz w:val="28"/>
          <w:szCs w:val="28"/>
          <w:lang w:val="uk-UA"/>
        </w:rPr>
      </w:pPr>
    </w:p>
    <w:p w:rsidR="009F0B0A" w:rsidRPr="00203CAE" w:rsidRDefault="009F0B0A" w:rsidP="00203CAE">
      <w:pPr>
        <w:shd w:val="clear" w:color="auto" w:fill="FFFFFF"/>
        <w:spacing w:line="360" w:lineRule="auto"/>
        <w:ind w:firstLine="720"/>
        <w:jc w:val="both"/>
        <w:rPr>
          <w:b/>
          <w:sz w:val="28"/>
          <w:szCs w:val="28"/>
          <w:lang w:val="uk-UA"/>
        </w:rPr>
      </w:pPr>
    </w:p>
    <w:p w:rsidR="009F0B0A" w:rsidRPr="00203CAE" w:rsidRDefault="009F0B0A" w:rsidP="00203CAE">
      <w:pPr>
        <w:shd w:val="clear" w:color="auto" w:fill="FFFFFF"/>
        <w:spacing w:line="360" w:lineRule="auto"/>
        <w:ind w:firstLine="720"/>
        <w:jc w:val="both"/>
        <w:rPr>
          <w:b/>
          <w:sz w:val="28"/>
          <w:szCs w:val="28"/>
          <w:lang w:val="uk-UA"/>
        </w:rPr>
      </w:pPr>
    </w:p>
    <w:p w:rsidR="009F0B0A" w:rsidRPr="00203CAE" w:rsidRDefault="009F0B0A" w:rsidP="00203CAE">
      <w:pPr>
        <w:shd w:val="clear" w:color="auto" w:fill="FFFFFF"/>
        <w:spacing w:line="360" w:lineRule="auto"/>
        <w:ind w:firstLine="720"/>
        <w:jc w:val="both"/>
        <w:rPr>
          <w:b/>
          <w:sz w:val="28"/>
          <w:szCs w:val="28"/>
          <w:lang w:val="uk-UA"/>
        </w:rPr>
      </w:pPr>
    </w:p>
    <w:p w:rsidR="00203CAE" w:rsidRDefault="00203CAE" w:rsidP="00203CAE">
      <w:pPr>
        <w:shd w:val="clear" w:color="auto" w:fill="FFFFFF"/>
        <w:spacing w:line="360" w:lineRule="auto"/>
        <w:ind w:firstLine="720"/>
        <w:jc w:val="both"/>
        <w:rPr>
          <w:b/>
          <w:sz w:val="28"/>
          <w:szCs w:val="28"/>
          <w:lang w:val="en-US"/>
        </w:rPr>
      </w:pPr>
    </w:p>
    <w:p w:rsidR="00203CAE" w:rsidRDefault="00203CAE" w:rsidP="00203CAE">
      <w:pPr>
        <w:shd w:val="clear" w:color="auto" w:fill="FFFFFF"/>
        <w:spacing w:line="360" w:lineRule="auto"/>
        <w:ind w:firstLine="720"/>
        <w:jc w:val="both"/>
        <w:rPr>
          <w:b/>
          <w:sz w:val="28"/>
          <w:szCs w:val="28"/>
          <w:lang w:val="en-US"/>
        </w:rPr>
      </w:pPr>
    </w:p>
    <w:p w:rsidR="00203CAE" w:rsidRDefault="00203CAE" w:rsidP="00203CAE">
      <w:pPr>
        <w:shd w:val="clear" w:color="auto" w:fill="FFFFFF"/>
        <w:spacing w:line="360" w:lineRule="auto"/>
        <w:ind w:firstLine="720"/>
        <w:jc w:val="both"/>
        <w:rPr>
          <w:b/>
          <w:sz w:val="28"/>
          <w:szCs w:val="28"/>
          <w:lang w:val="en-US"/>
        </w:rPr>
      </w:pPr>
    </w:p>
    <w:p w:rsidR="004D2CB8" w:rsidRPr="00203CAE" w:rsidRDefault="0066411A" w:rsidP="00203CAE">
      <w:pPr>
        <w:shd w:val="clear" w:color="auto" w:fill="FFFFFF"/>
        <w:spacing w:line="360" w:lineRule="auto"/>
        <w:ind w:firstLine="720"/>
        <w:jc w:val="center"/>
        <w:rPr>
          <w:b/>
          <w:sz w:val="28"/>
          <w:szCs w:val="28"/>
        </w:rPr>
      </w:pPr>
      <w:r w:rsidRPr="00203CAE">
        <w:rPr>
          <w:b/>
          <w:sz w:val="28"/>
          <w:szCs w:val="28"/>
          <w:lang w:val="uk-UA"/>
        </w:rPr>
        <w:t>ФІНАНСОВІ ІНСТРУМЕНТИ ДЕРЖАВНОГО РЕГУЛЮВАННЯ</w:t>
      </w:r>
      <w:r w:rsidR="00203CAE" w:rsidRPr="00203CAE">
        <w:rPr>
          <w:b/>
          <w:sz w:val="28"/>
          <w:szCs w:val="28"/>
        </w:rPr>
        <w:t xml:space="preserve"> </w:t>
      </w:r>
      <w:r w:rsidRPr="00203CAE">
        <w:rPr>
          <w:b/>
          <w:sz w:val="28"/>
          <w:szCs w:val="28"/>
          <w:lang w:val="uk-UA"/>
        </w:rPr>
        <w:t>ДОХОДІВ НАСЕЛЕННЯ</w:t>
      </w:r>
    </w:p>
    <w:p w:rsidR="009F0B0A" w:rsidRPr="00203CAE" w:rsidRDefault="009F0B0A" w:rsidP="00203CAE">
      <w:pPr>
        <w:spacing w:line="360" w:lineRule="auto"/>
        <w:ind w:firstLine="720"/>
        <w:jc w:val="both"/>
        <w:rPr>
          <w:sz w:val="28"/>
          <w:szCs w:val="28"/>
          <w:lang w:val="uk-UA"/>
        </w:rPr>
      </w:pPr>
      <w:r w:rsidRPr="00203CAE">
        <w:rPr>
          <w:sz w:val="28"/>
          <w:szCs w:val="28"/>
          <w:lang w:val="uk-UA"/>
        </w:rPr>
        <w:br w:type="page"/>
        <w:t>ЗМІСТ</w:t>
      </w:r>
    </w:p>
    <w:p w:rsidR="00203CAE" w:rsidRDefault="00203CAE" w:rsidP="00203CAE">
      <w:pPr>
        <w:spacing w:line="360" w:lineRule="auto"/>
        <w:ind w:firstLine="720"/>
        <w:jc w:val="both"/>
        <w:rPr>
          <w:sz w:val="28"/>
          <w:szCs w:val="28"/>
          <w:lang w:val="en-US"/>
        </w:rPr>
      </w:pPr>
    </w:p>
    <w:p w:rsidR="009F0B0A" w:rsidRPr="00203CAE" w:rsidRDefault="009F0B0A" w:rsidP="00203CAE">
      <w:pPr>
        <w:spacing w:line="360" w:lineRule="auto"/>
        <w:jc w:val="both"/>
        <w:rPr>
          <w:sz w:val="28"/>
          <w:szCs w:val="28"/>
          <w:lang w:val="uk-UA"/>
        </w:rPr>
      </w:pPr>
      <w:r w:rsidRPr="00203CAE">
        <w:rPr>
          <w:sz w:val="28"/>
          <w:szCs w:val="28"/>
          <w:lang w:val="uk-UA"/>
        </w:rPr>
        <w:t>Вступ</w:t>
      </w:r>
    </w:p>
    <w:p w:rsidR="009F0B0A" w:rsidRPr="00203CAE" w:rsidRDefault="009F0B0A" w:rsidP="00203CAE">
      <w:pPr>
        <w:spacing w:line="360" w:lineRule="auto"/>
        <w:jc w:val="both"/>
        <w:rPr>
          <w:sz w:val="28"/>
          <w:szCs w:val="28"/>
        </w:rPr>
      </w:pPr>
      <w:r w:rsidRPr="00203CAE">
        <w:rPr>
          <w:sz w:val="28"/>
          <w:szCs w:val="28"/>
          <w:lang w:val="uk-UA"/>
        </w:rPr>
        <w:t xml:space="preserve">Інструментами перерозподілу доходів населення </w:t>
      </w:r>
    </w:p>
    <w:p w:rsidR="009F0B0A" w:rsidRPr="00203CAE" w:rsidRDefault="009F0B0A" w:rsidP="00203CAE">
      <w:pPr>
        <w:spacing w:line="360" w:lineRule="auto"/>
        <w:jc w:val="both"/>
        <w:rPr>
          <w:sz w:val="28"/>
          <w:szCs w:val="28"/>
        </w:rPr>
      </w:pPr>
      <w:r w:rsidRPr="00203CAE">
        <w:rPr>
          <w:sz w:val="28"/>
          <w:szCs w:val="28"/>
          <w:lang w:val="uk-UA"/>
        </w:rPr>
        <w:t xml:space="preserve">Крива концентрації податків </w:t>
      </w:r>
    </w:p>
    <w:p w:rsidR="009F0B0A" w:rsidRPr="00203CAE" w:rsidRDefault="009F0B0A" w:rsidP="00203CAE">
      <w:pPr>
        <w:spacing w:line="360" w:lineRule="auto"/>
        <w:jc w:val="both"/>
        <w:rPr>
          <w:sz w:val="28"/>
          <w:szCs w:val="28"/>
        </w:rPr>
      </w:pPr>
      <w:r w:rsidRPr="00203CAE">
        <w:rPr>
          <w:sz w:val="28"/>
          <w:szCs w:val="28"/>
          <w:lang w:val="uk-UA"/>
        </w:rPr>
        <w:t xml:space="preserve">Соціальні трансфери </w:t>
      </w:r>
    </w:p>
    <w:p w:rsidR="009F0B0A" w:rsidRPr="00203CAE" w:rsidRDefault="009F0B0A" w:rsidP="00203CAE">
      <w:pPr>
        <w:shd w:val="clear" w:color="auto" w:fill="FFFFFF"/>
        <w:spacing w:line="360" w:lineRule="auto"/>
        <w:ind w:firstLine="720"/>
        <w:jc w:val="both"/>
        <w:rPr>
          <w:b/>
          <w:sz w:val="28"/>
          <w:szCs w:val="28"/>
          <w:lang w:val="en-US"/>
        </w:rPr>
      </w:pPr>
      <w:r w:rsidRPr="00203CAE">
        <w:rPr>
          <w:sz w:val="28"/>
          <w:szCs w:val="28"/>
          <w:lang w:val="uk-UA"/>
        </w:rPr>
        <w:br w:type="page"/>
      </w:r>
      <w:r w:rsidRPr="00203CAE">
        <w:rPr>
          <w:b/>
          <w:sz w:val="28"/>
          <w:szCs w:val="28"/>
          <w:lang w:val="uk-UA"/>
        </w:rPr>
        <w:t>Вступ</w:t>
      </w:r>
    </w:p>
    <w:p w:rsidR="00203CAE" w:rsidRPr="00203CAE" w:rsidRDefault="00203CAE" w:rsidP="00203CAE">
      <w:pPr>
        <w:shd w:val="clear" w:color="auto" w:fill="FFFFFF"/>
        <w:spacing w:line="360" w:lineRule="auto"/>
        <w:ind w:firstLine="720"/>
        <w:jc w:val="both"/>
        <w:rPr>
          <w:sz w:val="28"/>
          <w:szCs w:val="28"/>
          <w:lang w:val="en-US"/>
        </w:rPr>
      </w:pPr>
    </w:p>
    <w:p w:rsidR="004D2CB8" w:rsidRPr="00203CAE" w:rsidRDefault="0066411A" w:rsidP="00203CAE">
      <w:pPr>
        <w:shd w:val="clear" w:color="auto" w:fill="FFFFFF"/>
        <w:spacing w:line="360" w:lineRule="auto"/>
        <w:ind w:firstLine="720"/>
        <w:jc w:val="both"/>
        <w:rPr>
          <w:sz w:val="28"/>
          <w:szCs w:val="28"/>
          <w:lang w:val="uk-UA"/>
        </w:rPr>
      </w:pPr>
      <w:r w:rsidRPr="00203CAE">
        <w:rPr>
          <w:sz w:val="28"/>
          <w:szCs w:val="28"/>
          <w:lang w:val="uk-UA"/>
        </w:rPr>
        <w:t>В усіх економічних системах уряд перерозподіляє доходи населення для зменшення нерівності у їх розподілі та зменшення рівня бідності. Масштаби цього перерозподілу залежать від багатьох чинників, таких як тип економічної системи, історично сформована практика, пріоритети державних видатків, політичний процес, фаза ділового циклу, цінності населення тощо.</w:t>
      </w:r>
    </w:p>
    <w:p w:rsidR="004D2CB8" w:rsidRPr="00203CAE" w:rsidRDefault="0066411A" w:rsidP="00203CAE">
      <w:pPr>
        <w:shd w:val="clear" w:color="auto" w:fill="FFFFFF"/>
        <w:spacing w:line="360" w:lineRule="auto"/>
        <w:ind w:firstLine="720"/>
        <w:jc w:val="both"/>
        <w:rPr>
          <w:sz w:val="28"/>
          <w:szCs w:val="28"/>
        </w:rPr>
      </w:pPr>
      <w:r w:rsidRPr="00203CAE">
        <w:rPr>
          <w:sz w:val="28"/>
          <w:szCs w:val="28"/>
          <w:lang w:val="uk-UA"/>
        </w:rPr>
        <w:t>Проблеми дослідження державного регулювання доходів населення вивчають А. Гальчинський, А. Колот, Е. Лібанова, В. Мандибура, В. Паламарчук, Ю. Палкін, А. Ревенко, Ю. Саєнко та ін. Вчені доходять висновку, що використання адміністративних важелів у сучасних умовах є неефективним, а тому особливого значення набуває використання фіскальних інструментів регулювання доходів населення.</w:t>
      </w:r>
    </w:p>
    <w:p w:rsidR="004D2CB8" w:rsidRPr="00203CAE" w:rsidRDefault="0066411A" w:rsidP="00203CAE">
      <w:pPr>
        <w:shd w:val="clear" w:color="auto" w:fill="FFFFFF"/>
        <w:spacing w:line="360" w:lineRule="auto"/>
        <w:ind w:firstLine="720"/>
        <w:jc w:val="both"/>
        <w:rPr>
          <w:sz w:val="28"/>
          <w:szCs w:val="28"/>
        </w:rPr>
      </w:pPr>
      <w:r w:rsidRPr="00203CAE">
        <w:rPr>
          <w:sz w:val="28"/>
          <w:szCs w:val="28"/>
          <w:lang w:val="uk-UA"/>
        </w:rPr>
        <w:t>У цій статті проаналізуємо фінансові інструменти державного регулювання доходів населення, зокрема податки на особисті доходи та трансферні платежі, а також дослідимо показники ефективності використання цих інструментів для зменшення нерівності розподілу доходів населення та бідності у різних групах країн.</w:t>
      </w:r>
    </w:p>
    <w:p w:rsidR="004D2CB8" w:rsidRPr="00203CAE" w:rsidRDefault="009F0B0A" w:rsidP="00203CAE">
      <w:pPr>
        <w:shd w:val="clear" w:color="auto" w:fill="FFFFFF"/>
        <w:spacing w:line="360" w:lineRule="auto"/>
        <w:ind w:firstLine="720"/>
        <w:jc w:val="both"/>
        <w:rPr>
          <w:sz w:val="28"/>
          <w:szCs w:val="28"/>
        </w:rPr>
      </w:pPr>
      <w:r w:rsidRPr="00203CAE">
        <w:rPr>
          <w:sz w:val="28"/>
          <w:szCs w:val="28"/>
          <w:lang w:val="uk-UA"/>
        </w:rPr>
        <w:br w:type="page"/>
      </w:r>
      <w:r w:rsidR="0066411A" w:rsidRPr="00203CAE">
        <w:rPr>
          <w:sz w:val="28"/>
          <w:szCs w:val="28"/>
          <w:lang w:val="uk-UA"/>
        </w:rPr>
        <w:t>Інструментами перерозподілу доходів населення є особисті податки, державні трансферні платежі, встановлення мінімальної заробітної плати, норм і гарантій її виплати, умов та розмірів оплати праці керівників установ і організацій, що фінансуються з бюджету, регулювання фондів оплати праці підприємств-монополістів, регулювання цін на товари і послуги тощо. Особливого значення у сучасних умовах набуває використання фінансових інструментів регулювання доходів населення, зокрема особистих податків та соціальних трансферів.</w:t>
      </w:r>
    </w:p>
    <w:p w:rsidR="004D2CB8" w:rsidRPr="00203CAE" w:rsidRDefault="0066411A" w:rsidP="00203CAE">
      <w:pPr>
        <w:shd w:val="clear" w:color="auto" w:fill="FFFFFF"/>
        <w:spacing w:line="360" w:lineRule="auto"/>
        <w:ind w:firstLine="720"/>
        <w:jc w:val="both"/>
        <w:rPr>
          <w:sz w:val="28"/>
          <w:szCs w:val="28"/>
          <w:lang w:val="uk-UA"/>
        </w:rPr>
      </w:pPr>
      <w:r w:rsidRPr="00203CAE">
        <w:rPr>
          <w:sz w:val="28"/>
          <w:szCs w:val="28"/>
          <w:lang w:val="uk-UA"/>
        </w:rPr>
        <w:t>Податок на доходи фізичних осіб є важливим інструментом державного регулювання доходів завдяки своїй справедливості та ефективності податкової системи. Основні переваги цього податку такі [2, c. 210]: він узгоджується з принципом платоспроможності; податкові надходження гнучкі; податок не породжує викривлення цін; він є добрим макроекономічним стабілізатором; податок „прозорий", тобто податковий тягар є для його платників зрозумілим і очевидним; легко вказати джерело цього податку й чітко визначити його розмір.</w:t>
      </w:r>
    </w:p>
    <w:p w:rsidR="004D2CB8" w:rsidRPr="00203CAE" w:rsidRDefault="0066411A" w:rsidP="00203CAE">
      <w:pPr>
        <w:shd w:val="clear" w:color="auto" w:fill="FFFFFF"/>
        <w:spacing w:line="360" w:lineRule="auto"/>
        <w:ind w:firstLine="720"/>
        <w:jc w:val="both"/>
        <w:rPr>
          <w:sz w:val="28"/>
          <w:szCs w:val="28"/>
        </w:rPr>
      </w:pPr>
      <w:r w:rsidRPr="00203CAE">
        <w:rPr>
          <w:sz w:val="28"/>
          <w:szCs w:val="28"/>
          <w:lang w:val="uk-UA"/>
        </w:rPr>
        <w:t>При аналізі впливу податків на розподіл доходів важливе значення мають такі поняття як система оподаткування, ставки оподаткування, база оподаткування, величина неоподатковуваного мінімуму, пільги при сплаті податків тощо. Навіть незначні зміни в системі оподаткуванні призводять до суттєвих змін у формуванні доходів населення.</w:t>
      </w:r>
    </w:p>
    <w:p w:rsidR="004D2CB8" w:rsidRPr="00203CAE" w:rsidRDefault="0066411A" w:rsidP="00203CAE">
      <w:pPr>
        <w:shd w:val="clear" w:color="auto" w:fill="FFFFFF"/>
        <w:spacing w:line="360" w:lineRule="auto"/>
        <w:ind w:firstLine="720"/>
        <w:jc w:val="both"/>
        <w:rPr>
          <w:sz w:val="28"/>
          <w:szCs w:val="28"/>
        </w:rPr>
      </w:pPr>
      <w:r w:rsidRPr="00203CAE">
        <w:rPr>
          <w:sz w:val="28"/>
          <w:szCs w:val="28"/>
          <w:lang w:val="uk-UA"/>
        </w:rPr>
        <w:t>Існує два основних види податкових систем, які застосовують при оподаткуванні особистих доходів: прогресивна і пропорційна. При прогресивному податку середня ставка податку зростає і багаті особи платять у вигляді податку дедалі більшу частку свого доходу. Суть пропорційного податку полягає у тому, що усі індивіди сплачують однакову частку свого доходу.</w:t>
      </w:r>
    </w:p>
    <w:p w:rsidR="004D2CB8" w:rsidRPr="00203CAE" w:rsidRDefault="0066411A" w:rsidP="00203CAE">
      <w:pPr>
        <w:shd w:val="clear" w:color="auto" w:fill="FFFFFF"/>
        <w:spacing w:line="360" w:lineRule="auto"/>
        <w:ind w:firstLine="720"/>
        <w:jc w:val="both"/>
        <w:rPr>
          <w:sz w:val="28"/>
          <w:szCs w:val="28"/>
        </w:rPr>
      </w:pPr>
      <w:r w:rsidRPr="00203CAE">
        <w:rPr>
          <w:sz w:val="28"/>
          <w:szCs w:val="28"/>
          <w:lang w:val="uk-UA"/>
        </w:rPr>
        <w:t>Більшість країн світу використовує прогресивні шкали оподаткування особистих доходів, тобто зі зростанням доходів податкові ставки збільшуються.</w:t>
      </w:r>
    </w:p>
    <w:p w:rsidR="004D2CB8" w:rsidRPr="00203CAE" w:rsidRDefault="0066411A" w:rsidP="00203CAE">
      <w:pPr>
        <w:shd w:val="clear" w:color="auto" w:fill="FFFFFF"/>
        <w:spacing w:line="360" w:lineRule="auto"/>
        <w:ind w:firstLine="720"/>
        <w:jc w:val="both"/>
        <w:rPr>
          <w:sz w:val="28"/>
          <w:szCs w:val="28"/>
          <w:lang w:val="uk-UA"/>
        </w:rPr>
      </w:pPr>
      <w:r w:rsidRPr="00203CAE">
        <w:rPr>
          <w:sz w:val="28"/>
          <w:szCs w:val="28"/>
          <w:lang w:val="uk-UA"/>
        </w:rPr>
        <w:t>При оподаткуванні особистих доходів може використовуватися різна кількість ставок. Більшість країн використовують чотири-п'ять ставок податку, хоча може бути лише одна (у випадку пропорційного оподаткування), а у Люксембурзі їх налічується аж 16. У розвинених країнах простежується загальна тенденція до зменшення кількості ставок [7, c. 22]. Дослідження показують, що зменшення кількості ставок не означає зменшення перерозподільного впливу податків.</w:t>
      </w:r>
    </w:p>
    <w:p w:rsidR="004D2CB8" w:rsidRPr="00203CAE" w:rsidRDefault="0066411A" w:rsidP="00203CAE">
      <w:pPr>
        <w:shd w:val="clear" w:color="auto" w:fill="FFFFFF"/>
        <w:spacing w:line="360" w:lineRule="auto"/>
        <w:ind w:firstLine="720"/>
        <w:jc w:val="both"/>
        <w:rPr>
          <w:sz w:val="28"/>
          <w:szCs w:val="28"/>
        </w:rPr>
      </w:pPr>
      <w:r w:rsidRPr="00203CAE">
        <w:rPr>
          <w:sz w:val="28"/>
          <w:szCs w:val="28"/>
          <w:lang w:val="uk-UA"/>
        </w:rPr>
        <w:t>У розвинутих країнах існують значні відмінності у величині максимальної ставки податку на особисті доходи. У 2005 р. максимальна ставка податку існувала у Нідерландах - 52%, а мінімальна - у Швейцарії (12%). Середня величина максимальної ставки податку на особисті доходи у країнах ОЕСР становить 43,3% [7, c. 21].</w:t>
      </w:r>
    </w:p>
    <w:p w:rsidR="004D2CB8" w:rsidRPr="00203CAE" w:rsidRDefault="0066411A" w:rsidP="00203CAE">
      <w:pPr>
        <w:shd w:val="clear" w:color="auto" w:fill="FFFFFF"/>
        <w:spacing w:line="360" w:lineRule="auto"/>
        <w:ind w:firstLine="720"/>
        <w:jc w:val="both"/>
        <w:rPr>
          <w:sz w:val="28"/>
          <w:szCs w:val="28"/>
          <w:lang w:val="uk-UA"/>
        </w:rPr>
      </w:pPr>
      <w:r w:rsidRPr="00203CAE">
        <w:rPr>
          <w:sz w:val="28"/>
          <w:szCs w:val="28"/>
          <w:lang w:val="uk-UA"/>
        </w:rPr>
        <w:t>Альтернативною до прогресивної системи оподаткування особистих доходів є пропорційна система. Першою з країн, яка запровадила пропорційне оподаткування була Естонія. У 1994 р. у цій країні було запроваджено єдину ставку податку - 26%, - середнє між найвищою та найнижчою ставками. У 1994 р. пропорційне оподаткування запровадила Литва (33%), у 1997 - Латвія (25%), у 2001 - Росія (13%), 2003 - Сербія (14%), 2004 - Україна (13%), Словаччина (19%), у 2005 р. -Грузія (12%), Румунія (16%) Туркменістан (10%), у 2006 р. - Киргизія (10%), у 2007 р. - Казахстан (10%), Македонія (12%), Чорногорія (15%), у 2008 р. - Албанія (10%), Болгарія (10%), Чеська республіка (15%), у 2009 р. - Білорусь (12%).</w:t>
      </w:r>
    </w:p>
    <w:p w:rsidR="004D2CB8" w:rsidRPr="00203CAE" w:rsidRDefault="0066411A" w:rsidP="00203CAE">
      <w:pPr>
        <w:shd w:val="clear" w:color="auto" w:fill="FFFFFF"/>
        <w:spacing w:line="360" w:lineRule="auto"/>
        <w:ind w:firstLine="720"/>
        <w:jc w:val="both"/>
        <w:rPr>
          <w:sz w:val="28"/>
          <w:szCs w:val="28"/>
          <w:lang w:val="uk-UA"/>
        </w:rPr>
      </w:pPr>
      <w:r w:rsidRPr="00203CAE">
        <w:rPr>
          <w:sz w:val="28"/>
          <w:szCs w:val="28"/>
          <w:lang w:val="uk-UA"/>
        </w:rPr>
        <w:t>Запровадження пропорційної системи оподаткування доходів суттєво зменшило можливості держави використовувати особисті податки як інструмент перерозподілу доходів. Однак запровадження пропорційної системи не означає, що уряд вже не може використовувати податкову систему для перерозподілу доходів [1]. Застосування неоподатковуваного мінімуму чи податкових пільг може забезпечити певну міру прогресивності податку навіть при пропорційній системі оподаткуванні особистих доходів. Дані з Дослідження доходів та умов життя ЄС (2006) свідчать, що прямі податки є дуже прогресивними у всіх країнах ЄС-8, зокрема і тих, які мають пропорційне оподаткування. Більш того, порівняльний аналіз показує, що у країнах з єдиною ставкою оподаткування (Естонія, Литва, Словаччина) податки відігравали навіть більшу роль у зниженні нерівності доходів населення, ніж соціальні трансфери [13].</w:t>
      </w:r>
    </w:p>
    <w:p w:rsidR="004D2CB8" w:rsidRPr="00203CAE" w:rsidRDefault="0066411A" w:rsidP="00203CAE">
      <w:pPr>
        <w:shd w:val="clear" w:color="auto" w:fill="FFFFFF"/>
        <w:spacing w:line="360" w:lineRule="auto"/>
        <w:ind w:firstLine="720"/>
        <w:jc w:val="both"/>
        <w:rPr>
          <w:sz w:val="28"/>
          <w:szCs w:val="28"/>
          <w:lang w:val="uk-UA"/>
        </w:rPr>
      </w:pPr>
      <w:r w:rsidRPr="00203CAE">
        <w:rPr>
          <w:sz w:val="28"/>
          <w:szCs w:val="28"/>
          <w:lang w:val="uk-UA"/>
        </w:rPr>
        <w:t>При оподаткуванні особистих доходів важливе значення має вибір бази оподаткування. Існує два основних підходи до визначення бази оподаткування особистих доходів: глобальний, тобто до всіх доходів особи у сукупності, і шедулярний, тобто окремо за джерелами доходів. До оподатковуваного доходу у різних країнах можуть включати доходи з різних джерел, що ускладнює порівняльний аналіз. Розширення бази оподаткування також має вплив на розподіл доходів, оскільки підвищує горизонтальну справедливість, так як передбачає усунення преференційного оподаткування окремих груп платників податку.</w:t>
      </w:r>
    </w:p>
    <w:p w:rsidR="004D2CB8" w:rsidRPr="00203CAE" w:rsidRDefault="0066411A" w:rsidP="00203CAE">
      <w:pPr>
        <w:shd w:val="clear" w:color="auto" w:fill="FFFFFF"/>
        <w:spacing w:line="360" w:lineRule="auto"/>
        <w:ind w:firstLine="720"/>
        <w:jc w:val="both"/>
        <w:rPr>
          <w:sz w:val="28"/>
          <w:szCs w:val="28"/>
          <w:lang w:val="uk-UA"/>
        </w:rPr>
      </w:pPr>
      <w:r w:rsidRPr="00203CAE">
        <w:rPr>
          <w:sz w:val="28"/>
          <w:szCs w:val="28"/>
          <w:lang w:val="uk-UA"/>
        </w:rPr>
        <w:t>Одиницею оподаткування може бути особа чи сім'я. У більшості країн одиницею оподаткування є індивід, а у Франції, Люксембурзі, Португалії і Швейцарії є спільне оподаткування заробітків подружжя. Головною метою спільного оподаткування є досягнення горизонтальної справедливості.</w:t>
      </w:r>
    </w:p>
    <w:p w:rsidR="004D2CB8" w:rsidRPr="00203CAE" w:rsidRDefault="0066411A" w:rsidP="00203CAE">
      <w:pPr>
        <w:shd w:val="clear" w:color="auto" w:fill="FFFFFF"/>
        <w:spacing w:line="360" w:lineRule="auto"/>
        <w:ind w:firstLine="720"/>
        <w:jc w:val="both"/>
        <w:rPr>
          <w:sz w:val="28"/>
          <w:szCs w:val="28"/>
        </w:rPr>
      </w:pPr>
      <w:r w:rsidRPr="00203CAE">
        <w:rPr>
          <w:sz w:val="28"/>
          <w:szCs w:val="28"/>
          <w:lang w:val="uk-UA"/>
        </w:rPr>
        <w:t>Для перерозподільних цілей податку на доходи фізичних осіб важливе місце займають пільги, неоподатковувані мінімуми та податкові кредити. Основним аргументами використання неоподатковуваних мінімумів, податкових пільг та податкових кредитів є досягнення більшої прогресивності податків, здійснення платниками податків видатків на соціально важливі цілі тощо. Однак такі пільги значно частіше використовують особи з високими доходами, наприклад для звільнення від оподаткування заощаджень, купленого в кредит житла, видатків на освіту і охорону здоров'я та доброчинних внесків.</w:t>
      </w:r>
    </w:p>
    <w:p w:rsidR="004D2CB8" w:rsidRPr="00203CAE" w:rsidRDefault="0066411A" w:rsidP="00203CAE">
      <w:pPr>
        <w:shd w:val="clear" w:color="auto" w:fill="FFFFFF"/>
        <w:spacing w:line="360" w:lineRule="auto"/>
        <w:ind w:firstLine="720"/>
        <w:jc w:val="both"/>
        <w:rPr>
          <w:sz w:val="28"/>
          <w:szCs w:val="28"/>
        </w:rPr>
      </w:pPr>
      <w:r w:rsidRPr="00203CAE">
        <w:rPr>
          <w:sz w:val="28"/>
          <w:szCs w:val="28"/>
          <w:lang w:val="uk-UA"/>
        </w:rPr>
        <w:t>Найпростішим показником перерозподілу доходів за допомогою податків є частка податків з особистих доходів у ВВП країни. Що більшою є ця частка, то сильніше держава впливає на формування доходів населення. Для прикладу, у розвинених країнах (членах ОЕСР) частка податку на особисті доходи у ВВП становить менше 10% (8,4), хоча тут існують значні відмінності. Так, частка особистих податків у ВВП у Кореї становить лише 3,2%, у Словаччині - 3,3, тоді як у Швеції -15,8, а у Данії - 25,6 % [7, c. 16].</w:t>
      </w:r>
    </w:p>
    <w:p w:rsidR="004D2CB8" w:rsidRPr="00203CAE" w:rsidRDefault="0066411A" w:rsidP="00203CAE">
      <w:pPr>
        <w:shd w:val="clear" w:color="auto" w:fill="FFFFFF"/>
        <w:spacing w:line="360" w:lineRule="auto"/>
        <w:ind w:firstLine="720"/>
        <w:jc w:val="both"/>
        <w:rPr>
          <w:sz w:val="28"/>
          <w:szCs w:val="28"/>
        </w:rPr>
      </w:pPr>
      <w:r w:rsidRPr="00203CAE">
        <w:rPr>
          <w:sz w:val="28"/>
          <w:szCs w:val="28"/>
          <w:lang w:val="uk-UA"/>
        </w:rPr>
        <w:t>Ще одним показником перерозподілу доходів за допомогою податків є частка особистих податків у податкових надходженнях до бюджету. У країнах ОЕСР ця частка становить приблизно</w:t>
      </w:r>
      <w:r w:rsidR="009F0B0A" w:rsidRPr="00203CAE">
        <w:rPr>
          <w:sz w:val="28"/>
          <w:szCs w:val="28"/>
          <w:lang w:val="uk-UA"/>
        </w:rPr>
        <w:t xml:space="preserve"> </w:t>
      </w:r>
      <w:r w:rsidRPr="00203CAE">
        <w:rPr>
          <w:sz w:val="28"/>
          <w:szCs w:val="28"/>
          <w:lang w:val="uk-UA"/>
        </w:rPr>
        <w:t>5%; вона коливається від 10,8% у Словаччині і 12,7% у Кореї до 41,9% у Новій Зеландії та 53,1% у Данії [7, c. 16].</w:t>
      </w:r>
    </w:p>
    <w:p w:rsidR="004D2CB8" w:rsidRPr="00203CAE" w:rsidRDefault="0066411A" w:rsidP="00203CAE">
      <w:pPr>
        <w:shd w:val="clear" w:color="auto" w:fill="FFFFFF"/>
        <w:spacing w:line="360" w:lineRule="auto"/>
        <w:ind w:firstLine="720"/>
        <w:jc w:val="both"/>
        <w:rPr>
          <w:sz w:val="28"/>
          <w:szCs w:val="28"/>
          <w:lang w:val="uk-UA"/>
        </w:rPr>
      </w:pPr>
      <w:r w:rsidRPr="00203CAE">
        <w:rPr>
          <w:sz w:val="28"/>
          <w:szCs w:val="28"/>
          <w:lang w:val="uk-UA"/>
        </w:rPr>
        <w:t>Однак сама частка особистих податків у ВВП не пояснює, хто саме заплатив ці податки. Тому необхідно аналізувати частку податків у видатках домогосподарств, що згруповані за рівнем їх доходів. Для цього найчастіше використовують коефіцієнт концентрації податків і коефіцієнт Каквані.</w:t>
      </w:r>
    </w:p>
    <w:p w:rsidR="004D2CB8" w:rsidRPr="00203CAE" w:rsidRDefault="0066411A" w:rsidP="00203CAE">
      <w:pPr>
        <w:shd w:val="clear" w:color="auto" w:fill="FFFFFF"/>
        <w:spacing w:line="360" w:lineRule="auto"/>
        <w:ind w:firstLine="720"/>
        <w:jc w:val="both"/>
        <w:rPr>
          <w:sz w:val="28"/>
          <w:szCs w:val="28"/>
          <w:lang w:val="uk-UA"/>
        </w:rPr>
      </w:pPr>
      <w:r w:rsidRPr="00203CAE">
        <w:rPr>
          <w:sz w:val="28"/>
          <w:szCs w:val="28"/>
          <w:lang w:val="uk-UA"/>
        </w:rPr>
        <w:t xml:space="preserve">Крива концентрації податків є подібною до кривої Лоренца, за винятком того, що по вертикальній осі відкладається не кумулятивна частка доходів, а кумулятивна частка податкових зобов'язань. Так само як коефіцієнт Джині, коефіцієнт концентрації податкових зобов'язань </w:t>
      </w:r>
      <w:r w:rsidRPr="00203CAE">
        <w:rPr>
          <w:i/>
          <w:iCs/>
          <w:sz w:val="28"/>
          <w:szCs w:val="28"/>
          <w:lang w:val="uk-UA"/>
        </w:rPr>
        <w:t xml:space="preserve">N </w:t>
      </w:r>
      <w:r w:rsidRPr="00203CAE">
        <w:rPr>
          <w:sz w:val="28"/>
          <w:szCs w:val="28"/>
          <w:lang w:val="uk-UA"/>
        </w:rPr>
        <w:t>можна обчислити як різницю між одиницею і подвійною площею фігури під кривою концентрації податкових зобов'язань.</w:t>
      </w:r>
    </w:p>
    <w:p w:rsidR="004D2CB8" w:rsidRPr="00203CAE" w:rsidRDefault="0066411A" w:rsidP="00203CAE">
      <w:pPr>
        <w:shd w:val="clear" w:color="auto" w:fill="FFFFFF"/>
        <w:spacing w:line="360" w:lineRule="auto"/>
        <w:ind w:firstLine="720"/>
        <w:jc w:val="both"/>
        <w:rPr>
          <w:sz w:val="28"/>
          <w:szCs w:val="28"/>
        </w:rPr>
      </w:pPr>
      <w:r w:rsidRPr="00203CAE">
        <w:rPr>
          <w:sz w:val="28"/>
          <w:szCs w:val="28"/>
          <w:lang w:val="uk-UA"/>
        </w:rPr>
        <w:t xml:space="preserve">Коефіцієнт </w:t>
      </w:r>
      <w:r w:rsidRPr="00203CAE">
        <w:rPr>
          <w:i/>
          <w:iCs/>
          <w:sz w:val="28"/>
          <w:szCs w:val="28"/>
          <w:lang w:val="uk-UA"/>
        </w:rPr>
        <w:t xml:space="preserve">N </w:t>
      </w:r>
      <w:r w:rsidRPr="00203CAE">
        <w:rPr>
          <w:sz w:val="28"/>
          <w:szCs w:val="28"/>
          <w:lang w:val="uk-UA"/>
        </w:rPr>
        <w:t>може приймати значення від нуля (максимальна податкова регресивність - крива концентрації податків співпадає з діагоналлю) і одиницею (максимальна прогресивність). Коефіцієнт Каквані тоді можна обчислити за формулою</w:t>
      </w:r>
    </w:p>
    <w:p w:rsidR="00203CAE" w:rsidRDefault="00203CAE" w:rsidP="00203CAE">
      <w:pPr>
        <w:shd w:val="clear" w:color="auto" w:fill="FFFFFF"/>
        <w:tabs>
          <w:tab w:val="left" w:pos="9163"/>
        </w:tabs>
        <w:spacing w:line="360" w:lineRule="auto"/>
        <w:ind w:firstLine="720"/>
        <w:jc w:val="both"/>
        <w:rPr>
          <w:i/>
          <w:iCs/>
          <w:sz w:val="28"/>
          <w:szCs w:val="28"/>
          <w:lang w:val="en-US"/>
        </w:rPr>
      </w:pPr>
    </w:p>
    <w:p w:rsidR="004D2CB8" w:rsidRPr="00203CAE" w:rsidRDefault="0066411A" w:rsidP="00203CAE">
      <w:pPr>
        <w:shd w:val="clear" w:color="auto" w:fill="FFFFFF"/>
        <w:tabs>
          <w:tab w:val="left" w:pos="9163"/>
        </w:tabs>
        <w:spacing w:line="360" w:lineRule="auto"/>
        <w:ind w:firstLine="720"/>
        <w:jc w:val="both"/>
        <w:rPr>
          <w:sz w:val="28"/>
          <w:szCs w:val="28"/>
        </w:rPr>
      </w:pPr>
      <w:r w:rsidRPr="00203CAE">
        <w:rPr>
          <w:i/>
          <w:iCs/>
          <w:sz w:val="28"/>
          <w:szCs w:val="28"/>
          <w:lang w:val="en-US"/>
        </w:rPr>
        <w:t>K</w:t>
      </w:r>
      <w:r w:rsidRPr="00203CAE">
        <w:rPr>
          <w:i/>
          <w:iCs/>
          <w:sz w:val="28"/>
          <w:szCs w:val="28"/>
        </w:rPr>
        <w:t>=</w:t>
      </w:r>
      <w:r w:rsidRPr="00203CAE">
        <w:rPr>
          <w:i/>
          <w:iCs/>
          <w:sz w:val="28"/>
          <w:szCs w:val="28"/>
          <w:lang w:val="en-US"/>
        </w:rPr>
        <w:t>N</w:t>
      </w:r>
      <w:r w:rsidRPr="00203CAE">
        <w:rPr>
          <w:i/>
          <w:iCs/>
          <w:sz w:val="28"/>
          <w:szCs w:val="28"/>
        </w:rPr>
        <w:t>-</w:t>
      </w:r>
      <w:r w:rsidRPr="00203CAE">
        <w:rPr>
          <w:i/>
          <w:iCs/>
          <w:sz w:val="28"/>
          <w:szCs w:val="28"/>
          <w:lang w:val="en-US"/>
        </w:rPr>
        <w:t>G</w:t>
      </w:r>
      <w:r w:rsidRPr="00203CAE">
        <w:rPr>
          <w:i/>
          <w:iCs/>
          <w:sz w:val="28"/>
          <w:szCs w:val="28"/>
        </w:rPr>
        <w:t xml:space="preserve"> = 1-2</w:t>
      </w:r>
      <w:r w:rsidRPr="00203CAE">
        <w:rPr>
          <w:i/>
          <w:iCs/>
          <w:sz w:val="28"/>
          <w:szCs w:val="28"/>
          <w:lang w:val="en-US"/>
        </w:rPr>
        <w:t>Y</w:t>
      </w:r>
      <w:r w:rsidRPr="00203CAE">
        <w:rPr>
          <w:i/>
          <w:iCs/>
          <w:sz w:val="28"/>
          <w:szCs w:val="28"/>
        </w:rPr>
        <w:t>,</w:t>
      </w:r>
    </w:p>
    <w:p w:rsidR="00203CAE" w:rsidRDefault="00203CAE" w:rsidP="00203CAE">
      <w:pPr>
        <w:shd w:val="clear" w:color="auto" w:fill="FFFFFF"/>
        <w:spacing w:line="360" w:lineRule="auto"/>
        <w:ind w:firstLine="720"/>
        <w:jc w:val="both"/>
        <w:rPr>
          <w:sz w:val="28"/>
          <w:szCs w:val="28"/>
          <w:lang w:val="en-US"/>
        </w:rPr>
      </w:pPr>
    </w:p>
    <w:p w:rsidR="004D2CB8" w:rsidRPr="00203CAE" w:rsidRDefault="0066411A" w:rsidP="00203CAE">
      <w:pPr>
        <w:shd w:val="clear" w:color="auto" w:fill="FFFFFF"/>
        <w:spacing w:line="360" w:lineRule="auto"/>
        <w:ind w:firstLine="720"/>
        <w:jc w:val="both"/>
        <w:rPr>
          <w:sz w:val="28"/>
          <w:szCs w:val="28"/>
          <w:lang w:val="uk-UA"/>
        </w:rPr>
      </w:pPr>
      <w:r w:rsidRPr="00203CAE">
        <w:rPr>
          <w:sz w:val="28"/>
          <w:szCs w:val="28"/>
          <w:lang w:val="uk-UA"/>
        </w:rPr>
        <w:t xml:space="preserve">де </w:t>
      </w:r>
      <w:r w:rsidRPr="00203CAE">
        <w:rPr>
          <w:i/>
          <w:iCs/>
          <w:sz w:val="28"/>
          <w:szCs w:val="28"/>
          <w:lang w:val="uk-UA"/>
        </w:rPr>
        <w:t xml:space="preserve">К - </w:t>
      </w:r>
      <w:r w:rsidRPr="00203CAE">
        <w:rPr>
          <w:sz w:val="28"/>
          <w:szCs w:val="28"/>
          <w:lang w:val="uk-UA"/>
        </w:rPr>
        <w:t xml:space="preserve">коефіцієнт Каквані; </w:t>
      </w:r>
      <w:r w:rsidRPr="00203CAE">
        <w:rPr>
          <w:i/>
          <w:iCs/>
          <w:sz w:val="28"/>
          <w:szCs w:val="28"/>
          <w:lang w:val="uk-UA"/>
        </w:rPr>
        <w:t xml:space="preserve">N - </w:t>
      </w:r>
      <w:r w:rsidRPr="00203CAE">
        <w:rPr>
          <w:sz w:val="28"/>
          <w:szCs w:val="28"/>
          <w:lang w:val="uk-UA"/>
        </w:rPr>
        <w:t xml:space="preserve">коефіцієнт концентрації податкових зобов'язань; </w:t>
      </w:r>
      <w:r w:rsidRPr="00203CAE">
        <w:rPr>
          <w:i/>
          <w:iCs/>
          <w:sz w:val="28"/>
          <w:szCs w:val="28"/>
          <w:lang w:val="en-US"/>
        </w:rPr>
        <w:t xml:space="preserve">G </w:t>
      </w:r>
      <w:r w:rsidRPr="00203CAE">
        <w:rPr>
          <w:i/>
          <w:iCs/>
          <w:sz w:val="28"/>
          <w:szCs w:val="28"/>
          <w:lang w:val="uk-UA"/>
        </w:rPr>
        <w:t xml:space="preserve">- </w:t>
      </w:r>
      <w:r w:rsidRPr="00203CAE">
        <w:rPr>
          <w:sz w:val="28"/>
          <w:szCs w:val="28"/>
          <w:lang w:val="uk-UA"/>
        </w:rPr>
        <w:t xml:space="preserve">коефіцієнт Джині; </w:t>
      </w:r>
      <w:r w:rsidRPr="00203CAE">
        <w:rPr>
          <w:i/>
          <w:iCs/>
          <w:sz w:val="28"/>
          <w:szCs w:val="28"/>
          <w:lang w:val="en-US"/>
        </w:rPr>
        <w:t xml:space="preserve">Y- </w:t>
      </w:r>
      <w:r w:rsidRPr="00203CAE">
        <w:rPr>
          <w:sz w:val="28"/>
          <w:szCs w:val="28"/>
          <w:lang w:val="uk-UA"/>
        </w:rPr>
        <w:t>площа між кривою Лоренца і кривою концентрації податкових зобов'язань.</w:t>
      </w:r>
    </w:p>
    <w:p w:rsidR="004D2CB8" w:rsidRPr="00203CAE" w:rsidRDefault="0066411A" w:rsidP="00203CAE">
      <w:pPr>
        <w:shd w:val="clear" w:color="auto" w:fill="FFFFFF"/>
        <w:spacing w:line="360" w:lineRule="auto"/>
        <w:ind w:firstLine="720"/>
        <w:jc w:val="both"/>
        <w:rPr>
          <w:sz w:val="28"/>
          <w:szCs w:val="28"/>
        </w:rPr>
      </w:pPr>
      <w:r w:rsidRPr="00203CAE">
        <w:rPr>
          <w:sz w:val="28"/>
          <w:szCs w:val="28"/>
          <w:lang w:val="uk-UA"/>
        </w:rPr>
        <w:t xml:space="preserve">Коефіцієнт Каквані показує ступінь прогресивності податків: чим вищим є значення цього коефіцієнта, тим прогресивнішим є податок. Якщо значення коефіцієнта Каквані є від'ємним, то це означає, що податок є регресивним. Для заданого значення </w:t>
      </w:r>
      <w:r w:rsidRPr="00203CAE">
        <w:rPr>
          <w:i/>
          <w:iCs/>
          <w:sz w:val="28"/>
          <w:szCs w:val="28"/>
          <w:lang w:val="en-US"/>
        </w:rPr>
        <w:t>G</w:t>
      </w:r>
      <w:r w:rsidRPr="00203CAE">
        <w:rPr>
          <w:i/>
          <w:iCs/>
          <w:sz w:val="28"/>
          <w:szCs w:val="28"/>
        </w:rPr>
        <w:t xml:space="preserve"> </w:t>
      </w:r>
      <w:r w:rsidRPr="00203CAE">
        <w:rPr>
          <w:i/>
          <w:iCs/>
          <w:sz w:val="28"/>
          <w:szCs w:val="28"/>
          <w:lang w:val="uk-UA"/>
        </w:rPr>
        <w:t xml:space="preserve">, </w:t>
      </w:r>
      <w:r w:rsidRPr="00203CAE">
        <w:rPr>
          <w:sz w:val="28"/>
          <w:szCs w:val="28"/>
          <w:lang w:val="uk-UA"/>
        </w:rPr>
        <w:t xml:space="preserve">значення К може приймати значення від (- </w:t>
      </w:r>
      <w:r w:rsidRPr="00203CAE">
        <w:rPr>
          <w:i/>
          <w:iCs/>
          <w:sz w:val="28"/>
          <w:szCs w:val="28"/>
          <w:lang w:val="en-US"/>
        </w:rPr>
        <w:t>G</w:t>
      </w:r>
      <w:r w:rsidRPr="00203CAE">
        <w:rPr>
          <w:i/>
          <w:iCs/>
          <w:sz w:val="28"/>
          <w:szCs w:val="28"/>
        </w:rPr>
        <w:t xml:space="preserve">) </w:t>
      </w:r>
      <w:r w:rsidRPr="00203CAE">
        <w:rPr>
          <w:sz w:val="28"/>
          <w:szCs w:val="28"/>
          <w:lang w:val="uk-UA"/>
        </w:rPr>
        <w:t xml:space="preserve">до (1- </w:t>
      </w:r>
      <w:r w:rsidRPr="00203CAE">
        <w:rPr>
          <w:sz w:val="28"/>
          <w:szCs w:val="28"/>
          <w:lang w:val="en-US"/>
        </w:rPr>
        <w:t>G</w:t>
      </w:r>
      <w:r w:rsidRPr="00203CAE">
        <w:rPr>
          <w:sz w:val="28"/>
          <w:szCs w:val="28"/>
        </w:rPr>
        <w:t>).</w:t>
      </w:r>
    </w:p>
    <w:p w:rsidR="004D2CB8" w:rsidRPr="00203CAE" w:rsidRDefault="0066411A" w:rsidP="00203CAE">
      <w:pPr>
        <w:shd w:val="clear" w:color="auto" w:fill="FFFFFF"/>
        <w:spacing w:line="360" w:lineRule="auto"/>
        <w:ind w:firstLine="720"/>
        <w:jc w:val="both"/>
        <w:rPr>
          <w:sz w:val="28"/>
          <w:szCs w:val="28"/>
        </w:rPr>
      </w:pPr>
      <w:r w:rsidRPr="00203CAE">
        <w:rPr>
          <w:sz w:val="28"/>
          <w:szCs w:val="28"/>
          <w:lang w:val="uk-UA"/>
        </w:rPr>
        <w:t>Для ефективного перерозподілу доходів за допомогою податків, на думку більшості дослідників, податкова система повинна мати широку базу, обмежену кількість винятків і низькі ставки. Головною метою податків як інструменту перерозподілу доходів населення є акумулювання ресурсів, необхідних для надання допомоги біднішим верствам населення та уникнення утворення горизонтальних нерівностей. Однак, як показують дослідження Світового банку, податки суттєво не зменшують значення коефіцієнтів Джині у країнах, що розвиваються і в країнах з перехідною економікою [10, c. 3]. В умовах запровадження плоскої шкали оподаткування особистих доходів важливого значення для збільшення перерозподільного ефекту податків набуває підвищення неоподатковуваного мінімуму. На нашу думку, доцільним є встановлення неоподатковуваного мінімуму на рівні 50% середньої заробітної плати. Наприклад, у 2008 р. середньомісячна зарплата в Україні становила 1806 грн. Тоді неоподатковуваний мінімум був би 900 грн, що не набагато більше за мінімальну зарплату (605 грн) чи прожитковий мінімум (626 грн.)</w:t>
      </w:r>
    </w:p>
    <w:p w:rsidR="004D2CB8" w:rsidRPr="00203CAE" w:rsidRDefault="0066411A" w:rsidP="00203CAE">
      <w:pPr>
        <w:shd w:val="clear" w:color="auto" w:fill="FFFFFF"/>
        <w:spacing w:line="360" w:lineRule="auto"/>
        <w:ind w:firstLine="720"/>
        <w:jc w:val="both"/>
        <w:rPr>
          <w:sz w:val="28"/>
          <w:szCs w:val="28"/>
        </w:rPr>
      </w:pPr>
      <w:r w:rsidRPr="00203CAE">
        <w:rPr>
          <w:sz w:val="28"/>
          <w:szCs w:val="28"/>
          <w:lang w:val="uk-UA"/>
        </w:rPr>
        <w:t>Значно потужнішими інструментами перерозподілу доходів населення є соціальні трансфери, або програми соціального захисту населення. Соціальні трансфери поділяють на дві великі групи: програми соціального страхування та програми соціальної допомоги. Відмінність між цими програмами полягає у різних підходах до управління соціальними ризиками. Програми соціального страхування допомагають людям послабити вплив соціальних ризиків, тоді як соціальна допомога призначена здебільшого для боротьби з наслідками соціальних негараздів. Багато програм соціальної допомоги призначені для підвищення рівня споживання різних груп населення. Ще однією відмінністю між цими групами державних трансферів є джерела їх фінансування -соціальне страхування ґрунтується на внесках осіб, а соціальна допомогу отримують без будь-яких внесків зі сторони бенефіціарія. Під соціальним захистом розуміють усі програми соціального страхування і соціальної допомоги, а також програми активної політики на ринку праці.</w:t>
      </w:r>
    </w:p>
    <w:p w:rsidR="004D2CB8" w:rsidRPr="00203CAE" w:rsidRDefault="0066411A" w:rsidP="00203CAE">
      <w:pPr>
        <w:shd w:val="clear" w:color="auto" w:fill="FFFFFF"/>
        <w:spacing w:line="360" w:lineRule="auto"/>
        <w:ind w:firstLine="720"/>
        <w:jc w:val="both"/>
        <w:rPr>
          <w:sz w:val="28"/>
          <w:szCs w:val="28"/>
          <w:lang w:val="uk-UA"/>
        </w:rPr>
      </w:pPr>
      <w:r w:rsidRPr="00203CAE">
        <w:rPr>
          <w:sz w:val="28"/>
          <w:szCs w:val="28"/>
          <w:lang w:val="uk-UA"/>
        </w:rPr>
        <w:t>Одним з найважливіших показників перерозподілу доходів населення за допомогою трансферів є частка видатків на соціальний захист у ВВП країни. У розвинутих країнах ця коливається від менше 15% у США до 22% у Великій Британії, 27% у Німеччині та понад 30% у Швеції [11, c. 181]. Такі відмінності у соціальних видатках розвинених країн дали підставу шведському досліднику Еспінгу-Андерсену виділити три моделі країн загального добробуту: ліберальну (США), консервативну (Німеччина) і соціал-демократичну (Швеція) [5, c. 9-12].</w:t>
      </w:r>
    </w:p>
    <w:p w:rsidR="004D2CB8" w:rsidRPr="00203CAE" w:rsidRDefault="0066411A" w:rsidP="00203CAE">
      <w:pPr>
        <w:shd w:val="clear" w:color="auto" w:fill="FFFFFF"/>
        <w:spacing w:line="360" w:lineRule="auto"/>
        <w:ind w:firstLine="720"/>
        <w:jc w:val="both"/>
        <w:rPr>
          <w:sz w:val="28"/>
          <w:szCs w:val="28"/>
          <w:lang w:val="uk-UA"/>
        </w:rPr>
      </w:pPr>
      <w:r w:rsidRPr="00203CAE">
        <w:rPr>
          <w:sz w:val="28"/>
          <w:szCs w:val="28"/>
          <w:lang w:val="uk-UA"/>
        </w:rPr>
        <w:t>Ще одним показником ролі трансферів їх частка у структурі видатків державного бюджету. Частка соціальних видатків у загальних державних видатках коливається від 67% в Австралії до 90% у Швеції та Данії. Отже, від 67 до 90% усіх державних видатків у розвинутих країнах йде на перерозподіл доходів [12, c. 3]. При аналізі ролі соціальних трансферів у різних країнах порівнюють рівень видатків на окремі соціальні програми, такі як пенсії, допомоги з безробіття, допомоги сім'ям з дітьми, допомоги групам населення з низьким рівнем доходів тощо.</w:t>
      </w:r>
    </w:p>
    <w:p w:rsidR="004D2CB8" w:rsidRPr="00203CAE" w:rsidRDefault="0066411A" w:rsidP="00203CAE">
      <w:pPr>
        <w:shd w:val="clear" w:color="auto" w:fill="FFFFFF"/>
        <w:spacing w:line="360" w:lineRule="auto"/>
        <w:ind w:firstLine="720"/>
        <w:jc w:val="both"/>
        <w:rPr>
          <w:sz w:val="28"/>
          <w:szCs w:val="28"/>
        </w:rPr>
      </w:pPr>
      <w:r w:rsidRPr="00203CAE">
        <w:rPr>
          <w:sz w:val="28"/>
          <w:szCs w:val="28"/>
          <w:lang w:val="uk-UA"/>
        </w:rPr>
        <w:t xml:space="preserve">В аналізі соціальних видатків важливим напрямом аналізу є їх адресність. Видатки вважають добре адресованими </w:t>
      </w:r>
      <w:r w:rsidRPr="00203CAE">
        <w:rPr>
          <w:i/>
          <w:iCs/>
          <w:sz w:val="28"/>
          <w:szCs w:val="28"/>
          <w:lang w:val="uk-UA"/>
        </w:rPr>
        <w:t>(</w:t>
      </w:r>
      <w:r w:rsidRPr="00203CAE">
        <w:rPr>
          <w:i/>
          <w:iCs/>
          <w:sz w:val="28"/>
          <w:szCs w:val="28"/>
          <w:lang w:val="en-US"/>
        </w:rPr>
        <w:t>targeted</w:t>
      </w:r>
      <w:r w:rsidRPr="00203CAE">
        <w:rPr>
          <w:i/>
          <w:iCs/>
          <w:sz w:val="28"/>
          <w:szCs w:val="28"/>
          <w:lang w:val="uk-UA"/>
        </w:rPr>
        <w:t xml:space="preserve">), </w:t>
      </w:r>
      <w:r w:rsidRPr="00203CAE">
        <w:rPr>
          <w:sz w:val="28"/>
          <w:szCs w:val="28"/>
          <w:lang w:val="uk-UA"/>
        </w:rPr>
        <w:t xml:space="preserve">якщо частка трансферів, що припадає на найбідніший квінтиль бенефіціаріїв є більшою за частку трансферів, що припадає на найбагатший квінтиль. Наприклад, програма державних трансферів є адресною, якщо 20% найбіднішого населення отримує у </w:t>
      </w:r>
      <w:r w:rsidRPr="00203CAE">
        <w:rPr>
          <w:i/>
          <w:iCs/>
          <w:sz w:val="28"/>
          <w:szCs w:val="28"/>
          <w:lang w:val="uk-UA"/>
        </w:rPr>
        <w:t xml:space="preserve">абсолютному </w:t>
      </w:r>
      <w:r w:rsidRPr="00203CAE">
        <w:rPr>
          <w:sz w:val="28"/>
          <w:szCs w:val="28"/>
          <w:lang w:val="uk-UA"/>
        </w:rPr>
        <w:t>вираженні більше, ніж 20% найбагатшого населення.</w:t>
      </w:r>
    </w:p>
    <w:p w:rsidR="004D2CB8" w:rsidRPr="00203CAE" w:rsidRDefault="0066411A" w:rsidP="00203CAE">
      <w:pPr>
        <w:shd w:val="clear" w:color="auto" w:fill="FFFFFF"/>
        <w:spacing w:line="360" w:lineRule="auto"/>
        <w:ind w:firstLine="720"/>
        <w:jc w:val="both"/>
        <w:rPr>
          <w:sz w:val="28"/>
          <w:szCs w:val="28"/>
        </w:rPr>
      </w:pPr>
      <w:r w:rsidRPr="00203CAE">
        <w:rPr>
          <w:sz w:val="28"/>
          <w:szCs w:val="28"/>
          <w:lang w:val="uk-UA"/>
        </w:rPr>
        <w:t xml:space="preserve">Ще одним напрямом аналізу державних видатків є їх прогресивність (регресивність). Програма державних видатків є прогресивною, якщо вигоди найбіднішого квінтиля є більшими у </w:t>
      </w:r>
      <w:r w:rsidRPr="00203CAE">
        <w:rPr>
          <w:i/>
          <w:iCs/>
          <w:sz w:val="28"/>
          <w:szCs w:val="28"/>
          <w:lang w:val="uk-UA"/>
        </w:rPr>
        <w:t xml:space="preserve">відносному </w:t>
      </w:r>
      <w:r w:rsidRPr="00203CAE">
        <w:rPr>
          <w:sz w:val="28"/>
          <w:szCs w:val="28"/>
          <w:lang w:val="uk-UA"/>
        </w:rPr>
        <w:t>вираженні, ніж вигоди найбагатшого квінтиля. Ці визначення передбачають, що якщо програма соціальних трансферів добре таргетована, то вона є прогресивною, Це також означає, що якщо програма є прогресивною, то вона не обов'язково є добре таргетована [10, c. 9].</w:t>
      </w:r>
    </w:p>
    <w:p w:rsidR="004D2CB8" w:rsidRPr="00203CAE" w:rsidRDefault="0066411A" w:rsidP="00203CAE">
      <w:pPr>
        <w:shd w:val="clear" w:color="auto" w:fill="FFFFFF"/>
        <w:spacing w:line="360" w:lineRule="auto"/>
        <w:ind w:firstLine="720"/>
        <w:jc w:val="both"/>
        <w:rPr>
          <w:sz w:val="28"/>
          <w:szCs w:val="28"/>
          <w:lang w:val="uk-UA"/>
        </w:rPr>
      </w:pPr>
      <w:r w:rsidRPr="00203CAE">
        <w:rPr>
          <w:sz w:val="28"/>
          <w:szCs w:val="28"/>
          <w:lang w:val="uk-UA"/>
        </w:rPr>
        <w:t>Соціальні трансфери відіграють важливу роль у зменшенні бідності. Так, якщо проаналізувати дані про рівень бідності до і після трансферів, то доходимо висновку, що за допомогою трансферів знижується рівень бідності в Італії на 47,8%, Великій Британії - 57,4%, Франції - 72,9, Нідерландах - 72,6%, а у Швеції - на 81,6% [3, c. 95].</w:t>
      </w:r>
    </w:p>
    <w:p w:rsidR="004D2CB8" w:rsidRPr="00203CAE" w:rsidRDefault="0066411A" w:rsidP="00203CAE">
      <w:pPr>
        <w:shd w:val="clear" w:color="auto" w:fill="FFFFFF"/>
        <w:spacing w:line="360" w:lineRule="auto"/>
        <w:ind w:firstLine="720"/>
        <w:jc w:val="both"/>
        <w:rPr>
          <w:sz w:val="28"/>
          <w:szCs w:val="28"/>
          <w:lang w:val="uk-UA"/>
        </w:rPr>
      </w:pPr>
      <w:r w:rsidRPr="00203CAE">
        <w:rPr>
          <w:sz w:val="28"/>
          <w:szCs w:val="28"/>
          <w:lang w:val="uk-UA"/>
        </w:rPr>
        <w:t xml:space="preserve">У науковій літературі часто можна зустріти порівняння систем соціальних трансферів у різних країнах, однак дослідники зазвичай розглядають ці проблеми через широку призму - наприклад методи надання соціальних трансферів, їх частка у ВВП тощо. Досліджень, які б напряму стосувалися вивченню впливу трансферів на розподіл доходів населення є достатньо мало. Навіть у розвинених країн порівняльні дослідження ефективності надавання соціальних трансферів не надто поширені. Наприклад, у країнах ЄС такі дослідження розпочалися лише у 90-х роках ХХ ст. після запровадження панельного дослідження європейських домогосподарств </w:t>
      </w:r>
      <w:r w:rsidRPr="00203CAE">
        <w:rPr>
          <w:i/>
          <w:iCs/>
          <w:sz w:val="28"/>
          <w:szCs w:val="28"/>
          <w:lang w:val="uk-UA"/>
        </w:rPr>
        <w:t>(</w:t>
      </w:r>
      <w:r w:rsidRPr="00203CAE">
        <w:rPr>
          <w:i/>
          <w:iCs/>
          <w:sz w:val="28"/>
          <w:szCs w:val="28"/>
          <w:lang w:val="en-US"/>
        </w:rPr>
        <w:t>European</w:t>
      </w:r>
      <w:r w:rsidRPr="00203CAE">
        <w:rPr>
          <w:i/>
          <w:iCs/>
          <w:sz w:val="28"/>
          <w:szCs w:val="28"/>
          <w:lang w:val="uk-UA"/>
        </w:rPr>
        <w:t xml:space="preserve"> </w:t>
      </w:r>
      <w:r w:rsidRPr="00203CAE">
        <w:rPr>
          <w:i/>
          <w:iCs/>
          <w:sz w:val="28"/>
          <w:szCs w:val="28"/>
          <w:lang w:val="en-US"/>
        </w:rPr>
        <w:t>Community</w:t>
      </w:r>
      <w:r w:rsidRPr="00203CAE">
        <w:rPr>
          <w:i/>
          <w:iCs/>
          <w:sz w:val="28"/>
          <w:szCs w:val="28"/>
          <w:lang w:val="uk-UA"/>
        </w:rPr>
        <w:t xml:space="preserve"> </w:t>
      </w:r>
      <w:r w:rsidRPr="00203CAE">
        <w:rPr>
          <w:i/>
          <w:iCs/>
          <w:sz w:val="28"/>
          <w:szCs w:val="28"/>
          <w:lang w:val="en-US"/>
        </w:rPr>
        <w:t>Household</w:t>
      </w:r>
      <w:r w:rsidRPr="00203CAE">
        <w:rPr>
          <w:i/>
          <w:iCs/>
          <w:sz w:val="28"/>
          <w:szCs w:val="28"/>
          <w:lang w:val="uk-UA"/>
        </w:rPr>
        <w:t xml:space="preserve"> </w:t>
      </w:r>
      <w:r w:rsidRPr="00203CAE">
        <w:rPr>
          <w:i/>
          <w:iCs/>
          <w:sz w:val="28"/>
          <w:szCs w:val="28"/>
          <w:lang w:val="en-US"/>
        </w:rPr>
        <w:t>Panel</w:t>
      </w:r>
      <w:r w:rsidRPr="00203CAE">
        <w:rPr>
          <w:i/>
          <w:iCs/>
          <w:sz w:val="28"/>
          <w:szCs w:val="28"/>
          <w:lang w:val="uk-UA"/>
        </w:rPr>
        <w:t xml:space="preserve">), </w:t>
      </w:r>
      <w:r w:rsidRPr="00203CAE">
        <w:rPr>
          <w:sz w:val="28"/>
          <w:szCs w:val="28"/>
          <w:lang w:val="uk-UA"/>
        </w:rPr>
        <w:t>що дало змогу порівнювати перерозподільні наслідки трансферів у Європейському Союзі.</w:t>
      </w:r>
    </w:p>
    <w:p w:rsidR="004D2CB8" w:rsidRPr="00203CAE" w:rsidRDefault="0066411A" w:rsidP="00203CAE">
      <w:pPr>
        <w:shd w:val="clear" w:color="auto" w:fill="FFFFFF"/>
        <w:spacing w:line="360" w:lineRule="auto"/>
        <w:ind w:firstLine="720"/>
        <w:jc w:val="both"/>
        <w:rPr>
          <w:sz w:val="28"/>
          <w:szCs w:val="28"/>
        </w:rPr>
      </w:pPr>
      <w:r w:rsidRPr="00203CAE">
        <w:rPr>
          <w:sz w:val="28"/>
          <w:szCs w:val="28"/>
          <w:lang w:val="uk-UA"/>
        </w:rPr>
        <w:t>Дані цього дослідження показують, що у 1994 р. соціальні трансфери відігравали різну роль у зменшенні нерівності у країнах Європейського Союзу. За допомогою трансферів найбільше знижували нерівність у розподілі доходів у Данії (на 46,0%), Бельгії (41,5%) і Нідерландах (40,8%). Найменший вплив трансферів на нерівність розподілу доходів був у Португалії та Греції (коефіцієнт Джині після трансферів знизився на 22,7 і 26,6% відповідно). Трансфери найбільше знижували бідність у Нідерландах (на 64,1%) та Данії (63,8%), а найменше - у Португалії (33,2), Греції (37,3) та Ірландії (39,9%) [8, c. 22-24].</w:t>
      </w:r>
    </w:p>
    <w:p w:rsidR="004D2CB8" w:rsidRPr="00203CAE" w:rsidRDefault="0066411A" w:rsidP="00203CAE">
      <w:pPr>
        <w:shd w:val="clear" w:color="auto" w:fill="FFFFFF"/>
        <w:spacing w:line="360" w:lineRule="auto"/>
        <w:ind w:firstLine="720"/>
        <w:jc w:val="both"/>
        <w:rPr>
          <w:sz w:val="28"/>
          <w:szCs w:val="28"/>
          <w:lang w:val="uk-UA"/>
        </w:rPr>
      </w:pPr>
      <w:r w:rsidRPr="00203CAE">
        <w:rPr>
          <w:sz w:val="28"/>
          <w:szCs w:val="28"/>
          <w:lang w:val="uk-UA"/>
        </w:rPr>
        <w:t xml:space="preserve">Останнім часом дослідження проблем ефективності використання соціальних видатків для зниження рівня бідності та нерівності різко активізувалися. На перший план дослідження виходять проблеми дієвості та ефективності використання соціальних видатків. Уперше поняття "дієвість" </w:t>
      </w:r>
      <w:r w:rsidRPr="00203CAE">
        <w:rPr>
          <w:i/>
          <w:iCs/>
          <w:sz w:val="28"/>
          <w:szCs w:val="28"/>
          <w:lang w:val="uk-UA"/>
        </w:rPr>
        <w:t>(</w:t>
      </w:r>
      <w:r w:rsidRPr="00203CAE">
        <w:rPr>
          <w:i/>
          <w:iCs/>
          <w:sz w:val="28"/>
          <w:szCs w:val="28"/>
          <w:lang w:val="en-US"/>
        </w:rPr>
        <w:t>effectiveness</w:t>
      </w:r>
      <w:r w:rsidRPr="00203CAE">
        <w:rPr>
          <w:i/>
          <w:iCs/>
          <w:sz w:val="28"/>
          <w:szCs w:val="28"/>
          <w:lang w:val="uk-UA"/>
        </w:rPr>
        <w:t xml:space="preserve">) </w:t>
      </w:r>
      <w:r w:rsidRPr="00203CAE">
        <w:rPr>
          <w:sz w:val="28"/>
          <w:szCs w:val="28"/>
          <w:lang w:val="uk-UA"/>
        </w:rPr>
        <w:t xml:space="preserve">і "ефективність" </w:t>
      </w:r>
      <w:r w:rsidRPr="00203CAE">
        <w:rPr>
          <w:i/>
          <w:iCs/>
          <w:sz w:val="28"/>
          <w:szCs w:val="28"/>
          <w:lang w:val="uk-UA"/>
        </w:rPr>
        <w:t>(</w:t>
      </w:r>
      <w:r w:rsidRPr="00203CAE">
        <w:rPr>
          <w:i/>
          <w:iCs/>
          <w:sz w:val="28"/>
          <w:szCs w:val="28"/>
          <w:lang w:val="en-US"/>
        </w:rPr>
        <w:t>efficiency</w:t>
      </w:r>
      <w:r w:rsidRPr="00203CAE">
        <w:rPr>
          <w:i/>
          <w:iCs/>
          <w:sz w:val="28"/>
          <w:szCs w:val="28"/>
          <w:lang w:val="uk-UA"/>
        </w:rPr>
        <w:t xml:space="preserve">) </w:t>
      </w:r>
      <w:r w:rsidRPr="00203CAE">
        <w:rPr>
          <w:sz w:val="28"/>
          <w:szCs w:val="28"/>
          <w:lang w:val="uk-UA"/>
        </w:rPr>
        <w:t>соціальних видатків у Європейському Союзі було визначено на інституційному рівні у нещодавньому документі Європейської Комісії [3].</w:t>
      </w:r>
    </w:p>
    <w:p w:rsidR="004D2CB8" w:rsidRPr="00203CAE" w:rsidRDefault="0066411A" w:rsidP="00203CAE">
      <w:pPr>
        <w:shd w:val="clear" w:color="auto" w:fill="FFFFFF"/>
        <w:spacing w:line="360" w:lineRule="auto"/>
        <w:ind w:firstLine="720"/>
        <w:jc w:val="both"/>
        <w:rPr>
          <w:sz w:val="28"/>
          <w:szCs w:val="28"/>
        </w:rPr>
      </w:pPr>
      <w:r w:rsidRPr="00203CAE">
        <w:rPr>
          <w:sz w:val="28"/>
          <w:szCs w:val="28"/>
          <w:lang w:val="uk-UA"/>
        </w:rPr>
        <w:t>Дієвість соціальних видатків можна визначити тою мірою, якою фактично розміщені ресурси наближуються до соціально бажаного результату. Наприклад, соціальним завданням може бути зменшення ризику бідності (що визначається певним порогом доходів). Якщо ринкове розміщення коштів без втручання уряду залишає 30% відсотків населення в зоні ризику бідності, то дієвість вимірюється тим ступенем, на рівні якого урядові втручання зменшили ризик бідності. Іншими словами, дієвість соціальних трансферів визначається зниженням бідності від рівня, що існував би без надання трансферів. Дієвість трансферів вимірюють трьома показниками: ступенем охоплення населення трансферами (% бідних, які отримують трансфери), витіканням трансферів або помилкою включення (% трансферів, які отримують небідні домогосподарства) та адекватністю (частка соціальних трансферів у видатках усіх домогосподарств або рівень бідності (чи глибини бідності) без соціальних трансферів [6, сі 1].</w:t>
      </w:r>
    </w:p>
    <w:p w:rsidR="004D2CB8" w:rsidRPr="00203CAE" w:rsidRDefault="0066411A" w:rsidP="00203CAE">
      <w:pPr>
        <w:shd w:val="clear" w:color="auto" w:fill="FFFFFF"/>
        <w:spacing w:line="360" w:lineRule="auto"/>
        <w:ind w:firstLine="720"/>
        <w:jc w:val="both"/>
        <w:rPr>
          <w:sz w:val="28"/>
          <w:szCs w:val="28"/>
        </w:rPr>
      </w:pPr>
      <w:r w:rsidRPr="00203CAE">
        <w:rPr>
          <w:sz w:val="28"/>
          <w:szCs w:val="28"/>
          <w:lang w:val="uk-UA"/>
        </w:rPr>
        <w:t>Ефективність може бути визначена як кількість ресурсів, від яких довелося відмовитися, щоб досягти бажаного розміщення. Соціальні видатки є більш ефективними, якщо менше ресурсів було використано для впровадження певної зміни, або якщо, для певного рівня альтернативної вартості, економіка наближується до бажаного розподілу. Іншими словами, найбільш ефективними є програми, які при найменшій кількості ресурсів найбільше зменшують рівень бідності. Кількісно ефективність соціальних трансферів Світовий банк вимірює їх часткою у видатках 10% найбідніших домогосподарств.</w:t>
      </w:r>
    </w:p>
    <w:p w:rsidR="004D2CB8" w:rsidRPr="00203CAE" w:rsidRDefault="0066411A" w:rsidP="00203CAE">
      <w:pPr>
        <w:shd w:val="clear" w:color="auto" w:fill="FFFFFF"/>
        <w:spacing w:line="360" w:lineRule="auto"/>
        <w:ind w:firstLine="720"/>
        <w:jc w:val="both"/>
        <w:rPr>
          <w:sz w:val="28"/>
          <w:szCs w:val="28"/>
        </w:rPr>
      </w:pPr>
      <w:r w:rsidRPr="00203CAE">
        <w:rPr>
          <w:sz w:val="28"/>
          <w:szCs w:val="28"/>
          <w:lang w:val="uk-UA"/>
        </w:rPr>
        <w:t>Країни ЄС мають різні цілі та різну дієвість соціальних видатків. Німецький дослідник П. Герман на основі регресійного аналізу дослідив рівень дієвості соціальних трансферів у країнах Європейського Союзу. Він дійшов висновку, що початковий рівень бідності до трансферів коливається у діапазоні від 17 до 30% населення (за межу бідності прийнято 60% медіанного доходу). Після трансферів рівень бідності становить від 10 до 23% [9, c. 21]. Так, Швеція та Чехія мають найбільш дієві програми соціальних трансферів, що призводять до найбільшого зменшенні рівня бідності. У той же час, у Греції та Латвії ці програми є найменш дієвими.</w:t>
      </w:r>
    </w:p>
    <w:p w:rsidR="004D2CB8" w:rsidRPr="00203CAE" w:rsidRDefault="0066411A" w:rsidP="00203CAE">
      <w:pPr>
        <w:shd w:val="clear" w:color="auto" w:fill="FFFFFF"/>
        <w:spacing w:line="360" w:lineRule="auto"/>
        <w:ind w:firstLine="720"/>
        <w:jc w:val="both"/>
        <w:rPr>
          <w:sz w:val="28"/>
          <w:szCs w:val="28"/>
          <w:lang w:val="uk-UA"/>
        </w:rPr>
      </w:pPr>
      <w:r w:rsidRPr="00203CAE">
        <w:rPr>
          <w:sz w:val="28"/>
          <w:szCs w:val="28"/>
          <w:lang w:val="uk-UA"/>
        </w:rPr>
        <w:t>Стосовно ефективності соціальних видатків у країнах ЄС, то П. Герман дійшов висновку, що один відсоток зростання соціальних видатків приводить до зменшення рівня бідності на 0,32%. Соціальні видатки у країнах ЄС пояснюють 30% варіації у рівнях бідності. Найбільш ефективними є соціальні видатки у Чехії, Словаччині та Словенії, а найменш ефективними - у Греції, Італії та Іспанії [9, c. 31-32]. Найбільш ефективними програмами соціальних видатків щодо зменшення рівня бідності у країнах Європейського Союзі є видатки на охорону здоров'я та програми сімейної допомоги.</w:t>
      </w:r>
    </w:p>
    <w:p w:rsidR="004D2CB8" w:rsidRPr="00203CAE" w:rsidRDefault="0066411A" w:rsidP="00203CAE">
      <w:pPr>
        <w:shd w:val="clear" w:color="auto" w:fill="FFFFFF"/>
        <w:spacing w:line="360" w:lineRule="auto"/>
        <w:ind w:firstLine="720"/>
        <w:jc w:val="both"/>
        <w:rPr>
          <w:sz w:val="28"/>
          <w:szCs w:val="28"/>
        </w:rPr>
      </w:pPr>
      <w:r w:rsidRPr="00203CAE">
        <w:rPr>
          <w:sz w:val="28"/>
          <w:szCs w:val="28"/>
          <w:lang w:val="uk-UA"/>
        </w:rPr>
        <w:t xml:space="preserve">Розглянемо детальніше дієвість та ефективність соціальних трансферів в Україні. Використаємо дані обстежень умов життя домогосподарств для обчислення дієвості та ефективності соціальних трансферів. Значення соціальних трансферів у грошових доходах за останні роки постійно зростало. Так, частка пенсій у структурі грошових доходів зросла на 5% з 2003 р. до 2005 </w:t>
      </w:r>
      <w:r w:rsidRPr="00203CAE">
        <w:rPr>
          <w:sz w:val="28"/>
          <w:szCs w:val="28"/>
        </w:rPr>
        <w:t xml:space="preserve">р., </w:t>
      </w:r>
      <w:r w:rsidRPr="00203CAE">
        <w:rPr>
          <w:sz w:val="28"/>
          <w:szCs w:val="28"/>
          <w:lang w:val="uk-UA"/>
        </w:rPr>
        <w:t>що у абсолютних значеннях становить зростання з 117 до 289 грн в середньому на одне домогосподарство. Стрімке зростання пенсій призвело до того, що частка пенсій у грошових доходах сільських домогосподарств у 2005 р. становила 31%. Роль стипендій також зросла, а частка соціальної допомоги у грошових доходах між 2000 і 2005 роками фактично подвоїлася.</w:t>
      </w:r>
    </w:p>
    <w:p w:rsidR="004D2CB8" w:rsidRPr="00203CAE" w:rsidRDefault="0066411A" w:rsidP="00203CAE">
      <w:pPr>
        <w:shd w:val="clear" w:color="auto" w:fill="FFFFFF"/>
        <w:spacing w:line="360" w:lineRule="auto"/>
        <w:ind w:firstLine="720"/>
        <w:jc w:val="both"/>
        <w:rPr>
          <w:sz w:val="28"/>
          <w:szCs w:val="28"/>
        </w:rPr>
      </w:pPr>
      <w:r w:rsidRPr="00203CAE">
        <w:rPr>
          <w:sz w:val="28"/>
          <w:szCs w:val="28"/>
          <w:lang w:val="uk-UA"/>
        </w:rPr>
        <w:t>Частка соціальних трансферів у 10% домогосподарств з найнижчими грошовими доходами зазвичай була вищою, ніж у домогосподарствах загалом. У структурі домогосподарств з найнижчими доходами частка пенсій приблизно на 10-20% перевищувала відповідний показник для усіх домогосподарств. Значення соціальної допомоги у структурі доходів найбідніших домогосподарств стабільно зростало упродовж останніх років. З 2000 до 2006 року ця частка зросла з 4 до майже 7%, що можна трактувати як ознаку підвищення ефективності соціальної допомоги. Однак якщо подивитися на відношення частки соціальної допомоги у структурі усіх домогосподарств і домогосподарств з найнижчими доходами, то доходимо висновку, що адресність її надання зросла незначно.</w:t>
      </w:r>
    </w:p>
    <w:p w:rsidR="004D2CB8" w:rsidRPr="00203CAE" w:rsidRDefault="0066411A" w:rsidP="00203CAE">
      <w:pPr>
        <w:shd w:val="clear" w:color="auto" w:fill="FFFFFF"/>
        <w:spacing w:line="360" w:lineRule="auto"/>
        <w:ind w:firstLine="720"/>
        <w:jc w:val="both"/>
        <w:rPr>
          <w:sz w:val="28"/>
          <w:szCs w:val="28"/>
        </w:rPr>
      </w:pPr>
      <w:r w:rsidRPr="00203CAE">
        <w:rPr>
          <w:sz w:val="28"/>
          <w:szCs w:val="28"/>
          <w:lang w:val="uk-UA"/>
        </w:rPr>
        <w:t>Частка соціальної допомоги, пільг та субсидій у доходах найбідніших домогосподарств перевищувала відповідну частку для усіх домогосподарств у 2,5 рази у 2000 р. і у 2,8 рази у 2006 році.. Загалом проведений аналіз свідчить, що ефективність соціальних трансферів в Україні підвищується, але прогрес доволі повільний. Однак беззаперечним є висновок про те, що соціальні виплати забезпечували вагому частку доходів домогосподарств.</w:t>
      </w:r>
    </w:p>
    <w:p w:rsidR="004D2CB8" w:rsidRPr="00203CAE" w:rsidRDefault="0066411A" w:rsidP="00203CAE">
      <w:pPr>
        <w:shd w:val="clear" w:color="auto" w:fill="FFFFFF"/>
        <w:spacing w:line="360" w:lineRule="auto"/>
        <w:ind w:firstLine="720"/>
        <w:jc w:val="both"/>
        <w:rPr>
          <w:sz w:val="28"/>
          <w:szCs w:val="28"/>
          <w:lang w:val="uk-UA"/>
        </w:rPr>
      </w:pPr>
      <w:r w:rsidRPr="00203CAE">
        <w:rPr>
          <w:sz w:val="28"/>
          <w:szCs w:val="28"/>
          <w:lang w:val="uk-UA"/>
        </w:rPr>
        <w:t>У світовій практиці вироблено чимало фінансових інструментів державного регулювання доходів населення. Основною проблемою перерозподілу доходів є визначення глибини державного втручання. Незважаючи на запеклі дискусії економістів про межу допустимого втручання держави у перерозподіл доходів, єдиної думки щодо цієї проблеми не вдається досягти.</w:t>
      </w:r>
    </w:p>
    <w:p w:rsidR="009F0B0A" w:rsidRPr="00203CAE" w:rsidRDefault="009F0B0A" w:rsidP="00203CAE">
      <w:pPr>
        <w:shd w:val="clear" w:color="auto" w:fill="FFFFFF"/>
        <w:tabs>
          <w:tab w:val="left" w:pos="389"/>
        </w:tabs>
        <w:spacing w:line="360" w:lineRule="auto"/>
        <w:ind w:firstLine="720"/>
        <w:jc w:val="both"/>
        <w:rPr>
          <w:b/>
          <w:iCs/>
          <w:sz w:val="28"/>
          <w:szCs w:val="28"/>
          <w:lang w:val="en-US"/>
        </w:rPr>
      </w:pPr>
      <w:r w:rsidRPr="00203CAE">
        <w:rPr>
          <w:i/>
          <w:iCs/>
          <w:sz w:val="28"/>
          <w:szCs w:val="28"/>
          <w:lang w:val="uk-UA"/>
        </w:rPr>
        <w:br w:type="page"/>
      </w:r>
      <w:r w:rsidRPr="00203CAE">
        <w:rPr>
          <w:b/>
          <w:iCs/>
          <w:sz w:val="28"/>
          <w:szCs w:val="28"/>
          <w:lang w:val="uk-UA"/>
        </w:rPr>
        <w:t>Література</w:t>
      </w:r>
    </w:p>
    <w:p w:rsidR="00203CAE" w:rsidRPr="003F7A34" w:rsidRDefault="00203CAE" w:rsidP="00203CAE">
      <w:pPr>
        <w:shd w:val="clear" w:color="auto" w:fill="FFFFFF"/>
        <w:tabs>
          <w:tab w:val="left" w:pos="389"/>
        </w:tabs>
        <w:spacing w:line="360" w:lineRule="auto"/>
        <w:ind w:firstLine="720"/>
        <w:jc w:val="both"/>
        <w:rPr>
          <w:sz w:val="28"/>
          <w:szCs w:val="28"/>
          <w:lang w:val="en-US"/>
        </w:rPr>
      </w:pPr>
    </w:p>
    <w:p w:rsidR="004D2CB8" w:rsidRPr="00203CAE" w:rsidRDefault="0066411A" w:rsidP="00203CAE">
      <w:pPr>
        <w:numPr>
          <w:ilvl w:val="0"/>
          <w:numId w:val="1"/>
        </w:numPr>
        <w:shd w:val="clear" w:color="auto" w:fill="FFFFFF"/>
        <w:tabs>
          <w:tab w:val="left" w:pos="709"/>
        </w:tabs>
        <w:spacing w:line="360" w:lineRule="auto"/>
        <w:jc w:val="both"/>
        <w:rPr>
          <w:sz w:val="28"/>
          <w:szCs w:val="28"/>
          <w:lang w:val="uk-UA"/>
        </w:rPr>
      </w:pPr>
      <w:r w:rsidRPr="00203CAE">
        <w:rPr>
          <w:i/>
          <w:iCs/>
          <w:sz w:val="28"/>
          <w:szCs w:val="28"/>
          <w:lang w:val="uk-UA"/>
        </w:rPr>
        <w:t xml:space="preserve">Голіаш Петер, Роберт Кічіна. </w:t>
      </w:r>
      <w:r w:rsidRPr="00203CAE">
        <w:rPr>
          <w:sz w:val="28"/>
          <w:szCs w:val="28"/>
          <w:lang w:val="uk-UA"/>
        </w:rPr>
        <w:t>Податкова реформа в Словаччині: результати першого року. - К.: МЦПД,</w:t>
      </w:r>
      <w:r w:rsidR="009F0B0A" w:rsidRPr="00203CAE">
        <w:rPr>
          <w:sz w:val="28"/>
          <w:szCs w:val="28"/>
          <w:lang w:val="uk-UA"/>
        </w:rPr>
        <w:t xml:space="preserve"> </w:t>
      </w:r>
      <w:r w:rsidRPr="00203CAE">
        <w:rPr>
          <w:sz w:val="28"/>
          <w:szCs w:val="28"/>
          <w:lang w:val="uk-UA"/>
        </w:rPr>
        <w:t>2005.-18 с.</w:t>
      </w:r>
    </w:p>
    <w:p w:rsidR="004D2CB8" w:rsidRPr="00203CAE" w:rsidRDefault="0066411A" w:rsidP="00203CAE">
      <w:pPr>
        <w:numPr>
          <w:ilvl w:val="0"/>
          <w:numId w:val="1"/>
        </w:numPr>
        <w:shd w:val="clear" w:color="auto" w:fill="FFFFFF"/>
        <w:tabs>
          <w:tab w:val="left" w:pos="709"/>
        </w:tabs>
        <w:spacing w:line="360" w:lineRule="auto"/>
        <w:jc w:val="both"/>
        <w:rPr>
          <w:sz w:val="28"/>
          <w:szCs w:val="28"/>
          <w:lang w:val="uk-UA"/>
        </w:rPr>
      </w:pPr>
      <w:r w:rsidRPr="00203CAE">
        <w:rPr>
          <w:sz w:val="28"/>
          <w:szCs w:val="28"/>
          <w:lang w:val="uk-UA"/>
        </w:rPr>
        <w:t>Державні фінанси: Теорія і практика перехідного періоду в Центральній Європі / Пер. з англ. — К.:</w:t>
      </w:r>
      <w:r w:rsidR="009F0B0A" w:rsidRPr="00203CAE">
        <w:rPr>
          <w:sz w:val="28"/>
          <w:szCs w:val="28"/>
          <w:lang w:val="uk-UA"/>
        </w:rPr>
        <w:t xml:space="preserve"> </w:t>
      </w:r>
      <w:r w:rsidRPr="00203CAE">
        <w:rPr>
          <w:sz w:val="28"/>
          <w:szCs w:val="28"/>
          <w:lang w:val="uk-UA"/>
        </w:rPr>
        <w:t>Основи, 1998. - 542 c.</w:t>
      </w:r>
    </w:p>
    <w:p w:rsidR="004D2CB8" w:rsidRPr="00203CAE" w:rsidRDefault="0066411A" w:rsidP="00203CAE">
      <w:pPr>
        <w:numPr>
          <w:ilvl w:val="0"/>
          <w:numId w:val="2"/>
        </w:numPr>
        <w:shd w:val="clear" w:color="auto" w:fill="FFFFFF"/>
        <w:tabs>
          <w:tab w:val="left" w:pos="709"/>
        </w:tabs>
        <w:spacing w:line="360" w:lineRule="auto"/>
        <w:jc w:val="both"/>
        <w:rPr>
          <w:sz w:val="28"/>
          <w:szCs w:val="28"/>
          <w:lang w:val="uk-UA"/>
        </w:rPr>
      </w:pPr>
      <w:r w:rsidRPr="00203CAE">
        <w:rPr>
          <w:sz w:val="28"/>
          <w:szCs w:val="28"/>
          <w:lang w:val="en-US"/>
        </w:rPr>
        <w:t xml:space="preserve">Corsi, Marcella and Kristian Orsini. Measuring Poverty in Europe </w:t>
      </w:r>
      <w:r w:rsidRPr="00203CAE">
        <w:rPr>
          <w:sz w:val="28"/>
          <w:szCs w:val="28"/>
          <w:lang w:val="uk-UA"/>
        </w:rPr>
        <w:t xml:space="preserve">// </w:t>
      </w:r>
      <w:r w:rsidRPr="00203CAE">
        <w:rPr>
          <w:sz w:val="28"/>
          <w:szCs w:val="28"/>
          <w:lang w:val="en-US"/>
        </w:rPr>
        <w:t xml:space="preserve">Development </w:t>
      </w:r>
      <w:r w:rsidRPr="00203CAE">
        <w:rPr>
          <w:sz w:val="28"/>
          <w:szCs w:val="28"/>
          <w:lang w:val="uk-UA"/>
        </w:rPr>
        <w:t xml:space="preserve">- </w:t>
      </w:r>
      <w:r w:rsidRPr="00203CAE">
        <w:rPr>
          <w:sz w:val="28"/>
          <w:szCs w:val="28"/>
          <w:lang w:val="en-US"/>
        </w:rPr>
        <w:t xml:space="preserve">September </w:t>
      </w:r>
      <w:r w:rsidRPr="00203CAE">
        <w:rPr>
          <w:sz w:val="28"/>
          <w:szCs w:val="28"/>
          <w:lang w:val="uk-UA"/>
        </w:rPr>
        <w:t xml:space="preserve">2002. - </w:t>
      </w:r>
      <w:r w:rsidRPr="00203CAE">
        <w:rPr>
          <w:sz w:val="28"/>
          <w:szCs w:val="28"/>
          <w:lang w:val="en-US"/>
        </w:rPr>
        <w:t xml:space="preserve">Vol. </w:t>
      </w:r>
      <w:r w:rsidRPr="00203CAE">
        <w:rPr>
          <w:sz w:val="28"/>
          <w:szCs w:val="28"/>
          <w:lang w:val="uk-UA"/>
        </w:rPr>
        <w:t>45.</w:t>
      </w:r>
      <w:r w:rsidR="009F0B0A" w:rsidRPr="00203CAE">
        <w:rPr>
          <w:sz w:val="28"/>
          <w:szCs w:val="28"/>
          <w:lang w:val="uk-UA"/>
        </w:rPr>
        <w:t xml:space="preserve"> </w:t>
      </w:r>
      <w:r w:rsidRPr="00203CAE">
        <w:rPr>
          <w:sz w:val="28"/>
          <w:szCs w:val="28"/>
          <w:lang w:val="en-US"/>
        </w:rPr>
        <w:t xml:space="preserve">-№3.-P. </w:t>
      </w:r>
      <w:r w:rsidRPr="00203CAE">
        <w:rPr>
          <w:sz w:val="28"/>
          <w:szCs w:val="28"/>
          <w:lang w:val="uk-UA"/>
        </w:rPr>
        <w:t>93-101.</w:t>
      </w:r>
    </w:p>
    <w:p w:rsidR="004D2CB8" w:rsidRPr="00203CAE" w:rsidRDefault="0066411A" w:rsidP="00203CAE">
      <w:pPr>
        <w:numPr>
          <w:ilvl w:val="0"/>
          <w:numId w:val="2"/>
        </w:numPr>
        <w:shd w:val="clear" w:color="auto" w:fill="FFFFFF"/>
        <w:tabs>
          <w:tab w:val="left" w:pos="709"/>
        </w:tabs>
        <w:spacing w:line="360" w:lineRule="auto"/>
        <w:jc w:val="both"/>
        <w:rPr>
          <w:sz w:val="28"/>
          <w:szCs w:val="28"/>
          <w:lang w:val="uk-UA"/>
        </w:rPr>
      </w:pPr>
      <w:r w:rsidRPr="00203CAE">
        <w:rPr>
          <w:sz w:val="28"/>
          <w:szCs w:val="28"/>
          <w:lang w:val="en-US"/>
        </w:rPr>
        <w:t>Efficiency and Effectiveness of Social Spending. Achievements and Challenges. Background Note for the</w:t>
      </w:r>
      <w:r w:rsidR="009F0B0A" w:rsidRPr="00203CAE">
        <w:rPr>
          <w:sz w:val="28"/>
          <w:szCs w:val="28"/>
          <w:lang w:val="uk-UA"/>
        </w:rPr>
        <w:t xml:space="preserve"> </w:t>
      </w:r>
      <w:r w:rsidRPr="00203CAE">
        <w:rPr>
          <w:sz w:val="28"/>
          <w:szCs w:val="28"/>
          <w:lang w:val="en-US"/>
        </w:rPr>
        <w:t xml:space="preserve">Informal ECOFIN of </w:t>
      </w:r>
      <w:r w:rsidRPr="00203CAE">
        <w:rPr>
          <w:sz w:val="28"/>
          <w:szCs w:val="28"/>
          <w:lang w:val="uk-UA"/>
        </w:rPr>
        <w:t xml:space="preserve">4-5 </w:t>
      </w:r>
      <w:r w:rsidRPr="00203CAE">
        <w:rPr>
          <w:sz w:val="28"/>
          <w:szCs w:val="28"/>
          <w:lang w:val="en-US"/>
        </w:rPr>
        <w:t xml:space="preserve">April </w:t>
      </w:r>
      <w:r w:rsidRPr="00203CAE">
        <w:rPr>
          <w:sz w:val="28"/>
          <w:szCs w:val="28"/>
          <w:lang w:val="uk-UA"/>
        </w:rPr>
        <w:t xml:space="preserve">2008 // </w:t>
      </w:r>
      <w:r w:rsidRPr="00203CAE">
        <w:rPr>
          <w:sz w:val="28"/>
          <w:szCs w:val="28"/>
          <w:lang w:val="en-US"/>
        </w:rPr>
        <w:t>Directorate General for Economic and Financial Affairs, European</w:t>
      </w:r>
      <w:r w:rsidR="009F0B0A" w:rsidRPr="00203CAE">
        <w:rPr>
          <w:sz w:val="28"/>
          <w:szCs w:val="28"/>
          <w:lang w:val="uk-UA"/>
        </w:rPr>
        <w:t xml:space="preserve"> </w:t>
      </w:r>
      <w:r w:rsidRPr="00203CAE">
        <w:rPr>
          <w:sz w:val="28"/>
          <w:szCs w:val="28"/>
          <w:lang w:val="en-US"/>
        </w:rPr>
        <w:t xml:space="preserve">Commission. </w:t>
      </w:r>
      <w:r w:rsidRPr="00203CAE">
        <w:rPr>
          <w:sz w:val="28"/>
          <w:szCs w:val="28"/>
          <w:lang w:val="uk-UA"/>
        </w:rPr>
        <w:t xml:space="preserve">- 2007. - </w:t>
      </w:r>
      <w:r w:rsidRPr="00203CAE">
        <w:rPr>
          <w:sz w:val="28"/>
          <w:szCs w:val="28"/>
          <w:lang w:val="en-US"/>
        </w:rPr>
        <w:t>ECFIN/E3, REP/50604.</w:t>
      </w:r>
    </w:p>
    <w:p w:rsidR="004D2CB8" w:rsidRPr="00203CAE" w:rsidRDefault="0066411A" w:rsidP="00203CAE">
      <w:pPr>
        <w:numPr>
          <w:ilvl w:val="0"/>
          <w:numId w:val="2"/>
        </w:numPr>
        <w:shd w:val="clear" w:color="auto" w:fill="FFFFFF"/>
        <w:tabs>
          <w:tab w:val="left" w:pos="709"/>
        </w:tabs>
        <w:spacing w:line="360" w:lineRule="auto"/>
        <w:jc w:val="both"/>
        <w:rPr>
          <w:sz w:val="28"/>
          <w:szCs w:val="28"/>
          <w:lang w:val="uk-UA"/>
        </w:rPr>
      </w:pPr>
      <w:r w:rsidRPr="00203CAE">
        <w:rPr>
          <w:i/>
          <w:iCs/>
          <w:sz w:val="28"/>
          <w:szCs w:val="28"/>
          <w:lang w:val="en-US"/>
        </w:rPr>
        <w:t xml:space="preserve">Esping-Andersen, Gosta. </w:t>
      </w:r>
      <w:r w:rsidRPr="00203CAE">
        <w:rPr>
          <w:sz w:val="28"/>
          <w:szCs w:val="28"/>
          <w:lang w:val="en-US"/>
        </w:rPr>
        <w:t xml:space="preserve">The Three Worlds of Welfare Capitalism. </w:t>
      </w:r>
      <w:r w:rsidRPr="00203CAE">
        <w:rPr>
          <w:sz w:val="28"/>
          <w:szCs w:val="28"/>
          <w:lang w:val="uk-UA"/>
        </w:rPr>
        <w:t xml:space="preserve">- </w:t>
      </w:r>
      <w:r w:rsidRPr="00203CAE">
        <w:rPr>
          <w:sz w:val="28"/>
          <w:szCs w:val="28"/>
          <w:lang w:val="en-US"/>
        </w:rPr>
        <w:t>Princeton: Princeton University Press,</w:t>
      </w:r>
      <w:r w:rsidR="009F0B0A" w:rsidRPr="00203CAE">
        <w:rPr>
          <w:sz w:val="28"/>
          <w:szCs w:val="28"/>
          <w:lang w:val="uk-UA"/>
        </w:rPr>
        <w:t xml:space="preserve"> </w:t>
      </w:r>
      <w:r w:rsidRPr="00203CAE">
        <w:rPr>
          <w:sz w:val="28"/>
          <w:szCs w:val="28"/>
          <w:lang w:val="uk-UA"/>
        </w:rPr>
        <w:t xml:space="preserve">1990.-260 </w:t>
      </w:r>
      <w:r w:rsidRPr="00203CAE">
        <w:rPr>
          <w:sz w:val="28"/>
          <w:szCs w:val="28"/>
          <w:lang w:val="en-US"/>
        </w:rPr>
        <w:t>р.</w:t>
      </w:r>
    </w:p>
    <w:p w:rsidR="004D2CB8" w:rsidRPr="00203CAE" w:rsidRDefault="0066411A" w:rsidP="00203CAE">
      <w:pPr>
        <w:numPr>
          <w:ilvl w:val="0"/>
          <w:numId w:val="2"/>
        </w:numPr>
        <w:shd w:val="clear" w:color="auto" w:fill="FFFFFF"/>
        <w:tabs>
          <w:tab w:val="left" w:pos="709"/>
        </w:tabs>
        <w:spacing w:line="360" w:lineRule="auto"/>
        <w:jc w:val="both"/>
        <w:rPr>
          <w:sz w:val="28"/>
          <w:szCs w:val="28"/>
          <w:lang w:val="uk-UA"/>
        </w:rPr>
      </w:pPr>
      <w:r w:rsidRPr="00203CAE">
        <w:rPr>
          <w:i/>
          <w:iCs/>
          <w:sz w:val="28"/>
          <w:szCs w:val="28"/>
          <w:lang w:val="en-US"/>
        </w:rPr>
        <w:t xml:space="preserve">Fox, Louise. </w:t>
      </w:r>
      <w:r w:rsidRPr="00203CAE">
        <w:rPr>
          <w:sz w:val="28"/>
          <w:szCs w:val="28"/>
          <w:lang w:val="en-US"/>
        </w:rPr>
        <w:t xml:space="preserve">Safety Nets in Transition Economies: A Primer </w:t>
      </w:r>
      <w:r w:rsidRPr="00203CAE">
        <w:rPr>
          <w:sz w:val="28"/>
          <w:szCs w:val="28"/>
          <w:lang w:val="uk-UA"/>
        </w:rPr>
        <w:t xml:space="preserve">// </w:t>
      </w:r>
      <w:r w:rsidRPr="00203CAE">
        <w:rPr>
          <w:sz w:val="28"/>
          <w:szCs w:val="28"/>
          <w:lang w:val="en-US"/>
        </w:rPr>
        <w:t>World Bank Social Protection Discussion Paper.</w:t>
      </w:r>
      <w:r w:rsidR="009F0B0A" w:rsidRPr="00203CAE">
        <w:rPr>
          <w:sz w:val="28"/>
          <w:szCs w:val="28"/>
          <w:lang w:val="uk-UA"/>
        </w:rPr>
        <w:t xml:space="preserve"> </w:t>
      </w:r>
      <w:r w:rsidRPr="00203CAE">
        <w:rPr>
          <w:sz w:val="28"/>
          <w:szCs w:val="28"/>
          <w:lang w:val="en-US"/>
        </w:rPr>
        <w:t>-2003.-N.0306.-37р.</w:t>
      </w:r>
    </w:p>
    <w:p w:rsidR="009F0B0A" w:rsidRPr="003F7A34" w:rsidRDefault="0066411A" w:rsidP="00203CAE">
      <w:pPr>
        <w:numPr>
          <w:ilvl w:val="0"/>
          <w:numId w:val="2"/>
        </w:numPr>
        <w:shd w:val="clear" w:color="auto" w:fill="FFFFFF"/>
        <w:tabs>
          <w:tab w:val="left" w:pos="709"/>
        </w:tabs>
        <w:spacing w:line="360" w:lineRule="auto"/>
        <w:jc w:val="both"/>
        <w:rPr>
          <w:sz w:val="28"/>
          <w:szCs w:val="28"/>
          <w:lang w:val="uk-UA"/>
        </w:rPr>
      </w:pPr>
      <w:r w:rsidRPr="00203CAE">
        <w:rPr>
          <w:sz w:val="28"/>
          <w:szCs w:val="28"/>
          <w:lang w:val="en-US"/>
        </w:rPr>
        <w:t xml:space="preserve">Fundamental Reform of Personal Income Tax </w:t>
      </w:r>
      <w:r w:rsidRPr="00203CAE">
        <w:rPr>
          <w:sz w:val="28"/>
          <w:szCs w:val="28"/>
          <w:lang w:val="uk-UA"/>
        </w:rPr>
        <w:t xml:space="preserve">// </w:t>
      </w:r>
      <w:r w:rsidRPr="00203CAE">
        <w:rPr>
          <w:sz w:val="28"/>
          <w:szCs w:val="28"/>
          <w:lang w:val="en-US"/>
        </w:rPr>
        <w:t xml:space="preserve">OECD Tax Policy Studies. </w:t>
      </w:r>
      <w:r w:rsidRPr="00203CAE">
        <w:rPr>
          <w:sz w:val="28"/>
          <w:szCs w:val="28"/>
          <w:lang w:val="uk-UA"/>
        </w:rPr>
        <w:t xml:space="preserve">- 2006. - </w:t>
      </w:r>
      <w:r w:rsidRPr="00203CAE">
        <w:rPr>
          <w:sz w:val="28"/>
          <w:szCs w:val="28"/>
          <w:lang w:val="en-US"/>
        </w:rPr>
        <w:t xml:space="preserve">Nо. </w:t>
      </w:r>
      <w:r w:rsidRPr="00203CAE">
        <w:rPr>
          <w:sz w:val="28"/>
          <w:szCs w:val="28"/>
          <w:lang w:val="uk-UA"/>
        </w:rPr>
        <w:t xml:space="preserve">13. - 144 </w:t>
      </w:r>
      <w:r w:rsidRPr="00203CAE">
        <w:rPr>
          <w:sz w:val="28"/>
          <w:szCs w:val="28"/>
          <w:lang w:val="en-US"/>
        </w:rPr>
        <w:t>р.</w:t>
      </w:r>
      <w:r w:rsidR="009F0B0A" w:rsidRPr="00203CAE">
        <w:rPr>
          <w:sz w:val="28"/>
          <w:szCs w:val="28"/>
          <w:lang w:val="uk-UA"/>
        </w:rPr>
        <w:t xml:space="preserve"> </w:t>
      </w:r>
    </w:p>
    <w:p w:rsidR="004D2CB8" w:rsidRPr="00203CAE" w:rsidRDefault="0066411A" w:rsidP="00203CAE">
      <w:pPr>
        <w:numPr>
          <w:ilvl w:val="0"/>
          <w:numId w:val="2"/>
        </w:numPr>
        <w:shd w:val="clear" w:color="auto" w:fill="FFFFFF"/>
        <w:tabs>
          <w:tab w:val="left" w:pos="709"/>
        </w:tabs>
        <w:spacing w:line="360" w:lineRule="auto"/>
        <w:jc w:val="both"/>
        <w:rPr>
          <w:sz w:val="28"/>
          <w:szCs w:val="28"/>
          <w:lang w:val="uk-UA"/>
        </w:rPr>
      </w:pPr>
      <w:r w:rsidRPr="00203CAE">
        <w:rPr>
          <w:i/>
          <w:iCs/>
          <w:sz w:val="28"/>
          <w:szCs w:val="28"/>
          <w:lang w:val="en-US"/>
        </w:rPr>
        <w:t xml:space="preserve">Heady, Christopher, Theodore Mitrakos and Panos Tsakloglou. </w:t>
      </w:r>
      <w:r w:rsidRPr="00203CAE">
        <w:rPr>
          <w:sz w:val="28"/>
          <w:szCs w:val="28"/>
          <w:lang w:val="en-US"/>
        </w:rPr>
        <w:t>The Distributional Impact of Social Transfers</w:t>
      </w:r>
      <w:r w:rsidR="009F0B0A" w:rsidRPr="00203CAE">
        <w:rPr>
          <w:sz w:val="28"/>
          <w:szCs w:val="28"/>
          <w:lang w:val="uk-UA"/>
        </w:rPr>
        <w:t xml:space="preserve"> </w:t>
      </w:r>
      <w:r w:rsidRPr="00203CAE">
        <w:rPr>
          <w:sz w:val="28"/>
          <w:szCs w:val="28"/>
          <w:lang w:val="en-US"/>
        </w:rPr>
        <w:t xml:space="preserve">in the European Union: Evidence from the ECHP. </w:t>
      </w:r>
      <w:r w:rsidRPr="00203CAE">
        <w:rPr>
          <w:sz w:val="28"/>
          <w:szCs w:val="28"/>
          <w:lang w:val="uk-UA"/>
        </w:rPr>
        <w:t xml:space="preserve">- </w:t>
      </w:r>
      <w:r w:rsidRPr="00203CAE">
        <w:rPr>
          <w:sz w:val="28"/>
          <w:szCs w:val="28"/>
          <w:lang w:val="en-US"/>
        </w:rPr>
        <w:t xml:space="preserve">European Research Institute, </w:t>
      </w:r>
      <w:r w:rsidRPr="00203CAE">
        <w:rPr>
          <w:sz w:val="28"/>
          <w:szCs w:val="28"/>
          <w:lang w:val="uk-UA"/>
        </w:rPr>
        <w:t xml:space="preserve">1999. - 27 </w:t>
      </w:r>
      <w:r w:rsidRPr="00203CAE">
        <w:rPr>
          <w:sz w:val="28"/>
          <w:szCs w:val="28"/>
          <w:lang w:val="en-US"/>
        </w:rPr>
        <w:t>p.</w:t>
      </w:r>
    </w:p>
    <w:p w:rsidR="004D2CB8" w:rsidRPr="00203CAE" w:rsidRDefault="0066411A" w:rsidP="00203CAE">
      <w:pPr>
        <w:numPr>
          <w:ilvl w:val="0"/>
          <w:numId w:val="2"/>
        </w:numPr>
        <w:shd w:val="clear" w:color="auto" w:fill="FFFFFF"/>
        <w:tabs>
          <w:tab w:val="left" w:pos="709"/>
        </w:tabs>
        <w:spacing w:line="360" w:lineRule="auto"/>
        <w:jc w:val="both"/>
        <w:rPr>
          <w:sz w:val="28"/>
          <w:szCs w:val="28"/>
          <w:lang w:val="uk-UA"/>
        </w:rPr>
      </w:pPr>
      <w:r w:rsidRPr="00203CAE">
        <w:rPr>
          <w:i/>
          <w:iCs/>
          <w:sz w:val="28"/>
          <w:szCs w:val="28"/>
          <w:lang w:val="en-US"/>
        </w:rPr>
        <w:t xml:space="preserve">Herrmann, Peter, Arno Tausch, Almas Heshmati and Chemen S.J. </w:t>
      </w:r>
      <w:r w:rsidRPr="00203CAE">
        <w:rPr>
          <w:sz w:val="28"/>
          <w:szCs w:val="28"/>
          <w:lang w:val="en-US"/>
        </w:rPr>
        <w:t>Bajalan. Efficiency and Effectiveness of</w:t>
      </w:r>
      <w:r w:rsidR="009F0B0A" w:rsidRPr="00203CAE">
        <w:rPr>
          <w:sz w:val="28"/>
          <w:szCs w:val="28"/>
          <w:lang w:val="uk-UA"/>
        </w:rPr>
        <w:t xml:space="preserve"> </w:t>
      </w:r>
      <w:r w:rsidRPr="00203CAE">
        <w:rPr>
          <w:sz w:val="28"/>
          <w:szCs w:val="28"/>
          <w:lang w:val="en-US"/>
        </w:rPr>
        <w:t xml:space="preserve">Social Spending </w:t>
      </w:r>
      <w:r w:rsidRPr="00203CAE">
        <w:rPr>
          <w:sz w:val="28"/>
          <w:szCs w:val="28"/>
          <w:lang w:val="uk-UA"/>
        </w:rPr>
        <w:t xml:space="preserve">// </w:t>
      </w:r>
      <w:r w:rsidRPr="00203CAE">
        <w:rPr>
          <w:sz w:val="28"/>
          <w:szCs w:val="28"/>
          <w:lang w:val="en-US"/>
        </w:rPr>
        <w:t xml:space="preserve">IZA Discussion Paper Series. </w:t>
      </w:r>
      <w:r w:rsidRPr="00203CAE">
        <w:rPr>
          <w:sz w:val="28"/>
          <w:szCs w:val="28"/>
          <w:lang w:val="uk-UA"/>
        </w:rPr>
        <w:t xml:space="preserve">- </w:t>
      </w:r>
      <w:r w:rsidRPr="00203CAE">
        <w:rPr>
          <w:sz w:val="28"/>
          <w:szCs w:val="28"/>
          <w:lang w:val="en-US"/>
        </w:rPr>
        <w:t xml:space="preserve">May </w:t>
      </w:r>
      <w:r w:rsidRPr="00203CAE">
        <w:rPr>
          <w:sz w:val="28"/>
          <w:szCs w:val="28"/>
          <w:lang w:val="uk-UA"/>
        </w:rPr>
        <w:t xml:space="preserve">2008. - </w:t>
      </w:r>
      <w:r w:rsidRPr="00203CAE">
        <w:rPr>
          <w:sz w:val="28"/>
          <w:szCs w:val="28"/>
          <w:lang w:val="en-US"/>
        </w:rPr>
        <w:t xml:space="preserve">IZA DP No. </w:t>
      </w:r>
      <w:r w:rsidRPr="00203CAE">
        <w:rPr>
          <w:sz w:val="28"/>
          <w:szCs w:val="28"/>
          <w:lang w:val="uk-UA"/>
        </w:rPr>
        <w:t xml:space="preserve">3482. - 55 </w:t>
      </w:r>
      <w:r w:rsidRPr="00203CAE">
        <w:rPr>
          <w:sz w:val="28"/>
          <w:szCs w:val="28"/>
          <w:lang w:val="en-US"/>
        </w:rPr>
        <w:t>p.</w:t>
      </w:r>
    </w:p>
    <w:p w:rsidR="004D2CB8" w:rsidRPr="00203CAE" w:rsidRDefault="0066411A" w:rsidP="00203CAE">
      <w:pPr>
        <w:numPr>
          <w:ilvl w:val="0"/>
          <w:numId w:val="2"/>
        </w:numPr>
        <w:shd w:val="clear" w:color="auto" w:fill="FFFFFF"/>
        <w:tabs>
          <w:tab w:val="left" w:pos="709"/>
        </w:tabs>
        <w:spacing w:line="360" w:lineRule="auto"/>
        <w:jc w:val="both"/>
        <w:rPr>
          <w:sz w:val="28"/>
          <w:szCs w:val="28"/>
          <w:lang w:val="uk-UA"/>
        </w:rPr>
      </w:pPr>
      <w:r w:rsidRPr="00203CAE">
        <w:rPr>
          <w:sz w:val="28"/>
          <w:szCs w:val="28"/>
          <w:lang w:val="en-US"/>
        </w:rPr>
        <w:t>Ke-young, Chu, Hamid Davoodi and Sanjeev Gupta. Income Distribution and Tax, and Government Social</w:t>
      </w:r>
      <w:r w:rsidR="009F0B0A" w:rsidRPr="00203CAE">
        <w:rPr>
          <w:sz w:val="28"/>
          <w:szCs w:val="28"/>
          <w:lang w:val="uk-UA"/>
        </w:rPr>
        <w:t xml:space="preserve">  </w:t>
      </w:r>
      <w:r w:rsidRPr="00203CAE">
        <w:rPr>
          <w:sz w:val="28"/>
          <w:szCs w:val="28"/>
          <w:lang w:val="en-US"/>
        </w:rPr>
        <w:t xml:space="preserve">Spending Policies in Developing Countries </w:t>
      </w:r>
      <w:r w:rsidRPr="00203CAE">
        <w:rPr>
          <w:sz w:val="28"/>
          <w:szCs w:val="28"/>
          <w:lang w:val="uk-UA"/>
        </w:rPr>
        <w:t xml:space="preserve">// </w:t>
      </w:r>
      <w:r w:rsidRPr="00203CAE">
        <w:rPr>
          <w:sz w:val="28"/>
          <w:szCs w:val="28"/>
          <w:lang w:val="en-US"/>
        </w:rPr>
        <w:t xml:space="preserve">WIDER Working Paper. </w:t>
      </w:r>
      <w:r w:rsidRPr="00203CAE">
        <w:rPr>
          <w:sz w:val="28"/>
          <w:szCs w:val="28"/>
          <w:lang w:val="uk-UA"/>
        </w:rPr>
        <w:t xml:space="preserve">- </w:t>
      </w:r>
      <w:r w:rsidRPr="00203CAE">
        <w:rPr>
          <w:sz w:val="28"/>
          <w:szCs w:val="28"/>
          <w:lang w:val="en-US"/>
        </w:rPr>
        <w:t xml:space="preserve">December </w:t>
      </w:r>
      <w:r w:rsidRPr="00203CAE">
        <w:rPr>
          <w:sz w:val="28"/>
          <w:szCs w:val="28"/>
          <w:lang w:val="uk-UA"/>
        </w:rPr>
        <w:t xml:space="preserve">2000. - </w:t>
      </w:r>
      <w:r w:rsidRPr="00203CAE">
        <w:rPr>
          <w:sz w:val="28"/>
          <w:szCs w:val="28"/>
          <w:lang w:val="en-US"/>
        </w:rPr>
        <w:t xml:space="preserve">No. </w:t>
      </w:r>
      <w:r w:rsidRPr="00203CAE">
        <w:rPr>
          <w:sz w:val="28"/>
          <w:szCs w:val="28"/>
          <w:lang w:val="uk-UA"/>
        </w:rPr>
        <w:t xml:space="preserve">214. - 49 </w:t>
      </w:r>
      <w:r w:rsidRPr="00203CAE">
        <w:rPr>
          <w:sz w:val="28"/>
          <w:szCs w:val="28"/>
          <w:lang w:val="en-US"/>
        </w:rPr>
        <w:t>p.</w:t>
      </w:r>
    </w:p>
    <w:p w:rsidR="004D2CB8" w:rsidRPr="00203CAE" w:rsidRDefault="0066411A" w:rsidP="00203CAE">
      <w:pPr>
        <w:numPr>
          <w:ilvl w:val="0"/>
          <w:numId w:val="2"/>
        </w:numPr>
        <w:shd w:val="clear" w:color="auto" w:fill="FFFFFF"/>
        <w:tabs>
          <w:tab w:val="left" w:pos="709"/>
        </w:tabs>
        <w:spacing w:line="360" w:lineRule="auto"/>
        <w:jc w:val="both"/>
        <w:rPr>
          <w:sz w:val="28"/>
          <w:szCs w:val="28"/>
          <w:lang w:val="uk-UA"/>
        </w:rPr>
      </w:pPr>
      <w:r w:rsidRPr="00203CAE">
        <w:rPr>
          <w:sz w:val="28"/>
          <w:szCs w:val="28"/>
          <w:lang w:val="en-US"/>
        </w:rPr>
        <w:t>OECD</w:t>
      </w:r>
      <w:r w:rsidRPr="00203CAE">
        <w:rPr>
          <w:sz w:val="28"/>
          <w:szCs w:val="28"/>
        </w:rPr>
        <w:t xml:space="preserve"> </w:t>
      </w:r>
      <w:r w:rsidRPr="00203CAE">
        <w:rPr>
          <w:sz w:val="28"/>
          <w:szCs w:val="28"/>
          <w:lang w:val="en-US"/>
        </w:rPr>
        <w:t>Factbook</w:t>
      </w:r>
      <w:r w:rsidRPr="00203CAE">
        <w:rPr>
          <w:sz w:val="28"/>
          <w:szCs w:val="28"/>
        </w:rPr>
        <w:t xml:space="preserve"> </w:t>
      </w:r>
      <w:r w:rsidRPr="00203CAE">
        <w:rPr>
          <w:sz w:val="28"/>
          <w:szCs w:val="28"/>
          <w:lang w:val="uk-UA"/>
        </w:rPr>
        <w:t xml:space="preserve">2006. - Доступно з: </w:t>
      </w:r>
      <w:r w:rsidRPr="00203CAE">
        <w:rPr>
          <w:sz w:val="28"/>
          <w:szCs w:val="28"/>
        </w:rPr>
        <w:t>&lt;</w:t>
      </w:r>
      <w:r w:rsidRPr="00203CAE">
        <w:rPr>
          <w:sz w:val="28"/>
          <w:szCs w:val="28"/>
          <w:lang w:val="en-US"/>
        </w:rPr>
        <w:t>www</w:t>
      </w:r>
      <w:r w:rsidRPr="00203CAE">
        <w:rPr>
          <w:sz w:val="28"/>
          <w:szCs w:val="28"/>
        </w:rPr>
        <w:t>.</w:t>
      </w:r>
      <w:r w:rsidRPr="00203CAE">
        <w:rPr>
          <w:sz w:val="28"/>
          <w:szCs w:val="28"/>
          <w:lang w:val="en-US"/>
        </w:rPr>
        <w:t>oecd</w:t>
      </w:r>
      <w:r w:rsidRPr="00203CAE">
        <w:rPr>
          <w:sz w:val="28"/>
          <w:szCs w:val="28"/>
        </w:rPr>
        <w:t>.</w:t>
      </w:r>
      <w:r w:rsidRPr="00203CAE">
        <w:rPr>
          <w:sz w:val="28"/>
          <w:szCs w:val="28"/>
          <w:lang w:val="en-US"/>
        </w:rPr>
        <w:t>org</w:t>
      </w:r>
      <w:r w:rsidRPr="00203CAE">
        <w:rPr>
          <w:sz w:val="28"/>
          <w:szCs w:val="28"/>
        </w:rPr>
        <w:t>/</w:t>
      </w:r>
      <w:r w:rsidRPr="00203CAE">
        <w:rPr>
          <w:sz w:val="28"/>
          <w:szCs w:val="28"/>
          <w:lang w:val="en-US"/>
        </w:rPr>
        <w:t>statistics</w:t>
      </w:r>
      <w:r w:rsidRPr="00203CAE">
        <w:rPr>
          <w:sz w:val="28"/>
          <w:szCs w:val="28"/>
        </w:rPr>
        <w:t>/</w:t>
      </w:r>
      <w:r w:rsidRPr="00203CAE">
        <w:rPr>
          <w:sz w:val="28"/>
          <w:szCs w:val="28"/>
          <w:lang w:val="en-US"/>
        </w:rPr>
        <w:t>social</w:t>
      </w:r>
      <w:r w:rsidRPr="00203CAE">
        <w:rPr>
          <w:sz w:val="28"/>
          <w:szCs w:val="28"/>
        </w:rPr>
        <w:t>&gt;.</w:t>
      </w:r>
      <w:r w:rsidRPr="00203CAE">
        <w:rPr>
          <w:sz w:val="28"/>
          <w:szCs w:val="28"/>
        </w:rPr>
        <w:br/>
      </w:r>
      <w:r w:rsidRPr="00203CAE">
        <w:rPr>
          <w:sz w:val="28"/>
          <w:szCs w:val="28"/>
          <w:lang w:val="en-US"/>
        </w:rPr>
        <w:t>&lt;http://miranda.sourceoecd.org/pdf/fact2006pdf/09-02-0</w:t>
      </w:r>
      <w:r w:rsidRPr="00203CAE">
        <w:rPr>
          <w:sz w:val="28"/>
          <w:szCs w:val="28"/>
          <w:lang w:val="uk-UA"/>
        </w:rPr>
        <w:t xml:space="preserve">1 </w:t>
      </w:r>
      <w:r w:rsidRPr="00203CAE">
        <w:rPr>
          <w:sz w:val="28"/>
          <w:szCs w:val="28"/>
          <w:lang w:val="en-US"/>
        </w:rPr>
        <w:t>.pdf&gt;.</w:t>
      </w:r>
    </w:p>
    <w:p w:rsidR="004D2CB8" w:rsidRPr="00203CAE" w:rsidRDefault="0066411A" w:rsidP="00203CAE">
      <w:pPr>
        <w:numPr>
          <w:ilvl w:val="0"/>
          <w:numId w:val="2"/>
        </w:numPr>
        <w:shd w:val="clear" w:color="auto" w:fill="FFFFFF"/>
        <w:tabs>
          <w:tab w:val="left" w:pos="709"/>
        </w:tabs>
        <w:spacing w:line="360" w:lineRule="auto"/>
        <w:jc w:val="both"/>
        <w:rPr>
          <w:sz w:val="28"/>
          <w:szCs w:val="28"/>
          <w:lang w:val="uk-UA"/>
        </w:rPr>
      </w:pPr>
      <w:r w:rsidRPr="00203CAE">
        <w:rPr>
          <w:i/>
          <w:iCs/>
          <w:sz w:val="28"/>
          <w:szCs w:val="28"/>
          <w:lang w:val="en-US"/>
        </w:rPr>
        <w:t xml:space="preserve">Schwabish, Jonathan, </w:t>
      </w:r>
      <w:r w:rsidRPr="00203CAE">
        <w:rPr>
          <w:sz w:val="28"/>
          <w:szCs w:val="28"/>
          <w:lang w:val="en-US"/>
        </w:rPr>
        <w:t>Timothy Smeeding and Lars Osberg. Income Distribution and Social Expenditures: A</w:t>
      </w:r>
      <w:r w:rsidR="009F0B0A" w:rsidRPr="00203CAE">
        <w:rPr>
          <w:sz w:val="28"/>
          <w:szCs w:val="28"/>
          <w:lang w:val="uk-UA"/>
        </w:rPr>
        <w:t xml:space="preserve"> </w:t>
      </w:r>
      <w:r w:rsidRPr="00203CAE">
        <w:rPr>
          <w:sz w:val="28"/>
          <w:szCs w:val="28"/>
          <w:lang w:val="en-US"/>
        </w:rPr>
        <w:t xml:space="preserve">Crossnational Perspective. </w:t>
      </w:r>
      <w:r w:rsidRPr="00203CAE">
        <w:rPr>
          <w:sz w:val="28"/>
          <w:szCs w:val="28"/>
          <w:lang w:val="uk-UA"/>
        </w:rPr>
        <w:t xml:space="preserve">- </w:t>
      </w:r>
      <w:r w:rsidRPr="00203CAE">
        <w:rPr>
          <w:sz w:val="28"/>
          <w:szCs w:val="28"/>
          <w:lang w:val="en-US"/>
        </w:rPr>
        <w:t xml:space="preserve">Russell Sage Foundation, </w:t>
      </w:r>
      <w:r w:rsidRPr="00203CAE">
        <w:rPr>
          <w:sz w:val="28"/>
          <w:szCs w:val="28"/>
          <w:lang w:val="uk-UA"/>
        </w:rPr>
        <w:t xml:space="preserve">2004. - 57 </w:t>
      </w:r>
      <w:r w:rsidRPr="00203CAE">
        <w:rPr>
          <w:sz w:val="28"/>
          <w:szCs w:val="28"/>
          <w:lang w:val="en-US"/>
        </w:rPr>
        <w:t>p.</w:t>
      </w:r>
    </w:p>
    <w:p w:rsidR="0066411A" w:rsidRPr="00203CAE" w:rsidRDefault="0066411A" w:rsidP="00203CAE">
      <w:pPr>
        <w:numPr>
          <w:ilvl w:val="0"/>
          <w:numId w:val="2"/>
        </w:numPr>
        <w:shd w:val="clear" w:color="auto" w:fill="FFFFFF"/>
        <w:tabs>
          <w:tab w:val="left" w:pos="709"/>
        </w:tabs>
        <w:spacing w:line="360" w:lineRule="auto"/>
        <w:jc w:val="both"/>
        <w:rPr>
          <w:sz w:val="28"/>
          <w:szCs w:val="28"/>
          <w:lang w:val="uk-UA"/>
        </w:rPr>
      </w:pPr>
      <w:r w:rsidRPr="00203CAE">
        <w:rPr>
          <w:i/>
          <w:iCs/>
          <w:sz w:val="28"/>
          <w:szCs w:val="28"/>
          <w:lang w:val="en-US"/>
        </w:rPr>
        <w:t xml:space="preserve">Zaidi Salman. </w:t>
      </w:r>
      <w:r w:rsidRPr="00203CAE">
        <w:rPr>
          <w:sz w:val="28"/>
          <w:szCs w:val="28"/>
          <w:lang w:val="en-US"/>
        </w:rPr>
        <w:t>Main Drivers of Income Inequality in Central European and Baltic Countries. Some Insights from</w:t>
      </w:r>
      <w:r w:rsidRPr="00203CAE">
        <w:rPr>
          <w:sz w:val="28"/>
          <w:szCs w:val="28"/>
          <w:lang w:val="en-US"/>
        </w:rPr>
        <w:br/>
        <w:t xml:space="preserve">Recent Household Survey Data </w:t>
      </w:r>
      <w:r w:rsidRPr="00203CAE">
        <w:rPr>
          <w:sz w:val="28"/>
          <w:szCs w:val="28"/>
          <w:lang w:val="uk-UA"/>
        </w:rPr>
        <w:t xml:space="preserve">// </w:t>
      </w:r>
      <w:r w:rsidRPr="00203CAE">
        <w:rPr>
          <w:sz w:val="28"/>
          <w:szCs w:val="28"/>
          <w:lang w:val="en-US"/>
        </w:rPr>
        <w:t xml:space="preserve">World Bank Policy Research Working Paper. </w:t>
      </w:r>
      <w:r w:rsidRPr="00203CAE">
        <w:rPr>
          <w:sz w:val="28"/>
          <w:szCs w:val="28"/>
          <w:lang w:val="uk-UA"/>
        </w:rPr>
        <w:t xml:space="preserve">- 2009. - </w:t>
      </w:r>
      <w:r w:rsidRPr="00203CAE">
        <w:rPr>
          <w:sz w:val="28"/>
          <w:szCs w:val="28"/>
          <w:lang w:val="en-US"/>
        </w:rPr>
        <w:t xml:space="preserve">WPS4815. </w:t>
      </w:r>
      <w:r w:rsidRPr="00203CAE">
        <w:rPr>
          <w:sz w:val="28"/>
          <w:szCs w:val="28"/>
          <w:lang w:val="uk-UA"/>
        </w:rPr>
        <w:t xml:space="preserve">- 29 </w:t>
      </w:r>
      <w:r w:rsidRPr="00203CAE">
        <w:rPr>
          <w:sz w:val="28"/>
          <w:szCs w:val="28"/>
          <w:lang w:val="en-US"/>
        </w:rPr>
        <w:t>р.</w:t>
      </w:r>
      <w:bookmarkStart w:id="0" w:name="_GoBack"/>
      <w:bookmarkEnd w:id="0"/>
    </w:p>
    <w:sectPr w:rsidR="0066411A" w:rsidRPr="00203CAE" w:rsidSect="00203CAE">
      <w:pgSz w:w="11909" w:h="16834" w:code="9"/>
      <w:pgMar w:top="1134" w:right="851" w:bottom="1134" w:left="1701" w:header="720" w:footer="720" w:gutter="0"/>
      <w:cols w:space="6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16000A"/>
    <w:multiLevelType w:val="singleLevel"/>
    <w:tmpl w:val="62BC20C6"/>
    <w:lvl w:ilvl="0">
      <w:start w:val="1"/>
      <w:numFmt w:val="decimal"/>
      <w:lvlText w:val="%1."/>
      <w:legacy w:legacy="1" w:legacySpace="0" w:legacyIndent="384"/>
      <w:lvlJc w:val="left"/>
      <w:rPr>
        <w:rFonts w:ascii="Times New Roman" w:hAnsi="Times New Roman" w:cs="Times New Roman" w:hint="default"/>
      </w:rPr>
    </w:lvl>
  </w:abstractNum>
  <w:abstractNum w:abstractNumId="1">
    <w:nsid w:val="4B8A2150"/>
    <w:multiLevelType w:val="singleLevel"/>
    <w:tmpl w:val="78EC79AC"/>
    <w:lvl w:ilvl="0">
      <w:start w:val="3"/>
      <w:numFmt w:val="decimal"/>
      <w:lvlText w:val="%1."/>
      <w:legacy w:legacy="1" w:legacySpace="0" w:legacyIndent="389"/>
      <w:lvlJc w:val="left"/>
      <w:rPr>
        <w:rFonts w:ascii="Times New Roman" w:hAnsi="Times New Roman"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0B0A"/>
    <w:rsid w:val="00203CAE"/>
    <w:rsid w:val="003F7A34"/>
    <w:rsid w:val="00455050"/>
    <w:rsid w:val="004D2CB8"/>
    <w:rsid w:val="0066411A"/>
    <w:rsid w:val="00734360"/>
    <w:rsid w:val="009F0B0A"/>
    <w:rsid w:val="00DA43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E21860A-6BBE-4DE8-B0D2-C6522609E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2CB8"/>
    <w:pPr>
      <w:widowControl w:val="0"/>
      <w:autoSpaceDE w:val="0"/>
      <w:autoSpaceDN w:val="0"/>
      <w:adjustRightInd w:val="0"/>
    </w:pPr>
    <w:rPr>
      <w:rFonts w:ascii="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3314</Words>
  <Characters>18896</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admin</cp:lastModifiedBy>
  <cp:revision>2</cp:revision>
  <dcterms:created xsi:type="dcterms:W3CDTF">2014-03-22T08:49:00Z</dcterms:created>
  <dcterms:modified xsi:type="dcterms:W3CDTF">2014-03-22T08:49:00Z</dcterms:modified>
</cp:coreProperties>
</file>