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C4" w:rsidRDefault="00395DC4">
      <w:pPr>
        <w:pStyle w:val="20"/>
        <w:spacing w:line="240" w:lineRule="auto"/>
        <w:ind w:right="-568" w:firstLine="0"/>
        <w:jc w:val="center"/>
      </w:pPr>
    </w:p>
    <w:p w:rsidR="00395DC4" w:rsidRDefault="00395DC4">
      <w:pPr>
        <w:pStyle w:val="1"/>
        <w:rPr>
          <w:lang w:val="ru-RU"/>
        </w:rPr>
      </w:pPr>
    </w:p>
    <w:p w:rsidR="00395DC4" w:rsidRDefault="00395DC4">
      <w:pPr>
        <w:pStyle w:val="1"/>
        <w:rPr>
          <w:lang w:val="ru-RU"/>
        </w:rPr>
      </w:pPr>
    </w:p>
    <w:p w:rsidR="00395DC4" w:rsidRDefault="00395DC4">
      <w:pPr>
        <w:pStyle w:val="1"/>
        <w:rPr>
          <w:sz w:val="56"/>
          <w:lang w:val="ru-RU"/>
        </w:rPr>
      </w:pPr>
    </w:p>
    <w:p w:rsidR="00395DC4" w:rsidRDefault="00395DC4"/>
    <w:p w:rsidR="00395DC4" w:rsidRDefault="00395DC4"/>
    <w:p w:rsidR="00395DC4" w:rsidRDefault="00395DC4">
      <w:pPr>
        <w:pStyle w:val="a4"/>
      </w:pPr>
    </w:p>
    <w:p w:rsidR="00395DC4" w:rsidRDefault="00395DC4">
      <w:pPr>
        <w:pStyle w:val="1"/>
        <w:ind w:firstLine="0"/>
        <w:rPr>
          <w:i w:val="0"/>
          <w:iCs w:val="0"/>
          <w:sz w:val="56"/>
          <w:lang w:val="ru-RU"/>
        </w:rPr>
      </w:pPr>
      <w:r>
        <w:rPr>
          <w:i w:val="0"/>
          <w:iCs w:val="0"/>
          <w:sz w:val="56"/>
          <w:lang w:val="ru-RU"/>
        </w:rPr>
        <w:t>Реферат</w:t>
      </w:r>
    </w:p>
    <w:p w:rsidR="00395DC4" w:rsidRDefault="00395DC4">
      <w:pPr>
        <w:jc w:val="center"/>
        <w:rPr>
          <w:sz w:val="56"/>
          <w:lang w:val="uk-UA"/>
        </w:rPr>
      </w:pPr>
      <w:r>
        <w:rPr>
          <w:sz w:val="56"/>
          <w:lang w:val="uk-UA"/>
        </w:rPr>
        <w:t>на тему:</w:t>
      </w:r>
    </w:p>
    <w:p w:rsidR="00395DC4" w:rsidRDefault="00395DC4">
      <w:pPr>
        <w:jc w:val="center"/>
        <w:rPr>
          <w:lang w:val="uk-UA"/>
        </w:rPr>
      </w:pPr>
    </w:p>
    <w:p w:rsidR="00395DC4" w:rsidRDefault="00395DC4">
      <w:pPr>
        <w:pStyle w:val="1"/>
        <w:rPr>
          <w:lang w:val="ru-RU"/>
        </w:rPr>
      </w:pPr>
    </w:p>
    <w:p w:rsidR="00395DC4" w:rsidRDefault="00395DC4">
      <w:pPr>
        <w:pStyle w:val="1"/>
        <w:rPr>
          <w:b/>
          <w:bCs/>
          <w:sz w:val="96"/>
          <w:lang w:val="ru-RU"/>
        </w:rPr>
      </w:pPr>
      <w:r>
        <w:rPr>
          <w:b/>
          <w:bCs/>
          <w:sz w:val="90"/>
          <w:lang w:val="ru-RU"/>
        </w:rPr>
        <w:t>Правовая организация кредитно-расчётных отношений</w:t>
      </w: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pStyle w:val="-0"/>
        <w:spacing w:line="240" w:lineRule="auto"/>
        <w:rPr>
          <w:sz w:val="24"/>
          <w:lang w:val="en-US"/>
        </w:rPr>
      </w:pPr>
    </w:p>
    <w:p w:rsidR="00395DC4" w:rsidRDefault="00395DC4">
      <w:pPr>
        <w:pStyle w:val="-0"/>
        <w:spacing w:line="240" w:lineRule="auto"/>
        <w:rPr>
          <w:sz w:val="24"/>
          <w:lang w:val="en-US"/>
        </w:rPr>
      </w:pPr>
    </w:p>
    <w:p w:rsidR="00395DC4" w:rsidRDefault="00395DC4">
      <w:pPr>
        <w:pStyle w:val="-0"/>
        <w:spacing w:line="240" w:lineRule="auto"/>
        <w:rPr>
          <w:sz w:val="24"/>
          <w:lang w:val="en-US"/>
        </w:rPr>
      </w:pPr>
    </w:p>
    <w:p w:rsidR="00395DC4" w:rsidRDefault="00395DC4">
      <w:pPr>
        <w:pStyle w:val="-0"/>
        <w:spacing w:line="240" w:lineRule="auto"/>
        <w:rPr>
          <w:sz w:val="24"/>
          <w:lang w:val="en-US"/>
        </w:rPr>
      </w:pPr>
    </w:p>
    <w:p w:rsidR="00395DC4" w:rsidRDefault="00395DC4">
      <w:pPr>
        <w:pStyle w:val="-0"/>
        <w:spacing w:line="240" w:lineRule="auto"/>
        <w:rPr>
          <w:sz w:val="24"/>
          <w:lang w:val="en-US"/>
        </w:rPr>
      </w:pPr>
    </w:p>
    <w:p w:rsidR="00395DC4" w:rsidRDefault="00395DC4">
      <w:pPr>
        <w:pStyle w:val="-0"/>
        <w:spacing w:line="240" w:lineRule="auto"/>
        <w:rPr>
          <w:sz w:val="24"/>
          <w:lang w:val="en-US"/>
        </w:rPr>
      </w:pPr>
    </w:p>
    <w:p w:rsidR="00395DC4" w:rsidRDefault="00395DC4">
      <w:pPr>
        <w:pStyle w:val="-0"/>
        <w:spacing w:line="240" w:lineRule="auto"/>
        <w:rPr>
          <w:sz w:val="24"/>
          <w:lang w:val="en-US"/>
        </w:rPr>
      </w:pPr>
    </w:p>
    <w:p w:rsidR="00395DC4" w:rsidRDefault="00395DC4">
      <w:pPr>
        <w:ind w:left="6456" w:right="141"/>
        <w:rPr>
          <w:lang w:val="uk-UA"/>
        </w:rPr>
      </w:pPr>
    </w:p>
    <w:p w:rsidR="00395DC4" w:rsidRDefault="00395DC4">
      <w:pPr>
        <w:pStyle w:val="-0"/>
        <w:spacing w:line="240" w:lineRule="auto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</w:t>
      </w: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pStyle w:val="-0"/>
        <w:spacing w:line="240" w:lineRule="auto"/>
        <w:rPr>
          <w:sz w:val="24"/>
          <w:lang w:val="en-US"/>
        </w:rPr>
      </w:pPr>
    </w:p>
    <w:p w:rsidR="00395DC4" w:rsidRDefault="00395DC4">
      <w:pPr>
        <w:pStyle w:val="-0"/>
        <w:spacing w:line="240" w:lineRule="auto"/>
        <w:rPr>
          <w:sz w:val="24"/>
          <w:lang w:val="en-US"/>
        </w:rPr>
      </w:pPr>
    </w:p>
    <w:p w:rsidR="00395DC4" w:rsidRDefault="00395DC4">
      <w:pPr>
        <w:pStyle w:val="-0"/>
        <w:spacing w:line="240" w:lineRule="auto"/>
        <w:rPr>
          <w:sz w:val="24"/>
          <w:lang w:val="en-US"/>
        </w:rPr>
      </w:pPr>
    </w:p>
    <w:p w:rsidR="00395DC4" w:rsidRDefault="00395DC4">
      <w:pPr>
        <w:pStyle w:val="-0"/>
        <w:spacing w:line="240" w:lineRule="auto"/>
        <w:rPr>
          <w:sz w:val="24"/>
          <w:lang w:val="en-US"/>
        </w:rPr>
      </w:pPr>
    </w:p>
    <w:p w:rsidR="00395DC4" w:rsidRDefault="00395DC4">
      <w:pPr>
        <w:pStyle w:val="-0"/>
        <w:spacing w:line="240" w:lineRule="auto"/>
        <w:rPr>
          <w:sz w:val="24"/>
          <w:lang w:val="en-US"/>
        </w:rPr>
      </w:pP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pStyle w:val="-0"/>
        <w:spacing w:line="240" w:lineRule="auto"/>
        <w:rPr>
          <w:sz w:val="24"/>
          <w:lang w:val="uk-UA"/>
        </w:rPr>
      </w:pPr>
    </w:p>
    <w:p w:rsidR="00395DC4" w:rsidRDefault="00395DC4">
      <w:pPr>
        <w:jc w:val="center"/>
      </w:pPr>
      <w:r>
        <w:rPr>
          <w:sz w:val="26"/>
        </w:rPr>
        <w:t>Николаев 2004</w:t>
      </w:r>
    </w:p>
    <w:p w:rsidR="00395DC4" w:rsidRDefault="00395DC4">
      <w:pPr>
        <w:pStyle w:val="a"/>
        <w:rPr>
          <w:sz w:val="24"/>
        </w:rPr>
      </w:pPr>
      <w:r>
        <w:rPr>
          <w:sz w:val="24"/>
        </w:rPr>
        <w:br w:type="page"/>
        <w:t>Понятие и виды кредита. Кредитный договор</w:t>
      </w:r>
    </w:p>
    <w:p w:rsidR="00395DC4" w:rsidRDefault="00395DC4">
      <w:pPr>
        <w:widowControl w:val="0"/>
        <w:autoSpaceDE w:val="0"/>
        <w:autoSpaceDN w:val="0"/>
        <w:adjustRightInd w:val="0"/>
        <w:ind w:firstLine="684"/>
        <w:jc w:val="both"/>
        <w:rPr>
          <w:lang w:val="uk-UA"/>
        </w:rPr>
      </w:pPr>
      <w:r>
        <w:rPr>
          <w:szCs w:val="20"/>
          <w:lang w:val="uk-UA"/>
        </w:rPr>
        <w:t>В юридической литературе под кредитными правоотношениями понимают все кредитные отношения, которые возникают при предоставлении (передаче, использовании и возвращении) денежных средств или других средств, на условиях возврата.</w:t>
      </w:r>
    </w:p>
    <w:p w:rsidR="00395DC4" w:rsidRDefault="00395DC4">
      <w:pPr>
        <w:widowControl w:val="0"/>
        <w:autoSpaceDE w:val="0"/>
        <w:autoSpaceDN w:val="0"/>
        <w:adjustRightInd w:val="0"/>
        <w:ind w:firstLine="684"/>
        <w:jc w:val="both"/>
      </w:pPr>
      <w:r>
        <w:rPr>
          <w:szCs w:val="20"/>
          <w:lang w:val="uk-UA"/>
        </w:rPr>
        <w:t xml:space="preserve">Закон Украины  «О налогообложении прибыли предприятий» (в редакции Закона Украины от 22 мая 1997г.) дает общее определение понятия кредит. Согласно этому  Закону кредит  — это деньги и материальные ценности, которые предоставляются резидентами и нерезидентами в пользование юридическим и физическим лицам на определённый срок и под определённый процент. 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Более полное определение помещается в Положении «О кредитовании», утвержденном постановлением Правительства Национального банка Украины от 28 сентября 1995 г. № 246. Этим актом кредит определяется как ссудный капитал банка в денежной форме, которая передается во временное пользование на условиях обеспеченности, возврата, срочности, платности и целевого характера использования. Кредитная операция — это договор относительно предоставления кредита, который сопровождается записями по банковским счетами</w:t>
      </w:r>
      <w:r>
        <w:rPr>
          <w:sz w:val="24"/>
          <w:lang w:val="ru-RU"/>
        </w:rPr>
        <w:t>, с</w:t>
      </w:r>
      <w:r>
        <w:rPr>
          <w:sz w:val="24"/>
        </w:rPr>
        <w:t xml:space="preserve"> соответствующим отображением в балансах кредитора и заемщика.</w:t>
      </w:r>
    </w:p>
    <w:p w:rsidR="00395DC4" w:rsidRDefault="00395DC4">
      <w:pPr>
        <w:widowControl w:val="0"/>
        <w:autoSpaceDE w:val="0"/>
        <w:autoSpaceDN w:val="0"/>
        <w:adjustRightInd w:val="0"/>
        <w:ind w:firstLine="684"/>
        <w:jc w:val="both"/>
      </w:pPr>
      <w:r>
        <w:rPr>
          <w:szCs w:val="20"/>
          <w:lang w:val="uk-UA"/>
        </w:rPr>
        <w:t>Субъекты хозяйственной деятельности могут использовать такие формы кредита: банковский, коммерческий, лизинговый, ипотечный, бланковый, консорциумный.</w:t>
      </w:r>
    </w:p>
    <w:p w:rsidR="00395DC4" w:rsidRDefault="00395DC4">
      <w:pPr>
        <w:widowControl w:val="0"/>
        <w:autoSpaceDE w:val="0"/>
        <w:autoSpaceDN w:val="0"/>
        <w:adjustRightInd w:val="0"/>
        <w:ind w:firstLine="684"/>
        <w:jc w:val="both"/>
      </w:pPr>
      <w:r>
        <w:rPr>
          <w:b/>
          <w:bCs/>
          <w:i/>
          <w:iCs/>
          <w:szCs w:val="20"/>
          <w:lang w:val="uk-UA"/>
        </w:rPr>
        <w:t>Банковский кредит</w:t>
      </w:r>
      <w:r>
        <w:rPr>
          <w:szCs w:val="20"/>
          <w:lang w:val="uk-UA"/>
        </w:rPr>
        <w:t xml:space="preserve"> предоставляется субъектам кредитования всех форм собственности во временное пользование на условиях, предусмотренных кредитным договором.</w:t>
      </w:r>
    </w:p>
    <w:p w:rsidR="00395DC4" w:rsidRDefault="00395DC4">
      <w:pPr>
        <w:widowControl w:val="0"/>
        <w:autoSpaceDE w:val="0"/>
        <w:autoSpaceDN w:val="0"/>
        <w:adjustRightInd w:val="0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Кредиты, которые предоставляются банками делятся: </w:t>
      </w:r>
    </w:p>
    <w:p w:rsidR="00395DC4" w:rsidRDefault="00395DC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szCs w:val="20"/>
          <w:lang w:val="uk-UA"/>
        </w:rPr>
        <w:t>— по срокам использования на: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а) краткосрочные — до 1 года -  могут предоставляться банками в случае временных финансовых трудностей, которые возникают в связи с затратами производства и оборота, не обеспеченных поступлением средств в соответствующем периоде;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6} среднесрочные — до 3 лет - могут предоставляться на оплату оборудования, текущих затрат, на финансирование капитальных вложений;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в) долгосрочные — свыше 3 лет - могут предоставляться для формирования основных фондов. Объектами кредитования могут быть капитальные затраты на реконструкцию, модернизацию и расширение уже действующих основных фондов, на новое строительство, на приватизацию и прочее;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szCs w:val="20"/>
          <w:lang w:val="uk-UA"/>
        </w:rPr>
        <w:t>— по  обеспечению на: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а) обеспеченные залогом (имуществом, имущественными правами, ценными бумагами);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б) гарантированные (банками, финансами или имуществом третьего лица);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в) с другим обеспечением (поручительство, свидетельство страховой организации);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г) необеспеченные (бланковые);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szCs w:val="20"/>
          <w:lang w:val="uk-UA"/>
        </w:rPr>
        <w:t>— по степени риска на: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а) стандартные кредиты;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б) кредиты с повышенным риском;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szCs w:val="20"/>
          <w:lang w:val="uk-UA"/>
        </w:rPr>
        <w:t>— по методам предоставления: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а) кредиты, которые предоставляются в разовом порядке;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szCs w:val="20"/>
          <w:lang w:val="uk-UA"/>
        </w:rPr>
        <w:t>б) кредиты, которые предоставляются соответственно кредитной линии. Под кредитной линией понимается согласие банка-кредитора предоставить кредит в будущем в размерах, которые не превышают заранее обусловленные размеры за определенный отрезок времени без проведения дополнительных специальных переговоров;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в) гарантийные (с заранее оговоренной датой предоставления, по потребности, со взысканием комиссии за обязательство);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szCs w:val="20"/>
          <w:lang w:val="uk-UA"/>
        </w:rPr>
        <w:t>— по срокам погашения: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а) кредиты, которые погашаются единовременно:,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б) кредиты, которые погашаются в рассрочку,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в) кредиты, которые погашаются досрочно (по требованию кредитора или по заявлению заемщика);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г) кредиты, которые погашаются после оговоренного периода (месяца, квартала).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Процесс банковского кредитования осуществляется на принципах обеспеченности, возвра</w:t>
      </w:r>
      <w:r>
        <w:rPr>
          <w:sz w:val="24"/>
          <w:lang w:val="ru-RU"/>
        </w:rPr>
        <w:t>та</w:t>
      </w:r>
      <w:r>
        <w:rPr>
          <w:sz w:val="24"/>
        </w:rPr>
        <w:t xml:space="preserve">, </w:t>
      </w:r>
      <w:r>
        <w:rPr>
          <w:sz w:val="24"/>
          <w:lang w:val="ru-RU"/>
        </w:rPr>
        <w:t>срочности</w:t>
      </w:r>
      <w:r>
        <w:rPr>
          <w:sz w:val="24"/>
        </w:rPr>
        <w:t>, платности и целевой направленности.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Принцип обеспеченности кредита</w:t>
      </w:r>
      <w:r>
        <w:rPr>
          <w:sz w:val="24"/>
        </w:rPr>
        <w:t xml:space="preserve"> означает наличие у банка права для защиты своих интересов, недопущение убытков от невозвращения долга из-за неплатежеспособности заемщика.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Принципы возвра</w:t>
      </w:r>
      <w:r>
        <w:rPr>
          <w:i/>
          <w:iCs/>
          <w:sz w:val="24"/>
          <w:lang w:val="ru-RU"/>
        </w:rPr>
        <w:t>тности</w:t>
      </w:r>
      <w:r>
        <w:rPr>
          <w:i/>
          <w:iCs/>
          <w:sz w:val="24"/>
        </w:rPr>
        <w:t xml:space="preserve">, </w:t>
      </w:r>
      <w:r>
        <w:rPr>
          <w:i/>
          <w:iCs/>
          <w:sz w:val="24"/>
          <w:lang w:val="ru-RU"/>
        </w:rPr>
        <w:t>срочности</w:t>
      </w:r>
      <w:r>
        <w:rPr>
          <w:i/>
          <w:iCs/>
          <w:sz w:val="24"/>
        </w:rPr>
        <w:t xml:space="preserve"> и платност</w:t>
      </w:r>
      <w:r>
        <w:rPr>
          <w:i/>
          <w:iCs/>
          <w:sz w:val="24"/>
          <w:lang w:val="ru-RU"/>
        </w:rPr>
        <w:t>и</w:t>
      </w:r>
      <w:r>
        <w:rPr>
          <w:sz w:val="24"/>
        </w:rPr>
        <w:t xml:space="preserve"> означают, что кредит </w:t>
      </w:r>
      <w:r>
        <w:rPr>
          <w:sz w:val="24"/>
          <w:lang w:val="ru-RU"/>
        </w:rPr>
        <w:t>должен быть возвращён</w:t>
      </w:r>
      <w:r>
        <w:rPr>
          <w:sz w:val="24"/>
        </w:rPr>
        <w:t xml:space="preserve"> заемщиком банк</w:t>
      </w:r>
      <w:r>
        <w:rPr>
          <w:sz w:val="24"/>
          <w:lang w:val="ru-RU"/>
        </w:rPr>
        <w:t>у</w:t>
      </w:r>
      <w:r>
        <w:rPr>
          <w:sz w:val="24"/>
        </w:rPr>
        <w:t xml:space="preserve"> в определенный в кредитном договоре срок с соответствующей оплатой за его </w:t>
      </w:r>
      <w:r>
        <w:rPr>
          <w:sz w:val="24"/>
          <w:lang w:val="ru-RU"/>
        </w:rPr>
        <w:t>ис</w:t>
      </w:r>
      <w:r>
        <w:rPr>
          <w:sz w:val="24"/>
        </w:rPr>
        <w:t>пользование.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Целевой характер использования</w:t>
      </w:r>
      <w:r>
        <w:rPr>
          <w:sz w:val="24"/>
        </w:rPr>
        <w:t xml:space="preserve"> предусматривает вложение ссудных средств </w:t>
      </w:r>
      <w:r>
        <w:rPr>
          <w:sz w:val="24"/>
          <w:lang w:val="ru-RU"/>
        </w:rPr>
        <w:t>с</w:t>
      </w:r>
      <w:r>
        <w:rPr>
          <w:sz w:val="24"/>
        </w:rPr>
        <w:t xml:space="preserve"> конкретн</w:t>
      </w:r>
      <w:r>
        <w:rPr>
          <w:sz w:val="24"/>
          <w:lang w:val="ru-RU"/>
        </w:rPr>
        <w:t>ой</w:t>
      </w:r>
      <w:r>
        <w:rPr>
          <w:sz w:val="24"/>
        </w:rPr>
        <w:t xml:space="preserve"> цел</w:t>
      </w:r>
      <w:r>
        <w:rPr>
          <w:sz w:val="24"/>
          <w:lang w:val="ru-RU"/>
        </w:rPr>
        <w:t>ью</w:t>
      </w:r>
      <w:r>
        <w:rPr>
          <w:sz w:val="24"/>
        </w:rPr>
        <w:t>, предусмотренной кредитным договором.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Следующей формой кредита </w:t>
      </w:r>
      <w:r>
        <w:rPr>
          <w:sz w:val="24"/>
          <w:lang w:val="ru-RU"/>
        </w:rPr>
        <w:t>является</w:t>
      </w:r>
      <w:r>
        <w:rPr>
          <w:sz w:val="24"/>
        </w:rPr>
        <w:t xml:space="preserve"> </w:t>
      </w:r>
      <w:r>
        <w:rPr>
          <w:b/>
          <w:bCs/>
          <w:sz w:val="24"/>
        </w:rPr>
        <w:t>коммерческий кредит</w:t>
      </w:r>
      <w:r>
        <w:rPr>
          <w:sz w:val="24"/>
        </w:rPr>
        <w:t>. Это товарная форма кредита, которая определяет отношения по вопросам перераспределения материальных фондов и характеризует кредитное соглашение между двумя субъектами хозяйственной деятельности. Участники кредитн</w:t>
      </w:r>
      <w:r>
        <w:rPr>
          <w:sz w:val="24"/>
          <w:lang w:val="ru-RU"/>
        </w:rPr>
        <w:t xml:space="preserve">ых </w:t>
      </w:r>
      <w:r>
        <w:rPr>
          <w:sz w:val="24"/>
        </w:rPr>
        <w:t>отношений при коммерческом кредите регулируют свои отношения и могут использовать платежные средства в виде векселей.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Погашение коммерческого кредита может осуществляться путем: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— оплаты должником по векселю;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— передачи векселя соответственно действующему законодательству другому юридическому лицу (кроме банков и других кредитных учреждений);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— переоформление коммерческого кредита на банковский.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b/>
          <w:bCs/>
          <w:sz w:val="24"/>
        </w:rPr>
        <w:t>Лизинговый кредит</w:t>
      </w:r>
      <w:r>
        <w:rPr>
          <w:sz w:val="24"/>
        </w:rPr>
        <w:t xml:space="preserve"> — это отношения между юридическими лицами, которые возникают в случае аренды имущества и сопровождаются заключением лизингового соглашения.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b/>
          <w:bCs/>
          <w:sz w:val="24"/>
        </w:rPr>
        <w:t>Ипотечный кредит</w:t>
      </w:r>
      <w:r>
        <w:rPr>
          <w:sz w:val="24"/>
        </w:rPr>
        <w:t xml:space="preserve"> — это особый вид отношений по поводу предоставления кредитов под залог недвижимого имущества.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b/>
          <w:bCs/>
          <w:sz w:val="24"/>
        </w:rPr>
        <w:t>Консорциумный кредит</w:t>
      </w:r>
      <w:r>
        <w:rPr>
          <w:sz w:val="24"/>
        </w:rPr>
        <w:t xml:space="preserve"> — это форма кредита, который предоставляется банковским консорциумом такими способами:</w:t>
      </w:r>
    </w:p>
    <w:p w:rsidR="00395DC4" w:rsidRDefault="00395DC4">
      <w:pPr>
        <w:pStyle w:val="a6"/>
        <w:spacing w:line="240" w:lineRule="auto"/>
        <w:rPr>
          <w:sz w:val="24"/>
        </w:rPr>
      </w:pPr>
      <w:r>
        <w:rPr>
          <w:sz w:val="24"/>
        </w:rPr>
        <w:t>а) путем аккумулирования кредитных ресурсов в определенном банке с дальнейшим предоставлением кредита заемщикам;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б) путем гарантирования общей суммы кредита ведущим банком или группой банков;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в) путем изменения гарантированных банками-участниками квот кредитных ресурсов за счет привлечения других банков для участия в консурциумной операции.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Главными составляющими кредитной системы являются банки и кредитные учреждения, которые имеют лицензию Национального банка Украины, которые одновременно выступают в роли продавцов и покуп</w:t>
      </w:r>
      <w:r>
        <w:rPr>
          <w:sz w:val="24"/>
          <w:lang w:val="ru-RU"/>
        </w:rPr>
        <w:t>ателей</w:t>
      </w:r>
      <w:r>
        <w:rPr>
          <w:sz w:val="24"/>
        </w:rPr>
        <w:t xml:space="preserve"> имеющ</w:t>
      </w:r>
      <w:r>
        <w:rPr>
          <w:sz w:val="24"/>
          <w:lang w:val="ru-RU"/>
        </w:rPr>
        <w:t>ихся</w:t>
      </w:r>
      <w:r>
        <w:rPr>
          <w:sz w:val="24"/>
        </w:rPr>
        <w:t xml:space="preserve"> свободн</w:t>
      </w:r>
      <w:r>
        <w:rPr>
          <w:sz w:val="24"/>
          <w:lang w:val="ru-RU"/>
        </w:rPr>
        <w:t>ых</w:t>
      </w:r>
      <w:r>
        <w:rPr>
          <w:sz w:val="24"/>
        </w:rPr>
        <w:t xml:space="preserve"> средств.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Банки осуществляют кредитование предприятий и организаций на договорных условиях путем заключения кредитных договоров. Соответственно Положению «О кредитовании» настоящие договоры составляются в письменной форме как путем составления одного документа, подписанного кредитором и заемщиком, так и путем обмена письмами, телеграммами, телефонограммами.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sz w:val="24"/>
        </w:rPr>
        <w:t xml:space="preserve">К условиям кредитного договора могут быть отнесены: </w:t>
      </w:r>
    </w:p>
    <w:p w:rsidR="00395DC4" w:rsidRDefault="00395DC4">
      <w:pPr>
        <w:pStyle w:val="a5"/>
        <w:numPr>
          <w:ilvl w:val="0"/>
          <w:numId w:val="8"/>
        </w:numPr>
        <w:spacing w:line="240" w:lineRule="auto"/>
        <w:rPr>
          <w:sz w:val="24"/>
          <w:lang w:val="ru-RU"/>
        </w:rPr>
      </w:pPr>
      <w:r>
        <w:rPr>
          <w:sz w:val="24"/>
        </w:rPr>
        <w:t xml:space="preserve">объекты кредитования; </w:t>
      </w:r>
    </w:p>
    <w:p w:rsidR="00395DC4" w:rsidRDefault="00395DC4">
      <w:pPr>
        <w:pStyle w:val="a5"/>
        <w:numPr>
          <w:ilvl w:val="0"/>
          <w:numId w:val="8"/>
        </w:numPr>
        <w:spacing w:line="240" w:lineRule="auto"/>
        <w:rPr>
          <w:sz w:val="24"/>
          <w:lang w:val="ru-RU"/>
        </w:rPr>
      </w:pPr>
      <w:r>
        <w:rPr>
          <w:sz w:val="24"/>
        </w:rPr>
        <w:t xml:space="preserve">размер кредита; </w:t>
      </w:r>
    </w:p>
    <w:p w:rsidR="00395DC4" w:rsidRDefault="00395DC4">
      <w:pPr>
        <w:pStyle w:val="a5"/>
        <w:numPr>
          <w:ilvl w:val="0"/>
          <w:numId w:val="8"/>
        </w:numPr>
        <w:spacing w:line="240" w:lineRule="auto"/>
        <w:rPr>
          <w:sz w:val="24"/>
          <w:lang w:val="ru-RU"/>
        </w:rPr>
      </w:pPr>
      <w:r>
        <w:rPr>
          <w:sz w:val="24"/>
        </w:rPr>
        <w:t>условия выдачи и погашени</w:t>
      </w:r>
      <w:r>
        <w:rPr>
          <w:sz w:val="24"/>
          <w:lang w:val="ru-RU"/>
        </w:rPr>
        <w:t>я</w:t>
      </w:r>
      <w:r>
        <w:rPr>
          <w:sz w:val="24"/>
        </w:rPr>
        <w:t xml:space="preserve"> ссуды; </w:t>
      </w:r>
    </w:p>
    <w:p w:rsidR="00395DC4" w:rsidRDefault="00395DC4">
      <w:pPr>
        <w:pStyle w:val="a5"/>
        <w:numPr>
          <w:ilvl w:val="0"/>
          <w:numId w:val="8"/>
        </w:numPr>
        <w:spacing w:line="240" w:lineRule="auto"/>
        <w:rPr>
          <w:sz w:val="24"/>
          <w:lang w:val="ru-RU"/>
        </w:rPr>
      </w:pPr>
      <w:r>
        <w:rPr>
          <w:sz w:val="24"/>
        </w:rPr>
        <w:t xml:space="preserve">процентные ставки за пользование кредитом и порядок уплаты процентов; </w:t>
      </w:r>
    </w:p>
    <w:p w:rsidR="00395DC4" w:rsidRDefault="00395DC4">
      <w:pPr>
        <w:pStyle w:val="a5"/>
        <w:numPr>
          <w:ilvl w:val="0"/>
          <w:numId w:val="8"/>
        </w:numPr>
        <w:spacing w:line="240" w:lineRule="auto"/>
        <w:rPr>
          <w:sz w:val="24"/>
          <w:lang w:val="ru-RU"/>
        </w:rPr>
      </w:pPr>
      <w:r>
        <w:rPr>
          <w:sz w:val="24"/>
        </w:rPr>
        <w:t xml:space="preserve">условия осуществления банковского контроля за использованием средства; </w:t>
      </w:r>
    </w:p>
    <w:p w:rsidR="00395DC4" w:rsidRDefault="00395DC4">
      <w:pPr>
        <w:pStyle w:val="a5"/>
        <w:numPr>
          <w:ilvl w:val="0"/>
          <w:numId w:val="8"/>
        </w:numPr>
        <w:spacing w:line="240" w:lineRule="auto"/>
        <w:rPr>
          <w:sz w:val="24"/>
          <w:lang w:val="ru-RU"/>
        </w:rPr>
      </w:pPr>
      <w:r>
        <w:rPr>
          <w:sz w:val="24"/>
        </w:rPr>
        <w:t xml:space="preserve">способы обеспечения выполнение обязательств по договору клиентом; </w:t>
      </w:r>
    </w:p>
    <w:p w:rsidR="00395DC4" w:rsidRDefault="00395DC4">
      <w:pPr>
        <w:pStyle w:val="a5"/>
        <w:numPr>
          <w:ilvl w:val="0"/>
          <w:numId w:val="8"/>
        </w:numPr>
        <w:spacing w:line="240" w:lineRule="auto"/>
        <w:rPr>
          <w:sz w:val="24"/>
        </w:rPr>
      </w:pPr>
      <w:r>
        <w:rPr>
          <w:sz w:val="24"/>
        </w:rPr>
        <w:t>имущественная ответственность за нарушение условий договора и т.п..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Форма кредитного договора утверждена постановлением Правления НБУ от 28 сентября 1995 г. как </w:t>
      </w:r>
      <w:r>
        <w:rPr>
          <w:sz w:val="24"/>
          <w:lang w:val="ru-RU"/>
        </w:rPr>
        <w:t xml:space="preserve">приложение к </w:t>
      </w:r>
      <w:r>
        <w:rPr>
          <w:sz w:val="24"/>
        </w:rPr>
        <w:t xml:space="preserve"> Положению «О кредитовании».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Субъекты предпринимательской деятельности — резиденты Украины соответственно ст.4 Закона «О внешнеэкономической деятельности» имеют право на получение кредитов от иностранных субъектов хозяйственной деятельности.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Кредиты в иностранной валюте юрдич</w:t>
      </w:r>
      <w:r>
        <w:rPr>
          <w:sz w:val="24"/>
          <w:lang w:val="ru-RU"/>
        </w:rPr>
        <w:t>еские</w:t>
      </w:r>
      <w:r>
        <w:rPr>
          <w:sz w:val="24"/>
        </w:rPr>
        <w:t xml:space="preserve"> лица-резиденты Украины могут получать лишь для осуществленния деятельности, предусмотренной их учредительными документами, и </w:t>
      </w:r>
      <w:r>
        <w:rPr>
          <w:sz w:val="24"/>
          <w:lang w:val="ru-RU"/>
        </w:rPr>
        <w:t>только</w:t>
      </w:r>
      <w:r>
        <w:rPr>
          <w:sz w:val="24"/>
        </w:rPr>
        <w:t xml:space="preserve"> для целевого финансирования конкретного проекта.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Указанные кредиты резиденты Украины могут получать лишь в безналичной форме. Получение и погашение кредитных ресурсов может осуществляться через систему корреспондентских счетов, открытых уполномоченными банками или Национальным банком Украины в иностранных банках.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Заемщики погашают полученные кредиты в иностранной валюте за счет валютных поступлений от всех видов внешнеэкономической деятельности. Для погашения кредитов может быть использована иностранная валюта, приобретенная на Украинской межбанковской валютной бирже </w:t>
      </w:r>
      <w:r>
        <w:rPr>
          <w:sz w:val="24"/>
          <w:lang w:val="ru-RU"/>
        </w:rPr>
        <w:t>и</w:t>
      </w:r>
      <w:r>
        <w:rPr>
          <w:sz w:val="24"/>
        </w:rPr>
        <w:t>ли на межбанковском валютном рынке Украины.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Соответственно п.4 ст.5 Декрету Кабинета министров Украины от 19 февраля 1993 г. № 15-93 «О системе валютного регулирования и валютного контроля» получение резидентами кредитов в иностранной валюте, если срок и суммы таких кредитов превышают установленные законодательством границы, требуют индивидуальной лицензии Национального банка Украины. В соответствии с установленным порядком, уполномоченный банк, который имеет лицензию на право осуществления операций с валютными ценностями, может привлекать кредитные ресурсы от иностранных банк</w:t>
      </w:r>
      <w:r>
        <w:rPr>
          <w:sz w:val="24"/>
          <w:lang w:val="ru-RU"/>
        </w:rPr>
        <w:t>о</w:t>
      </w:r>
      <w:r>
        <w:rPr>
          <w:sz w:val="24"/>
        </w:rPr>
        <w:t>в-кор</w:t>
      </w:r>
      <w:r>
        <w:rPr>
          <w:sz w:val="24"/>
          <w:lang w:val="ru-RU"/>
        </w:rPr>
        <w:t>р</w:t>
      </w:r>
      <w:r>
        <w:rPr>
          <w:sz w:val="24"/>
        </w:rPr>
        <w:t>еспондентов без получения лицензии Н БУ сроком до одного года.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Другие резиденты-заемщики должны получить лицензию в порядке, установленном Положением о порядке предоставления резидентам Украины индивидуальных лицензий и свидетельств про регистрацию на получение кредитов в иностранной валюте от иностранных кредиторов, утвержденным постановлением Правления Национального банка Украины от 7 мая 1997 г. № 329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sz w:val="24"/>
        </w:rPr>
        <w:t>Для получения индивидуальной лицензии резидент-</w:t>
      </w:r>
      <w:r>
        <w:rPr>
          <w:sz w:val="24"/>
          <w:lang w:val="ru-RU"/>
        </w:rPr>
        <w:t>заёмщик</w:t>
      </w:r>
      <w:r>
        <w:rPr>
          <w:sz w:val="24"/>
        </w:rPr>
        <w:t xml:space="preserve"> (кроме уполномоченного банка) должен подать в НБУ:</w:t>
      </w:r>
    </w:p>
    <w:p w:rsidR="00395DC4" w:rsidRDefault="00395DC4">
      <w:pPr>
        <w:pStyle w:val="a5"/>
        <w:spacing w:line="240" w:lineRule="auto"/>
        <w:ind w:firstLine="0"/>
        <w:rPr>
          <w:sz w:val="24"/>
        </w:rPr>
      </w:pPr>
      <w:r>
        <w:rPr>
          <w:sz w:val="24"/>
        </w:rPr>
        <w:t>—</w:t>
      </w:r>
      <w:r>
        <w:rPr>
          <w:sz w:val="24"/>
          <w:lang w:val="ru-RU"/>
        </w:rPr>
        <w:t xml:space="preserve"> </w:t>
      </w:r>
      <w:r>
        <w:rPr>
          <w:sz w:val="24"/>
        </w:rPr>
        <w:t>ходатайство заёмщика-резидента;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— кредитное соглашение.</w:t>
      </w:r>
    </w:p>
    <w:p w:rsidR="00395DC4" w:rsidRDefault="00395DC4">
      <w:pPr>
        <w:widowControl w:val="0"/>
        <w:autoSpaceDE w:val="0"/>
        <w:autoSpaceDN w:val="0"/>
        <w:adjustRightInd w:val="0"/>
        <w:jc w:val="both"/>
        <w:rPr>
          <w:szCs w:val="20"/>
          <w:lang w:val="uk-UA"/>
        </w:rPr>
      </w:pPr>
      <w:r>
        <w:rPr>
          <w:szCs w:val="20"/>
          <w:lang w:val="uk-UA"/>
        </w:rPr>
        <w:t>— письмо уполномоченного банка в адрес Национального банка Украины, с указанием  реквизитов счёта, на который будет осуществляться перевод валютных средств, и с экспертным выводом банка  относительно кредитного проекта, подготовленного на основании документов заёмщика, обозначенных в Положении, а именно:</w:t>
      </w:r>
    </w:p>
    <w:p w:rsidR="00395DC4" w:rsidRDefault="00395DC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копии свидетельства о государственной регистрации, </w:t>
      </w:r>
    </w:p>
    <w:p w:rsidR="00395DC4" w:rsidRDefault="00395DC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копии кредитного соглашения,</w:t>
      </w:r>
    </w:p>
    <w:p w:rsidR="00395DC4" w:rsidRDefault="00395DC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технико-экономического обоснования необходимости получения кредита</w:t>
      </w:r>
    </w:p>
    <w:p w:rsidR="00395DC4" w:rsidRDefault="00395DC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расчёта окупаемости кредита</w:t>
      </w:r>
    </w:p>
    <w:p w:rsidR="00395DC4" w:rsidRDefault="00395DC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графика погашения задолженности по кредиту (с учётом процентов)</w:t>
      </w:r>
    </w:p>
    <w:p w:rsidR="00395DC4" w:rsidRDefault="00395DC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вывода аудиторской организации про финансовое состояние заёмщика</w:t>
      </w:r>
    </w:p>
    <w:p w:rsidR="00395DC4" w:rsidRDefault="00395DC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копии баланса заёмщика за последний отчётный период, заверенной органом государственной налоговой службы</w:t>
      </w:r>
    </w:p>
    <w:p w:rsidR="00395DC4" w:rsidRDefault="00395DC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копий контрактов, которые обеспечивают реализацию кредитного проекта</w:t>
      </w:r>
    </w:p>
    <w:p w:rsidR="00395DC4" w:rsidRDefault="00395DC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лицензий или других разрешений на экспорт продукции относительно этого проекта, которые установлены государственными органами</w:t>
      </w:r>
    </w:p>
    <w:p w:rsidR="00395DC4" w:rsidRDefault="00395DC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информации или документа про обеспечение кредита, если это предусмотрено кредитным соглашением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  <w:lang w:val="ru-RU"/>
        </w:rPr>
        <w:t>Если</w:t>
      </w:r>
      <w:r>
        <w:rPr>
          <w:sz w:val="24"/>
        </w:rPr>
        <w:t xml:space="preserve"> резидент-заемщик </w:t>
      </w:r>
      <w:r>
        <w:rPr>
          <w:sz w:val="24"/>
          <w:lang w:val="ru-RU"/>
        </w:rPr>
        <w:t xml:space="preserve">является </w:t>
      </w:r>
      <w:r>
        <w:rPr>
          <w:sz w:val="24"/>
        </w:rPr>
        <w:t>государственным предприятием, ему необходимо дополнительно подать ходатайство соответственно государственного органа о получении кредита, а если кредитным соглашением предусмотрен залог имущества, — письменное согласие органа, уполномоченного управлять этим имуществом, на передачу его в залог.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Индивидуальная лицензия выдается резиденту-заемщику для реализации лишь одного кредитного проекта. Она соответству</w:t>
      </w:r>
      <w:r>
        <w:rPr>
          <w:sz w:val="24"/>
          <w:lang w:val="ru-RU"/>
        </w:rPr>
        <w:t>ет</w:t>
      </w:r>
      <w:r>
        <w:rPr>
          <w:sz w:val="24"/>
        </w:rPr>
        <w:t xml:space="preserve"> действительности на протяжении всего времени пользования кредитом, если на протяжении 60 дней со дня его выдачи заемщик получил кредит полностью или частично.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Получение резидснтом-</w:t>
      </w:r>
      <w:r>
        <w:rPr>
          <w:sz w:val="24"/>
          <w:lang w:val="ru-RU"/>
        </w:rPr>
        <w:t>заёмщиком</w:t>
      </w:r>
      <w:r>
        <w:rPr>
          <w:sz w:val="24"/>
        </w:rPr>
        <w:t xml:space="preserve"> кредита в иностранной валюте от иностранного кредитора без индивидуальной лицензии НБУ </w:t>
      </w:r>
      <w:r>
        <w:rPr>
          <w:sz w:val="24"/>
          <w:lang w:val="ru-RU"/>
        </w:rPr>
        <w:t xml:space="preserve">влечёт </w:t>
      </w:r>
      <w:r>
        <w:rPr>
          <w:sz w:val="24"/>
        </w:rPr>
        <w:t xml:space="preserve"> за собо</w:t>
      </w:r>
      <w:r>
        <w:rPr>
          <w:sz w:val="24"/>
          <w:lang w:val="ru-RU"/>
        </w:rPr>
        <w:t>й</w:t>
      </w:r>
      <w:r>
        <w:rPr>
          <w:sz w:val="24"/>
        </w:rPr>
        <w:t xml:space="preserve"> применение предусмотренного ст. 16 Декрета Кабинета министров Украины «О системе валютного регулирования и валютного контроля» штрафа в сумме, эквивалентной сумме полученного кредита, пере</w:t>
      </w:r>
      <w:r>
        <w:rPr>
          <w:sz w:val="24"/>
          <w:lang w:val="ru-RU"/>
        </w:rPr>
        <w:t>счита</w:t>
      </w:r>
      <w:r>
        <w:rPr>
          <w:sz w:val="24"/>
        </w:rPr>
        <w:t>нной в валюту Украины по курсу НБУ на день осуществления операции.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sz w:val="24"/>
        </w:rPr>
        <w:t>Контроль за погашением кредита, полученного резидентом Украины в иностранной валюте от иностранного инвестора, полагается на уполномоченный банк.</w:t>
      </w:r>
    </w:p>
    <w:p w:rsidR="00395DC4" w:rsidRDefault="00395DC4">
      <w:pPr>
        <w:pStyle w:val="a"/>
        <w:rPr>
          <w:sz w:val="24"/>
        </w:rPr>
      </w:pPr>
      <w:r>
        <w:rPr>
          <w:sz w:val="24"/>
        </w:rPr>
        <w:t>Порядок открытия счетов в банках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По общему правилу (ст.380 Гражданского кодекса) платежи </w:t>
      </w:r>
      <w:r>
        <w:rPr>
          <w:sz w:val="24"/>
          <w:lang w:val="ru-RU"/>
        </w:rPr>
        <w:t>по</w:t>
      </w:r>
      <w:r>
        <w:rPr>
          <w:sz w:val="24"/>
        </w:rPr>
        <w:t xml:space="preserve"> обязательствам между организациями ведутся в порядке безналичных расчетов через кредитные учреждения, в которых указанные организации сохраняют свои средства.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С этой целью субъектам предпринимательской деятельности, другим организациям и учреждениям независимо от форм собственности </w:t>
      </w:r>
      <w:r>
        <w:rPr>
          <w:sz w:val="24"/>
          <w:lang w:val="ru-RU"/>
        </w:rPr>
        <w:t>о</w:t>
      </w:r>
      <w:r>
        <w:rPr>
          <w:sz w:val="24"/>
        </w:rPr>
        <w:t xml:space="preserve">ткрываются расчетные, текущие и бюджетные счета. Открытие указанных счетов осуществляется на условиях, изложенных в Инструкции о порядке открытия расчетных, текущих и бюджетных счетов в учреждениях банков, утвержденной постановлением Правления Национального банка Украины от </w:t>
      </w:r>
      <w:r>
        <w:rPr>
          <w:sz w:val="24"/>
          <w:lang w:val="ru-RU"/>
        </w:rPr>
        <w:t xml:space="preserve">18 декабря </w:t>
      </w:r>
      <w:r>
        <w:rPr>
          <w:sz w:val="24"/>
        </w:rPr>
        <w:t xml:space="preserve"> 199</w:t>
      </w:r>
      <w:r>
        <w:rPr>
          <w:sz w:val="24"/>
          <w:lang w:val="ru-RU"/>
        </w:rPr>
        <w:t>8</w:t>
      </w:r>
      <w:r>
        <w:rPr>
          <w:sz w:val="24"/>
        </w:rPr>
        <w:t xml:space="preserve"> г. № </w:t>
      </w:r>
      <w:r>
        <w:rPr>
          <w:sz w:val="24"/>
          <w:lang w:val="ru-RU"/>
        </w:rPr>
        <w:t xml:space="preserve">527 </w:t>
      </w:r>
      <w:r>
        <w:rPr>
          <w:sz w:val="24"/>
        </w:rPr>
        <w:t>и, а также в договоре на открытие и обслуживание банковского счета.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Договор на открытие и обслуживание банковского счета складывается </w:t>
      </w:r>
      <w:r>
        <w:rPr>
          <w:sz w:val="24"/>
          <w:lang w:val="ru-RU"/>
        </w:rPr>
        <w:t>в</w:t>
      </w:r>
      <w:r>
        <w:rPr>
          <w:sz w:val="24"/>
        </w:rPr>
        <w:t xml:space="preserve"> произвольной форме и может содержать реквизиты сторон, номер и вид счетов, условия открытия и закрытия счетов, виды услуг, которые предоставляются банком, обязательство сторон, ответственность за невыполнение обязательств, другие положения </w:t>
      </w:r>
      <w:r>
        <w:rPr>
          <w:sz w:val="24"/>
          <w:lang w:val="ru-RU"/>
        </w:rPr>
        <w:t>по договорённости</w:t>
      </w:r>
      <w:r>
        <w:rPr>
          <w:sz w:val="24"/>
        </w:rPr>
        <w:t xml:space="preserve"> сторон и условия, </w:t>
      </w:r>
      <w:r>
        <w:rPr>
          <w:sz w:val="24"/>
          <w:lang w:val="ru-RU"/>
        </w:rPr>
        <w:t>по</w:t>
      </w:r>
      <w:r>
        <w:rPr>
          <w:sz w:val="24"/>
        </w:rPr>
        <w:t xml:space="preserve"> которым договор может быть разорван.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Расчетные счета открываются предприятиям, которые осуществляют производственную, научно-исследовательскую и коммерческую деятельность с целью получения прибыли, владеют или наделенные основным и оборотным средством и имеют самостоятельный баланс.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Текущие счета</w:t>
      </w:r>
      <w:r>
        <w:rPr>
          <w:sz w:val="24"/>
        </w:rPr>
        <w:t xml:space="preserve"> открываются предприятиям всех видов и форм собственности, а также их отдельными подразделениями для сохранения денежных средств и осуществления всех видов операций за этими счетам соответственно действующему законодательству Украины.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Текущие бюджетные счета</w:t>
      </w:r>
      <w:r>
        <w:rPr>
          <w:sz w:val="24"/>
        </w:rPr>
        <w:t xml:space="preserve"> открываются предприятиям (их отдельным подразделениям), которым выделяются средства за счет государственного или местного бюджета для целевого их использования.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К текущим счетам  относятся  также счета за специальными режимами их использования, которые открываются на основании решений Кабинета Министров Украины и Национального банка Украины, с определением режима этих счетов.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Депозитные счета</w:t>
      </w:r>
      <w:r>
        <w:rPr>
          <w:sz w:val="24"/>
        </w:rPr>
        <w:t xml:space="preserve"> предприятиям и их отдельным подразделениям открываются на основании заключенного депозитного договора между собственником счета и учреждением банка на определенный в договоре срок. Средства на депозитные счета перечисляются с текущего счета и после окончания срока хранения возвращаются на текущий счет.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sz w:val="24"/>
        </w:rPr>
        <w:t>Проценты по депозитным счетам могут перечисляться на текущий счет соответственно условиям депозитного договора или зачисляться на пополнение депозита. Проведение расчетных операций и выдача средств денежной наличностью с депозитного счета запрещается.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Каждое предприятие может иметь только один расчетный или текущий счет. Если предприятие имеет в учреждениях банков депозитные счета, то средства на такие счета перечисляются с расчетного, текущего счета предприятия и после окончания срока хранения возвращаются на этот же расчетный, текущий счет.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В случае осуществления перерегистрации субъекта предпринимательской деятельности, вызванной изменениями названия, организационно-правовой формы, формы собственности, собственник счета обязан подать в установленный срок в банк заявление, новую копию свидетельства о государственной регистрации и измения учредительных документов, удостоверенные в установленном порядке.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Законодательством Украины установлен специальный порядок открытия </w:t>
      </w:r>
      <w:r>
        <w:rPr>
          <w:i/>
          <w:iCs/>
          <w:sz w:val="24"/>
        </w:rPr>
        <w:t>счетов в иностранной валюте.</w:t>
      </w:r>
      <w:r>
        <w:rPr>
          <w:i/>
          <w:iCs/>
          <w:sz w:val="24"/>
          <w:lang w:val="ru-RU"/>
        </w:rPr>
        <w:t xml:space="preserve"> </w:t>
      </w:r>
      <w:r>
        <w:rPr>
          <w:sz w:val="24"/>
        </w:rPr>
        <w:t>Соответственно п. 6.1.1 Инструкции банковские счета в иностранной валюте делятся на текущие и депозитные (вкладные).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Текущий счет в иностранной валюте открывается предприятию для проведения расчетов в границах действующего законодательства Украины в безналичной и наличной иностранной валюте при осуществлении текущих операций, определенных действующим законодательством Украины, и для погашения задолженности по кредитам в иностранной валюте.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Текущими </w:t>
      </w:r>
      <w:r>
        <w:rPr>
          <w:b/>
          <w:bCs/>
          <w:sz w:val="24"/>
        </w:rPr>
        <w:t>торговыми</w:t>
      </w:r>
      <w:r>
        <w:rPr>
          <w:sz w:val="24"/>
        </w:rPr>
        <w:t xml:space="preserve"> операциями в иностранной валюте являются такие расчеты: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между юридическими особами-резидентамй и юридическими лицами-нерезидентами при осуществлении внешнеэкономической деятельности за торговыми операциями;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между юридическими лицами-резидентами на территории Украины, при условии наличия индивидуальной лицензии Национального банка Украины;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между юридическими лицами-нерезидентами и юридическими лицами-резидентами через юридических лиц-резидентов-посредников соответственно договорам (контрактам, соглашениям), которые заключенные соответственно действующему законодательству Украины;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другие расчеты, которые осуществляются соответственно действующему законодательству Украины;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операции на межбанковском валютном рынке Украины;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оплата товаров (работ, услуг) с использованием чеков и пластиковых карточек.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Текущими </w:t>
      </w:r>
      <w:r>
        <w:rPr>
          <w:b/>
          <w:bCs/>
          <w:sz w:val="24"/>
        </w:rPr>
        <w:t>неторговыми</w:t>
      </w:r>
      <w:r>
        <w:rPr>
          <w:sz w:val="24"/>
        </w:rPr>
        <w:t xml:space="preserve"> операциями являются такие расчеты: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выплата наличной иностранной валюты и платежными документами в иностранной валюте на затраты, связанные с командировками;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осуществление обменных операций с иностранной валютой и платежными документами в иностранной валюте;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выплата наличной иностранной валюты по чекам и пластиковым карточкам физическим лицам (резидентам и нерезидентам);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покупка платежных документов в иностранной валюте физическими лицами (резидентами и нерезидентами);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выплата авторских гонораров и платежи за пользование авторскими правами;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перечисление средств на проведение международных выставок, конгрессов, симпозиумов, конференций и других международных встреч;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оплата работы нерезидентов, которые в соответствии с заключенными трудовыми соглашениями (контрактами) работают в Украине;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перечисление средств в иностранной валюте за обучение, лечение, патентование, уплату таможенных платежей, членских взносов;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платежи с возмещением затрат судебных, арбитражных, нотариальных, правоохранительных органов;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выплата наличной иностранной валюты по переводам из-за границы;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переводы за границу Украины средств в иностранной валюте;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другие выплаты и переводы в иностранной валюте, которые не противоречат действующему законодательству Украины.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Для открытия текущего счета в иностранной валюте предприятие-резидент подает уполномоченному банку те же документы, что и для открытия текущего счета в национальной валюте.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Расчетные и текущие счета </w:t>
      </w:r>
      <w:r>
        <w:rPr>
          <w:i/>
          <w:iCs/>
          <w:sz w:val="24"/>
        </w:rPr>
        <w:t>закрываются</w:t>
      </w:r>
      <w:r>
        <w:rPr>
          <w:sz w:val="24"/>
        </w:rPr>
        <w:t xml:space="preserve"> в учреждениях банка: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а) на основании заявления собственника счета;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б) на основании решения органа, на который соответственно законодательству положен функции относительно ликвидации или реорганизации предприятия;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в) на основании соответствующего решения суда или арбитражного суда о ликвидации предприятия или признание его банкротом;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г) из других основани</w:t>
      </w:r>
      <w:r>
        <w:rPr>
          <w:sz w:val="24"/>
          <w:lang w:val="ru-RU"/>
        </w:rPr>
        <w:t>ях</w:t>
      </w:r>
      <w:r>
        <w:rPr>
          <w:sz w:val="24"/>
        </w:rPr>
        <w:t>, предусмотренных действующим законодательством Украины или договором между учреждением банка и собственником счета.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Договор на открытие и обслуживание банковского счета может быть разорван по согласованию сторон. На протяжении 10 дней с даты разрыва договора банк закрывает счет, а остаток средств, которые находятся на счету, перечисляет на другой счет по доверенности клиента. Учреждение банка сообщает в налоговую инспекцию по месту регистрации собственника счета о закрытии счета в 3-дневный срок.</w:t>
      </w:r>
    </w:p>
    <w:p w:rsidR="00395DC4" w:rsidRDefault="00395DC4">
      <w:pPr>
        <w:pStyle w:val="a"/>
        <w:rPr>
          <w:sz w:val="24"/>
        </w:rPr>
      </w:pPr>
      <w:r>
        <w:rPr>
          <w:sz w:val="24"/>
          <w:lang w:val="uk-UA"/>
        </w:rPr>
        <w:t>Порядок и формы расчетов в хозяйственном обороте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По общему правилу на территории Украины все юридические лица всех форм собственности, а также физические лица - граждане Украины, иностранные граждане, лица без гражданства, которые являются субъектами предпринимательской деятельности, осуществляют между собой расчеты в безналичном и наличном порядке через учреждения банков соответственно правилам осуществления расчетных и кассовых сделок, утверждаемых Национальным банком Украины.</w:t>
      </w:r>
    </w:p>
    <w:p w:rsidR="00395DC4" w:rsidRDefault="00395DC4">
      <w:pPr>
        <w:widowControl w:val="0"/>
        <w:autoSpaceDE w:val="0"/>
        <w:autoSpaceDN w:val="0"/>
        <w:adjustRightInd w:val="0"/>
        <w:jc w:val="both"/>
      </w:pPr>
      <w:r>
        <w:rPr>
          <w:szCs w:val="20"/>
          <w:lang w:val="uk-UA"/>
        </w:rPr>
        <w:t>Преобладающее же большинство расчетов между субъектами хозяйственного права осуществляется в безналичной форме.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С целью усовершенствования организации банками расчётно-кассового обслуживания народного хозяйства Правительство Национального банка Украины постановлением от 30 июня 1995 г. № 166 утвердило ««Порядок организации расчетно-кассового обслуживания коммерческими банками клиентов и взаимоотношений по этому вопросу между учреждениями Национального банка Украины и коммерческими банками».</w:t>
      </w:r>
      <w:r>
        <w:rPr>
          <w:sz w:val="24"/>
          <w:lang w:val="ru-RU"/>
        </w:rPr>
        <w:t xml:space="preserve"> </w:t>
      </w:r>
      <w:r>
        <w:rPr>
          <w:sz w:val="24"/>
        </w:rPr>
        <w:t>Соответственно этому акту коммерческий банк заключает договор с клиентом на расчетно-кассовое обслуживание, которое включает комплекс взаимных платежных обязательств банка и клиента относительно пользования средством и банковскими услугами, а именно:</w:t>
      </w:r>
    </w:p>
    <w:p w:rsidR="00395DC4" w:rsidRDefault="00395DC4">
      <w:pPr>
        <w:pStyle w:val="a5"/>
        <w:spacing w:line="240" w:lineRule="auto"/>
        <w:ind w:left="684" w:firstLine="0"/>
        <w:rPr>
          <w:sz w:val="24"/>
        </w:rPr>
      </w:pPr>
      <w:r>
        <w:rPr>
          <w:sz w:val="24"/>
        </w:rPr>
        <w:t>• пользование банком временно свободными средствами клиента;</w:t>
      </w:r>
    </w:p>
    <w:p w:rsidR="00395DC4" w:rsidRDefault="00395DC4">
      <w:pPr>
        <w:pStyle w:val="a5"/>
        <w:spacing w:line="240" w:lineRule="auto"/>
        <w:ind w:left="684" w:firstLine="0"/>
        <w:rPr>
          <w:sz w:val="24"/>
        </w:rPr>
      </w:pPr>
      <w:r>
        <w:rPr>
          <w:sz w:val="24"/>
        </w:rPr>
        <w:t>• осуществление расчетных операций;</w:t>
      </w:r>
    </w:p>
    <w:p w:rsidR="00395DC4" w:rsidRDefault="00395DC4">
      <w:pPr>
        <w:pStyle w:val="a5"/>
        <w:spacing w:line="240" w:lineRule="auto"/>
        <w:ind w:left="684" w:firstLine="0"/>
        <w:rPr>
          <w:sz w:val="24"/>
        </w:rPr>
      </w:pPr>
      <w:r>
        <w:rPr>
          <w:sz w:val="24"/>
        </w:rPr>
        <w:t>• кассовое обслуживание;</w:t>
      </w:r>
    </w:p>
    <w:p w:rsidR="00395DC4" w:rsidRDefault="00395DC4">
      <w:pPr>
        <w:pStyle w:val="a5"/>
        <w:spacing w:line="240" w:lineRule="auto"/>
        <w:ind w:left="684" w:firstLine="0"/>
        <w:rPr>
          <w:sz w:val="24"/>
        </w:rPr>
      </w:pPr>
      <w:r>
        <w:rPr>
          <w:sz w:val="24"/>
        </w:rPr>
        <w:t>• транспортное обслуживание перевозок денежной наличности.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Безналичные расчеты между субъектами хозяйствования осуществляются соответственно Инструкции № 7 о безналичных расчетах в хозяйственном обороте Украины, утвержденной постановлением Правления Национального банка Украины от 2 августа 1996 г.(далее - Инструкция № 7) и других нормативных актов.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Безналичные расчеты</w:t>
      </w:r>
      <w:r>
        <w:rPr>
          <w:sz w:val="24"/>
        </w:rPr>
        <w:t xml:space="preserve"> осуществляются по таким формам расчетных документов:</w:t>
      </w:r>
    </w:p>
    <w:p w:rsidR="00395DC4" w:rsidRDefault="00395DC4">
      <w:pPr>
        <w:pStyle w:val="a5"/>
        <w:numPr>
          <w:ilvl w:val="0"/>
          <w:numId w:val="14"/>
        </w:numPr>
        <w:spacing w:line="240" w:lineRule="auto"/>
        <w:rPr>
          <w:i/>
          <w:iCs/>
          <w:sz w:val="24"/>
        </w:rPr>
      </w:pPr>
      <w:r>
        <w:rPr>
          <w:i/>
          <w:iCs/>
          <w:sz w:val="24"/>
        </w:rPr>
        <w:t>платежными поручениями;</w:t>
      </w:r>
    </w:p>
    <w:p w:rsidR="00395DC4" w:rsidRDefault="00395DC4">
      <w:pPr>
        <w:pStyle w:val="a5"/>
        <w:numPr>
          <w:ilvl w:val="0"/>
          <w:numId w:val="14"/>
        </w:numPr>
        <w:spacing w:line="240" w:lineRule="auto"/>
        <w:rPr>
          <w:i/>
          <w:iCs/>
          <w:sz w:val="24"/>
        </w:rPr>
      </w:pPr>
      <w:r>
        <w:rPr>
          <w:i/>
          <w:iCs/>
          <w:sz w:val="24"/>
        </w:rPr>
        <w:t>платежными требованиями-поручениями;</w:t>
      </w:r>
    </w:p>
    <w:p w:rsidR="00395DC4" w:rsidRDefault="00395DC4">
      <w:pPr>
        <w:pStyle w:val="a5"/>
        <w:numPr>
          <w:ilvl w:val="0"/>
          <w:numId w:val="14"/>
        </w:numPr>
        <w:spacing w:line="240" w:lineRule="auto"/>
        <w:rPr>
          <w:i/>
          <w:iCs/>
          <w:sz w:val="24"/>
        </w:rPr>
      </w:pPr>
      <w:r>
        <w:rPr>
          <w:i/>
          <w:iCs/>
          <w:sz w:val="24"/>
        </w:rPr>
        <w:t>чеками;</w:t>
      </w:r>
    </w:p>
    <w:p w:rsidR="00395DC4" w:rsidRDefault="00395DC4">
      <w:pPr>
        <w:pStyle w:val="a5"/>
        <w:numPr>
          <w:ilvl w:val="0"/>
          <w:numId w:val="14"/>
        </w:numPr>
        <w:spacing w:line="240" w:lineRule="auto"/>
        <w:rPr>
          <w:i/>
          <w:iCs/>
          <w:sz w:val="24"/>
        </w:rPr>
      </w:pPr>
      <w:r>
        <w:rPr>
          <w:i/>
          <w:iCs/>
          <w:sz w:val="24"/>
        </w:rPr>
        <w:t>аккредитивами;</w:t>
      </w:r>
    </w:p>
    <w:p w:rsidR="00395DC4" w:rsidRDefault="00395DC4">
      <w:pPr>
        <w:pStyle w:val="a5"/>
        <w:numPr>
          <w:ilvl w:val="0"/>
          <w:numId w:val="14"/>
        </w:numPr>
        <w:spacing w:line="240" w:lineRule="auto"/>
        <w:rPr>
          <w:i/>
          <w:iCs/>
          <w:sz w:val="24"/>
        </w:rPr>
      </w:pPr>
      <w:r>
        <w:rPr>
          <w:i/>
          <w:iCs/>
          <w:sz w:val="24"/>
        </w:rPr>
        <w:t>векселями;</w:t>
      </w:r>
    </w:p>
    <w:p w:rsidR="00395DC4" w:rsidRDefault="00395DC4">
      <w:pPr>
        <w:pStyle w:val="a5"/>
        <w:numPr>
          <w:ilvl w:val="0"/>
          <w:numId w:val="14"/>
        </w:numPr>
        <w:spacing w:line="240" w:lineRule="auto"/>
        <w:rPr>
          <w:i/>
          <w:iCs/>
          <w:sz w:val="24"/>
        </w:rPr>
      </w:pPr>
      <w:r>
        <w:rPr>
          <w:i/>
          <w:iCs/>
          <w:sz w:val="24"/>
        </w:rPr>
        <w:t>платежными требованиями;</w:t>
      </w:r>
    </w:p>
    <w:p w:rsidR="00395DC4" w:rsidRDefault="00395DC4">
      <w:pPr>
        <w:pStyle w:val="a5"/>
        <w:numPr>
          <w:ilvl w:val="0"/>
          <w:numId w:val="14"/>
        </w:numPr>
        <w:spacing w:line="240" w:lineRule="auto"/>
        <w:rPr>
          <w:i/>
          <w:iCs/>
          <w:sz w:val="24"/>
        </w:rPr>
      </w:pPr>
      <w:r>
        <w:rPr>
          <w:i/>
          <w:iCs/>
          <w:sz w:val="24"/>
        </w:rPr>
        <w:t>инкассовыми поручениями (распоряжениями).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sz w:val="24"/>
        </w:rPr>
        <w:t>Инструкция № 7 основывается на принципах свободного выбора субъектами форм расчетов, закрепление их сторонами в договорах и невмешательство учреждений банков в эти договорные отношения. Вместе из тем с целью обеспечения стандартов документов, которые внедряются в хозяйственный оборот в Украине, Инструкцией № 7 установлено, что расчетные документы, которые подаются клиентами в банк, должны отвечать требованиям установленных стандартов.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sz w:val="24"/>
        </w:rPr>
        <w:t>В случае, если хотя бы один из указанных реквизитов (если они предусмотрены формой документа) не заполнен или заполнен неправильно, банк такой документ к выполнению не принимает.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Клиент исходя из своих технических возможностей может подавать в банк расчетные документы как в бумажной форме, так и в виде электронных расчетных документов (электронных сообщений) каналами связи. Способ представления ним документов в банк </w:t>
      </w:r>
      <w:r>
        <w:rPr>
          <w:sz w:val="24"/>
          <w:lang w:val="ru-RU"/>
        </w:rPr>
        <w:t>оговаривается</w:t>
      </w:r>
      <w:r>
        <w:rPr>
          <w:sz w:val="24"/>
        </w:rPr>
        <w:t xml:space="preserve"> в договоре на расчетно-кассовое обслуживание.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b/>
          <w:bCs/>
          <w:sz w:val="24"/>
        </w:rPr>
        <w:t>Платежное поручение</w:t>
      </w:r>
      <w:r>
        <w:rPr>
          <w:sz w:val="24"/>
        </w:rPr>
        <w:t xml:space="preserve"> - это бланк установленной формы, которая предприятие подаёт в банк, который его обслуживает, для перечисления определенной суммы со своего счета.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Банк принимает к выполнению поручения на протяжении десяти календарных дней </w:t>
      </w:r>
      <w:r>
        <w:rPr>
          <w:sz w:val="24"/>
          <w:lang w:val="ru-RU"/>
        </w:rPr>
        <w:t>с</w:t>
      </w:r>
      <w:r>
        <w:rPr>
          <w:sz w:val="24"/>
        </w:rPr>
        <w:t xml:space="preserve"> даты его заполнения и только в </w:t>
      </w:r>
      <w:r>
        <w:rPr>
          <w:sz w:val="24"/>
          <w:lang w:val="ru-RU"/>
        </w:rPr>
        <w:t>рамках</w:t>
      </w:r>
      <w:r>
        <w:rPr>
          <w:sz w:val="24"/>
        </w:rPr>
        <w:t xml:space="preserve"> имеющихся на его счете средств.</w:t>
      </w:r>
      <w:r>
        <w:rPr>
          <w:sz w:val="24"/>
          <w:lang w:val="ru-RU"/>
        </w:rPr>
        <w:t xml:space="preserve"> </w:t>
      </w:r>
      <w:r>
        <w:rPr>
          <w:sz w:val="24"/>
        </w:rPr>
        <w:t xml:space="preserve">Поручение применяется в расчетах </w:t>
      </w:r>
      <w:r>
        <w:rPr>
          <w:sz w:val="24"/>
          <w:lang w:val="ru-RU"/>
        </w:rPr>
        <w:t xml:space="preserve">по </w:t>
      </w:r>
      <w:r>
        <w:rPr>
          <w:sz w:val="24"/>
        </w:rPr>
        <w:t>платежам товарного и нетоварного характера.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Расчеты поручениями могут осуществляться:</w:t>
      </w:r>
    </w:p>
    <w:p w:rsidR="00395DC4" w:rsidRDefault="00395DC4">
      <w:pPr>
        <w:pStyle w:val="a5"/>
        <w:numPr>
          <w:ilvl w:val="0"/>
          <w:numId w:val="18"/>
        </w:numPr>
        <w:spacing w:line="240" w:lineRule="auto"/>
        <w:rPr>
          <w:sz w:val="24"/>
        </w:rPr>
      </w:pPr>
      <w:r>
        <w:rPr>
          <w:sz w:val="24"/>
        </w:rPr>
        <w:t>за фактически отгруженную продукцию (выполненные работы, предоставленные услуги);</w:t>
      </w:r>
    </w:p>
    <w:p w:rsidR="00395DC4" w:rsidRDefault="00395DC4">
      <w:pPr>
        <w:pStyle w:val="a5"/>
        <w:numPr>
          <w:ilvl w:val="0"/>
          <w:numId w:val="18"/>
        </w:numPr>
        <w:spacing w:line="240" w:lineRule="auto"/>
        <w:rPr>
          <w:sz w:val="24"/>
        </w:rPr>
      </w:pPr>
      <w:r>
        <w:rPr>
          <w:sz w:val="24"/>
        </w:rPr>
        <w:t>в порядке предшествующей оплаты;</w:t>
      </w:r>
    </w:p>
    <w:p w:rsidR="00395DC4" w:rsidRDefault="00395DC4">
      <w:pPr>
        <w:pStyle w:val="a5"/>
        <w:numPr>
          <w:ilvl w:val="0"/>
          <w:numId w:val="18"/>
        </w:numPr>
        <w:spacing w:line="240" w:lineRule="auto"/>
        <w:rPr>
          <w:sz w:val="24"/>
        </w:rPr>
      </w:pPr>
      <w:r>
        <w:rPr>
          <w:sz w:val="24"/>
        </w:rPr>
        <w:t>для завершения расчетов за актами сверки взаимной задолженности предприятий;</w:t>
      </w:r>
    </w:p>
    <w:p w:rsidR="00395DC4" w:rsidRDefault="00395DC4">
      <w:pPr>
        <w:pStyle w:val="a5"/>
        <w:numPr>
          <w:ilvl w:val="0"/>
          <w:numId w:val="18"/>
        </w:numPr>
        <w:spacing w:line="240" w:lineRule="auto"/>
        <w:rPr>
          <w:sz w:val="24"/>
        </w:rPr>
      </w:pPr>
      <w:r>
        <w:rPr>
          <w:sz w:val="24"/>
        </w:rPr>
        <w:t xml:space="preserve">для перечисления предприятиями сумм, которые </w:t>
      </w:r>
      <w:r>
        <w:rPr>
          <w:sz w:val="24"/>
          <w:lang w:val="ru-RU"/>
        </w:rPr>
        <w:t>принад</w:t>
      </w:r>
      <w:r>
        <w:rPr>
          <w:sz w:val="24"/>
        </w:rPr>
        <w:t>лежат физическим лицам (заработная плата, пенсии, денежные доходы колхозников и т.п.) на их счета, открытые в учреждениях банков;</w:t>
      </w:r>
    </w:p>
    <w:p w:rsidR="00395DC4" w:rsidRDefault="00395DC4">
      <w:pPr>
        <w:pStyle w:val="a5"/>
        <w:numPr>
          <w:ilvl w:val="0"/>
          <w:numId w:val="18"/>
        </w:numPr>
        <w:spacing w:line="240" w:lineRule="auto"/>
        <w:rPr>
          <w:sz w:val="24"/>
          <w:lang w:val="ru-RU"/>
        </w:rPr>
      </w:pPr>
      <w:r>
        <w:rPr>
          <w:sz w:val="24"/>
        </w:rPr>
        <w:t>в других случаях по согласию сторон.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sz w:val="24"/>
        </w:rPr>
        <w:t>Однако необходимо учитывать, что согласно п. 14 раздела 3 Инструкции НБУ о безналичных расчетах, если посту</w:t>
      </w:r>
      <w:r>
        <w:rPr>
          <w:sz w:val="24"/>
        </w:rPr>
        <w:softHyphen/>
        <w:t>пившие средства не востребованы физическим лицом в течение 30 календарных дней, то банк мемориальным ордером возвращает их плательщику.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b/>
          <w:bCs/>
          <w:sz w:val="24"/>
        </w:rPr>
        <w:t>Платежное требование-поручение</w:t>
      </w:r>
      <w:r>
        <w:rPr>
          <w:sz w:val="24"/>
        </w:rPr>
        <w:t xml:space="preserve"> - это комбинированный расчетный документ, который состоит из двух частей:</w:t>
      </w:r>
    </w:p>
    <w:p w:rsidR="00395DC4" w:rsidRDefault="00395DC4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>
        <w:rPr>
          <w:sz w:val="24"/>
        </w:rPr>
        <w:t>верхняя - требование поставщика (получателя средства) непосредственно к покупателю (плательщика) уплатить стоимость поставленной нему по договору продукции (выполненных работ, предоставленных услуг);</w:t>
      </w:r>
    </w:p>
    <w:p w:rsidR="00395DC4" w:rsidRDefault="00395DC4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>
        <w:rPr>
          <w:sz w:val="24"/>
        </w:rPr>
        <w:t>нижняя - поручение плательщика своему банку пересчитать из его счета указанную сумму.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sz w:val="24"/>
        </w:rPr>
        <w:t>Требование-поручение заполняется получателем средства и присылается непосредственно плательщику.</w:t>
      </w:r>
      <w:r>
        <w:rPr>
          <w:sz w:val="24"/>
          <w:lang w:val="ru-RU"/>
        </w:rPr>
        <w:t xml:space="preserve"> </w:t>
      </w:r>
      <w:r>
        <w:rPr>
          <w:sz w:val="24"/>
        </w:rPr>
        <w:t xml:space="preserve">Доставку требований-поручений в плательщика может осуществлять банк получателя через банк плательщика. В случае согласия оплатить требование-поручение плательщик заполняет нижнюю часть этого документа и сдает его в банк, </w:t>
      </w:r>
      <w:r>
        <w:rPr>
          <w:sz w:val="24"/>
          <w:lang w:val="ru-RU"/>
        </w:rPr>
        <w:t>который</w:t>
      </w:r>
      <w:r>
        <w:rPr>
          <w:sz w:val="24"/>
        </w:rPr>
        <w:t xml:space="preserve"> его обслуживает.</w:t>
      </w:r>
      <w:r>
        <w:rPr>
          <w:sz w:val="24"/>
          <w:lang w:val="ru-RU"/>
        </w:rPr>
        <w:t xml:space="preserve"> </w:t>
      </w:r>
      <w:r>
        <w:rPr>
          <w:sz w:val="24"/>
        </w:rPr>
        <w:t>В случае отказа плательщика уплатить требование-поручение он о мотивах отказа сообщает непосредственно получателю средств в порядке и сроки, указанные в договоре.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b/>
          <w:bCs/>
          <w:sz w:val="24"/>
        </w:rPr>
        <w:t>Чеки</w:t>
      </w:r>
      <w:r>
        <w:rPr>
          <w:sz w:val="24"/>
        </w:rPr>
        <w:t xml:space="preserve"> применяются для осуществления расчетов в безналичной форме между юридическими лицами, а также физическими и юридическими лицами с целью сокращения наличных расчетов за полученные товары, выполненные работы и предоставленные услуги.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Расчетный чек — это документ, который содержит письменное распоряжение собственника счета (чекодателя) учреждению банка (банку-эмитенту), который ведет его счет, уплатить чекодержателю указанную в чек</w:t>
      </w:r>
      <w:r>
        <w:rPr>
          <w:sz w:val="24"/>
          <w:lang w:val="ru-RU"/>
        </w:rPr>
        <w:t>е</w:t>
      </w:r>
      <w:r>
        <w:rPr>
          <w:sz w:val="24"/>
        </w:rPr>
        <w:t xml:space="preserve"> сумму средств.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Чекодатель - юридическое или физическое лицо, которое производит платеж с помощью чека и подписывает его.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Чекодержатель - предприятие, которое </w:t>
      </w:r>
      <w:r>
        <w:rPr>
          <w:sz w:val="24"/>
          <w:lang w:val="ru-RU"/>
        </w:rPr>
        <w:t>является получателем</w:t>
      </w:r>
      <w:r>
        <w:rPr>
          <w:sz w:val="24"/>
        </w:rPr>
        <w:t xml:space="preserve"> средств </w:t>
      </w:r>
      <w:r>
        <w:rPr>
          <w:sz w:val="24"/>
          <w:lang w:val="ru-RU"/>
        </w:rPr>
        <w:t>по</w:t>
      </w:r>
      <w:r>
        <w:rPr>
          <w:sz w:val="24"/>
        </w:rPr>
        <w:t xml:space="preserve"> чек</w:t>
      </w:r>
      <w:r>
        <w:rPr>
          <w:sz w:val="24"/>
          <w:lang w:val="ru-RU"/>
        </w:rPr>
        <w:t>у</w:t>
      </w:r>
      <w:r>
        <w:rPr>
          <w:sz w:val="24"/>
        </w:rPr>
        <w:t>.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sz w:val="24"/>
        </w:rPr>
        <w:t>Банк-эмитент - банк, который выдает чековую книжку (расчетный чек) предприятию или физическому лицу.Срок действия чековой книжки - один год, а расчетного чека, который выдается для разового расчета физическ</w:t>
      </w:r>
      <w:r>
        <w:rPr>
          <w:sz w:val="24"/>
          <w:lang w:val="ru-RU"/>
        </w:rPr>
        <w:t xml:space="preserve">ого лица - </w:t>
      </w:r>
      <w:r>
        <w:rPr>
          <w:sz w:val="24"/>
        </w:rPr>
        <w:t xml:space="preserve"> три месяца.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b/>
          <w:bCs/>
          <w:sz w:val="24"/>
        </w:rPr>
        <w:t>Аккредитив</w:t>
      </w:r>
      <w:r>
        <w:rPr>
          <w:sz w:val="24"/>
        </w:rPr>
        <w:t xml:space="preserve"> является денежным обязательством банка, которое выдается им по доверенности клиента в пользу его контрагента по договору, согласно которому банк, который открыл аккредитив (банк-эмитент), может осуществить поставщику платеж или предоставить другому банка полномочия осуществлять такие платежи на условиях предъявления документов, предусмотренных в аккредитиве.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sz w:val="24"/>
        </w:rPr>
        <w:t>Аккредитивная форма расчетов, кроме Инструкции НБУ о безналичных рас</w:t>
      </w:r>
      <w:r>
        <w:rPr>
          <w:sz w:val="24"/>
        </w:rPr>
        <w:softHyphen/>
        <w:t>четах, регламентируется также Унифицированными правилами и обычаями для документарных аккредитивов в редакции 1993 г. (публ. Международной торговой палаты № 500)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Виды аккредитивов: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1. по обеспеченности средствами плательщика: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а) покрытый — аккредитив, при котором своевременно бронируются средства  плательщика в полной сумме на отдельном счете в банке;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б)  непокрытый  —  аккредитив,  оплата  по  которому гарантируется  банком-эмитентом за счет банковского кредита;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2. по возможности досрочного отзыва неисполненного аккредитива: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а) отзывный  — аккредитив,  который может быть заменен или аннулирован банком-эмитентом без предварительного согласования с бенефициаром;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б) безотзывный — аккредитив, который может быть заменен или аннулиро</w:t>
      </w:r>
      <w:r>
        <w:rPr>
          <w:sz w:val="24"/>
        </w:rPr>
        <w:softHyphen/>
        <w:t>ван только с согласия бенефициара, в пользу которого он открыт.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В случае отсутствия указания в аккредитиве он считается безотзывным. Аккредитив может открываться для расчетов только с одним поставщиком. Действующая Инструкция НБУ о безналичных расчетах, как  и УПДА,  не устанавливают  предельный  срок,   на  который   может  быть  открыт   аккредитив. В то же время действовавшие ранее банковские правила ограничивали его 30 днями.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Аккредитив может быть депонирован (размешен) в банке бенефициара (поставщика) либо в банке плательщика (грузополучателя) согласно условиям аккре</w:t>
      </w:r>
      <w:r>
        <w:rPr>
          <w:sz w:val="24"/>
        </w:rPr>
        <w:softHyphen/>
        <w:t>дитива. Бенефициар для получения платежа по аккредитиву подает реестр счетов и предусмотренные условиями аккредитива документы в тот банк, в котором де</w:t>
      </w:r>
      <w:r>
        <w:rPr>
          <w:sz w:val="24"/>
        </w:rPr>
        <w:softHyphen/>
        <w:t>понирован аккредитив. Банк производит платеж по аккредитиву если документы соответствуют условиям аккредитивного соглашения.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b/>
          <w:bCs/>
          <w:sz w:val="24"/>
        </w:rPr>
        <w:t>Вексель</w:t>
      </w:r>
      <w:r>
        <w:rPr>
          <w:sz w:val="24"/>
        </w:rPr>
        <w:t xml:space="preserve"> - это ценная бумага, которая удостоверяет безусловное денежное обязательство векселедателя уплатить после наступления срока определенную сумму денег собственнику векселя (векселедержателю). Интегративность здесь предопределена, во-первых, совмещением в векселе кредитного и расчетного инструмента, во-вторых, участием при погашении векселя других форм расчетов — платежного поручения, требования-поручения. Безусловность векселя означает, что обязательство платежа по векселю долж</w:t>
      </w:r>
      <w:r>
        <w:rPr>
          <w:sz w:val="24"/>
        </w:rPr>
        <w:softHyphen/>
        <w:t>но быть простым и не обремененным какими бы то ни было условиями и оговор</w:t>
      </w:r>
      <w:r>
        <w:rPr>
          <w:sz w:val="24"/>
        </w:rPr>
        <w:softHyphen/>
        <w:t>ками или ссылками на них. Абстрактность векселя означает оторванность от основополагающей сделки как текстуально, так и по существу, когда должник не вправе защищаться против добросовестного векселедержателя возражениями, ос</w:t>
      </w:r>
      <w:r>
        <w:rPr>
          <w:sz w:val="24"/>
        </w:rPr>
        <w:softHyphen/>
        <w:t xml:space="preserve">нованными на дефектах и неисполнении сделки, предшествовавшей выдаче или передаче векселя. 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sz w:val="24"/>
        </w:rPr>
        <w:t>Основой регламентации вексельных операций в Украине является указанный выше Закон Украины «Об обращении векселей в Украине», Женевская конвен</w:t>
      </w:r>
      <w:r>
        <w:rPr>
          <w:sz w:val="24"/>
        </w:rPr>
        <w:softHyphen/>
        <w:t>ция от 1930 г., устанавливающая Единообразный закон о переводном и простом векселе, Закон Украины «О ценных бумагах и фондовой бирже», Указ Прези</w:t>
      </w:r>
      <w:r>
        <w:rPr>
          <w:sz w:val="24"/>
        </w:rPr>
        <w:softHyphen/>
        <w:t>дента Украины «Об уплате государственной пошлины за вексельные бланки» от 2 ноября 1993 г., Правила изготовления и использования вексельных бланков, утвержденные постановлением Кабинета Министров Украины и НБУ от 10 сен</w:t>
      </w:r>
      <w:r>
        <w:rPr>
          <w:sz w:val="24"/>
        </w:rPr>
        <w:softHyphen/>
        <w:t>тября 1992 г., Положение об операциях банков с векселями, утвержденное поста</w:t>
      </w:r>
      <w:r>
        <w:rPr>
          <w:sz w:val="24"/>
        </w:rPr>
        <w:softHyphen/>
        <w:t>новлением Правления НБУ от 28 мая 1999 г.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Различают два вида векселей: простой и переводной (ст. 21 Закона «О ценных бумагах и фондовой бирже»),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Простой вексель</w:t>
      </w:r>
      <w:r>
        <w:rPr>
          <w:sz w:val="24"/>
        </w:rPr>
        <w:t xml:space="preserve"> - это составленный </w:t>
      </w:r>
      <w:r>
        <w:rPr>
          <w:sz w:val="24"/>
          <w:lang w:val="ru-RU"/>
        </w:rPr>
        <w:t>по</w:t>
      </w:r>
      <w:r>
        <w:rPr>
          <w:sz w:val="24"/>
        </w:rPr>
        <w:t xml:space="preserve"> строго определенной формой документ, по которому должник (векселедатель) принимает на себя абстрактное, ничем не обусловленное обязательство в указанный срок или по требованию произвести платеж кредитору (векселедержателю) или тому, кому он укажет. При простом векселе плательщиком является сам векселедатель.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Переводной вексель (тратта)</w:t>
      </w:r>
      <w:r>
        <w:rPr>
          <w:sz w:val="24"/>
        </w:rPr>
        <w:t xml:space="preserve"> — составленный по строго определенной формой документ, в котором помещается простая и ничем не обусловленная пропозиция должника, векселедателя (трансанта) другому лицу, плательщику (трассату) в указанный срок произвести платеж кредитору, векселедержателю (ремитенту) или тому, кому он укажет.</w:t>
      </w:r>
      <w:r>
        <w:rPr>
          <w:sz w:val="24"/>
          <w:lang w:val="ru-RU"/>
        </w:rPr>
        <w:t xml:space="preserve"> </w:t>
      </w:r>
      <w:r>
        <w:rPr>
          <w:sz w:val="24"/>
        </w:rPr>
        <w:t xml:space="preserve">Переводной вексель отличается от простого тем, что в этом случае векселедатель сам платежа не осуществляет, а передаёт эти обязанности своему должнику (плательщика по векселю). 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Расчеты в порядке инкассо</w:t>
      </w:r>
      <w:r>
        <w:rPr>
          <w:sz w:val="24"/>
        </w:rPr>
        <w:t xml:space="preserve"> — интегративная форма расчетов, при которой получатель средств поручает обслуживающему его банковскому учреждению по</w:t>
      </w:r>
      <w:r>
        <w:rPr>
          <w:sz w:val="24"/>
        </w:rPr>
        <w:softHyphen/>
        <w:t>лучить денежный платеж с плательщика против коммерческих документов или в результате иных инструкций.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В хозяйственном обороте Украины распространено инкассо чеков и векселей, когда банковские учреждения принимают на себя обязательство осуществить комплекс мероприятий по предоставлению соответствующих документов к оплате плательщикам в требуемые сроки и порядке, в том числе с выполнением сопут</w:t>
      </w:r>
      <w:r>
        <w:rPr>
          <w:sz w:val="24"/>
        </w:rPr>
        <w:softHyphen/>
        <w:t>ствующих процедур (например, предъявить вексель к протесту в неплатеже).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b/>
          <w:bCs/>
          <w:sz w:val="24"/>
        </w:rPr>
        <w:t>Платежное требование</w:t>
      </w:r>
      <w:r>
        <w:rPr>
          <w:sz w:val="24"/>
        </w:rPr>
        <w:t xml:space="preserve"> - это документ, который содержит требование предприятия, учреждения, организации на безакцептное списание (бесспорное взыскание) денежных средств в случаях, установленных законодательством.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Бесспорное взыскание средств</w:t>
      </w:r>
      <w:r>
        <w:rPr>
          <w:sz w:val="24"/>
        </w:rPr>
        <w:t xml:space="preserve"> — мера публично-правового характера, при которой н установленных законами Украины случаях решением публичного органа заинтересованное лицо наделяется правом получить денежный платеж с банков</w:t>
      </w:r>
      <w:r>
        <w:rPr>
          <w:sz w:val="24"/>
        </w:rPr>
        <w:softHyphen/>
        <w:t>ского счета должника п принудительном порядке («взыскать»).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Безакцептное списание средств</w:t>
      </w:r>
      <w:r>
        <w:rPr>
          <w:sz w:val="24"/>
        </w:rPr>
        <w:t xml:space="preserve"> — мера частнопубличного характера, при</w:t>
      </w:r>
      <w:r>
        <w:rPr>
          <w:sz w:val="24"/>
        </w:rPr>
        <w:softHyphen/>
        <w:t>меняемая в диспозитивных хозяйственных отношениях, при которой в установлен</w:t>
      </w:r>
      <w:r>
        <w:rPr>
          <w:sz w:val="24"/>
        </w:rPr>
        <w:softHyphen/>
        <w:t>ных законами Украины случаях реализуется презумпция добросовестности субъ</w:t>
      </w:r>
      <w:r>
        <w:rPr>
          <w:sz w:val="24"/>
        </w:rPr>
        <w:softHyphen/>
        <w:t>екта хозяйствования путем наделения его правом после исполнения своей части хозяйственного обязательства получить через банк денежный платеж с контраген</w:t>
      </w:r>
      <w:r>
        <w:rPr>
          <w:sz w:val="24"/>
        </w:rPr>
        <w:softHyphen/>
        <w:t>та без его на то согласия («без акцепта»).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Основаниями для осуществления бесспорного взыскания (безакцептного списания) средств соответственно действующему законодательству Украины могут быть исполнительные документы в соответствии с: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решением судов и арбитражных судов;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ст. 8 Арбитражного процессуального кодекса Украины о списании в бесспорном порядке признанной должником суммы претензии по распоряжению заявителя претензии;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постановлением Верховной Рады Украины от 25 июня 1993 г. «О нормативе оборота платежных документов Украины» и п. 5 постановления Верховной Рады Украины от 22 декабря 1993 г. «О мероприятиях по стабилизации социально-экономического положения в Украине» о безакцентном списании сумм пени за превышение нормативного срока прохождения платежей;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•  другими актами законодательства Украины.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>Бесспорное взыскание и безакцептное списание средства осуществляются на бланке платежного требования, которое подается взыскателем в банк, в котором он обслуживается, в трех экземплярах с сопроводительным реестром в двух экземплярах.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Расчеты в порядке договорного списания</w:t>
      </w:r>
      <w:r>
        <w:rPr>
          <w:sz w:val="24"/>
        </w:rPr>
        <w:t xml:space="preserve"> являются самостоятельной инстру</w:t>
      </w:r>
      <w:r>
        <w:rPr>
          <w:sz w:val="24"/>
        </w:rPr>
        <w:softHyphen/>
        <w:t>ментальной формой расчетов по отношению к принудительному списанию (взы</w:t>
      </w:r>
      <w:r>
        <w:rPr>
          <w:sz w:val="24"/>
        </w:rPr>
        <w:softHyphen/>
        <w:t>сканию) средств. Понятие «договорное списание» установлено в Законе Украины «О платежных системах и переводе денег в Украине» и охватывает собой проце</w:t>
      </w:r>
      <w:r>
        <w:rPr>
          <w:sz w:val="24"/>
        </w:rPr>
        <w:softHyphen/>
        <w:t>дуру, когда на основании ст. 26 Закона Украины «О банках и банковской дея</w:t>
      </w:r>
      <w:r>
        <w:rPr>
          <w:sz w:val="24"/>
        </w:rPr>
        <w:softHyphen/>
        <w:t>тельности»  банк реализует платежное требование, инициированное получателем, во исполнение соответствующего согла</w:t>
      </w:r>
      <w:r>
        <w:rPr>
          <w:sz w:val="24"/>
        </w:rPr>
        <w:softHyphen/>
        <w:t>сования между плательщиком и получателем, закрепленного в заключенном меж</w:t>
      </w:r>
      <w:r>
        <w:rPr>
          <w:sz w:val="24"/>
        </w:rPr>
        <w:softHyphen/>
        <w:t>ду ними хозяйственном договоре. Хотя по своей природе договорное списание по</w:t>
      </w:r>
      <w:r>
        <w:rPr>
          <w:sz w:val="24"/>
        </w:rPr>
        <w:softHyphen/>
        <w:t>добно безакцептному списанию, однако последнее отличается императивностью, так как его случаи прямо предписываются законодательством.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i/>
          <w:iCs/>
          <w:sz w:val="24"/>
        </w:rPr>
        <w:t>Расчеты, основанные на зачете взаимной задолженности</w:t>
      </w:r>
      <w:r>
        <w:rPr>
          <w:sz w:val="24"/>
        </w:rPr>
        <w:t xml:space="preserve"> — это интегративная форма расчетов, при которой взаимные обязательства должников и креди</w:t>
      </w:r>
      <w:r>
        <w:rPr>
          <w:sz w:val="24"/>
        </w:rPr>
        <w:softHyphen/>
        <w:t>торов друг к другу погашаются в равновеликих суммах, а на разницу осуществля</w:t>
      </w:r>
      <w:r>
        <w:rPr>
          <w:sz w:val="24"/>
        </w:rPr>
        <w:softHyphen/>
        <w:t>ется платеж на общих основаниях, то есть с использованном платежного поручения, платежного требования-поручения, чека либо векселя.</w:t>
      </w:r>
    </w:p>
    <w:p w:rsidR="00395DC4" w:rsidRDefault="00395DC4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Структурированным видом зачета взаимных требований участников платежей следует признать </w:t>
      </w:r>
      <w:r>
        <w:rPr>
          <w:i/>
          <w:iCs/>
          <w:sz w:val="24"/>
        </w:rPr>
        <w:t>клиринг</w:t>
      </w:r>
      <w:r>
        <w:rPr>
          <w:sz w:val="24"/>
        </w:rPr>
        <w:t>, который в ст. 1 Закона Украины «О платежных сис</w:t>
      </w:r>
      <w:r>
        <w:rPr>
          <w:sz w:val="24"/>
        </w:rPr>
        <w:softHyphen/>
        <w:t>темах и переводе денег в Украине» понимается как механизм, включающий сбор, сортировку, реконсиляцию (контроль) и проведение взаимозачета взаимных тре</w:t>
      </w:r>
      <w:r>
        <w:rPr>
          <w:sz w:val="24"/>
        </w:rPr>
        <w:softHyphen/>
        <w:t>бований финансовых учреждений, а также вычисление по каждому из них сум</w:t>
      </w:r>
      <w:r>
        <w:rPr>
          <w:sz w:val="24"/>
        </w:rPr>
        <w:softHyphen/>
        <w:t>марного остатка на определенный период времени между общими объемами тре</w:t>
      </w:r>
      <w:r>
        <w:rPr>
          <w:sz w:val="24"/>
        </w:rPr>
        <w:softHyphen/>
        <w:t>бований и обязательств.</w:t>
      </w: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</w:p>
    <w:p w:rsidR="00395DC4" w:rsidRDefault="00395DC4">
      <w:pPr>
        <w:pStyle w:val="a5"/>
        <w:spacing w:line="240" w:lineRule="auto"/>
        <w:rPr>
          <w:sz w:val="24"/>
          <w:lang w:val="ru-RU"/>
        </w:rPr>
      </w:pPr>
      <w:r>
        <w:rPr>
          <w:sz w:val="24"/>
          <w:lang w:val="ru-RU"/>
        </w:rPr>
        <w:br w:type="page"/>
      </w:r>
    </w:p>
    <w:p w:rsidR="00395DC4" w:rsidRDefault="00395DC4">
      <w:pPr>
        <w:pStyle w:val="a5"/>
        <w:spacing w:line="240" w:lineRule="auto"/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Список литературы</w:t>
      </w:r>
    </w:p>
    <w:p w:rsidR="00395DC4" w:rsidRDefault="00395DC4">
      <w:pPr>
        <w:pStyle w:val="a5"/>
        <w:numPr>
          <w:ilvl w:val="0"/>
          <w:numId w:val="21"/>
        </w:numPr>
        <w:spacing w:line="240" w:lineRule="auto"/>
        <w:rPr>
          <w:sz w:val="24"/>
          <w:lang w:val="ru-RU"/>
        </w:rPr>
      </w:pPr>
      <w:r>
        <w:rPr>
          <w:sz w:val="24"/>
          <w:lang w:val="ru-RU"/>
        </w:rPr>
        <w:t>Пилипенко А.Я., Щербина В.С.   Господарське право: Курс лекцій – К.: Вентурі, 1996. – 288с.</w:t>
      </w:r>
    </w:p>
    <w:p w:rsidR="00395DC4" w:rsidRDefault="00395DC4">
      <w:pPr>
        <w:pStyle w:val="a5"/>
        <w:numPr>
          <w:ilvl w:val="0"/>
          <w:numId w:val="21"/>
        </w:numPr>
        <w:spacing w:line="240" w:lineRule="auto"/>
        <w:rPr>
          <w:sz w:val="24"/>
          <w:lang w:val="ru-RU"/>
        </w:rPr>
      </w:pPr>
      <w:r>
        <w:rPr>
          <w:sz w:val="24"/>
          <w:lang w:val="ru-RU"/>
        </w:rPr>
        <w:t>Щербина В.С. Господарське право України: навчальний посібник. – К.: Атіка, 1999. – 336с.</w:t>
      </w:r>
    </w:p>
    <w:p w:rsidR="00395DC4" w:rsidRDefault="00395DC4">
      <w:pPr>
        <w:pStyle w:val="a5"/>
        <w:numPr>
          <w:ilvl w:val="0"/>
          <w:numId w:val="21"/>
        </w:numPr>
        <w:spacing w:line="240" w:lineRule="auto"/>
        <w:rPr>
          <w:sz w:val="24"/>
          <w:lang w:val="ru-RU"/>
        </w:rPr>
      </w:pPr>
      <w:r>
        <w:rPr>
          <w:sz w:val="24"/>
          <w:lang w:val="ru-RU"/>
        </w:rPr>
        <w:t>Хозяйственное право под общей редакцией Мамутова В. К. – К. Юринком Интер, 2002. – 912с.</w:t>
      </w:r>
    </w:p>
    <w:p w:rsidR="00395DC4" w:rsidRDefault="00395DC4">
      <w:pPr>
        <w:pStyle w:val="a5"/>
        <w:spacing w:line="240" w:lineRule="auto"/>
        <w:ind w:left="684" w:firstLine="0"/>
        <w:rPr>
          <w:sz w:val="24"/>
          <w:lang w:val="ru-RU"/>
        </w:rPr>
      </w:pPr>
    </w:p>
    <w:p w:rsidR="00395DC4" w:rsidRDefault="00395DC4">
      <w:pPr>
        <w:pStyle w:val="a5"/>
        <w:spacing w:line="240" w:lineRule="auto"/>
        <w:ind w:left="797" w:firstLine="0"/>
        <w:rPr>
          <w:sz w:val="24"/>
          <w:lang w:val="ru-RU"/>
        </w:rPr>
      </w:pPr>
    </w:p>
    <w:p w:rsidR="00395DC4" w:rsidRDefault="00395DC4">
      <w:pPr>
        <w:widowControl w:val="0"/>
        <w:autoSpaceDE w:val="0"/>
        <w:autoSpaceDN w:val="0"/>
        <w:adjustRightInd w:val="0"/>
        <w:jc w:val="both"/>
        <w:rPr>
          <w:szCs w:val="20"/>
          <w:lang w:val="uk-UA"/>
        </w:rPr>
      </w:pPr>
    </w:p>
    <w:p w:rsidR="00395DC4" w:rsidRDefault="00395DC4">
      <w:pPr>
        <w:widowControl w:val="0"/>
        <w:autoSpaceDE w:val="0"/>
        <w:autoSpaceDN w:val="0"/>
        <w:adjustRightInd w:val="0"/>
        <w:jc w:val="both"/>
      </w:pPr>
    </w:p>
    <w:p w:rsidR="00395DC4" w:rsidRDefault="00395DC4">
      <w:pPr>
        <w:jc w:val="both"/>
      </w:pPr>
      <w:bookmarkStart w:id="0" w:name="_GoBack"/>
      <w:bookmarkEnd w:id="0"/>
    </w:p>
    <w:sectPr w:rsidR="00395DC4">
      <w:footerReference w:type="even" r:id="rId7"/>
      <w:footerReference w:type="default" r:id="rId8"/>
      <w:type w:val="continuous"/>
      <w:pgSz w:w="11909" w:h="16834"/>
      <w:pgMar w:top="567" w:right="567" w:bottom="56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C4" w:rsidRDefault="00395DC4">
      <w:r>
        <w:separator/>
      </w:r>
    </w:p>
  </w:endnote>
  <w:endnote w:type="continuationSeparator" w:id="0">
    <w:p w:rsidR="00395DC4" w:rsidRDefault="0039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DC4" w:rsidRDefault="00395DC4">
    <w:pPr>
      <w:pStyle w:val="a7"/>
      <w:framePr w:wrap="around" w:vAnchor="text" w:hAnchor="margin" w:xAlign="right" w:y="1"/>
      <w:rPr>
        <w:rStyle w:val="a8"/>
      </w:rPr>
    </w:pPr>
  </w:p>
  <w:p w:rsidR="00395DC4" w:rsidRDefault="00395DC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DC4" w:rsidRDefault="00A66726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395DC4" w:rsidRDefault="00395DC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C4" w:rsidRDefault="00395DC4">
      <w:r>
        <w:separator/>
      </w:r>
    </w:p>
  </w:footnote>
  <w:footnote w:type="continuationSeparator" w:id="0">
    <w:p w:rsidR="00395DC4" w:rsidRDefault="0039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635A"/>
    <w:multiLevelType w:val="hybridMultilevel"/>
    <w:tmpl w:val="686ED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15CA8"/>
    <w:multiLevelType w:val="multilevel"/>
    <w:tmpl w:val="A858E5A8"/>
    <w:lvl w:ilvl="0">
      <w:start w:val="1"/>
      <w:numFmt w:val="decimal"/>
      <w:pStyle w:val="Mastylen"/>
      <w:lvlText w:val="%1."/>
      <w:lvlJc w:val="left"/>
      <w:pPr>
        <w:tabs>
          <w:tab w:val="num" w:pos="1021"/>
        </w:tabs>
        <w:ind w:left="1021" w:hanging="6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2">
    <w:nsid w:val="1F8C79B0"/>
    <w:multiLevelType w:val="hybridMultilevel"/>
    <w:tmpl w:val="691E22F6"/>
    <w:lvl w:ilvl="0" w:tplc="A0BCF778"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7871D8"/>
    <w:multiLevelType w:val="hybridMultilevel"/>
    <w:tmpl w:val="782EF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0620C6"/>
    <w:multiLevelType w:val="hybridMultilevel"/>
    <w:tmpl w:val="F3A47F42"/>
    <w:lvl w:ilvl="0" w:tplc="16E8255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5">
    <w:nsid w:val="37DE78DF"/>
    <w:multiLevelType w:val="hybridMultilevel"/>
    <w:tmpl w:val="8E863AA4"/>
    <w:lvl w:ilvl="0" w:tplc="16E82556">
      <w:start w:val="1"/>
      <w:numFmt w:val="bullet"/>
      <w:lvlText w:val="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b w:val="0"/>
        <w:i w:val="0"/>
        <w:sz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6">
    <w:nsid w:val="3DB33FDE"/>
    <w:multiLevelType w:val="hybridMultilevel"/>
    <w:tmpl w:val="C838906E"/>
    <w:lvl w:ilvl="0" w:tplc="A0BCF778">
      <w:numFmt w:val="bullet"/>
      <w:lvlText w:val="-"/>
      <w:lvlJc w:val="left"/>
      <w:pPr>
        <w:tabs>
          <w:tab w:val="num" w:pos="1157"/>
        </w:tabs>
        <w:ind w:left="684" w:firstLine="11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7">
    <w:nsid w:val="3F710BE3"/>
    <w:multiLevelType w:val="hybridMultilevel"/>
    <w:tmpl w:val="6B286A68"/>
    <w:lvl w:ilvl="0" w:tplc="0B78636E">
      <w:start w:val="1"/>
      <w:numFmt w:val="bullet"/>
      <w:lvlText w:val=""/>
      <w:lvlJc w:val="left"/>
      <w:pPr>
        <w:tabs>
          <w:tab w:val="num" w:pos="1068"/>
        </w:tabs>
        <w:ind w:left="1068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464871AC"/>
    <w:multiLevelType w:val="hybridMultilevel"/>
    <w:tmpl w:val="1722B356"/>
    <w:lvl w:ilvl="0" w:tplc="0419000F">
      <w:start w:val="1"/>
      <w:numFmt w:val="decimal"/>
      <w:lvlText w:val="%1."/>
      <w:lvlJc w:val="left"/>
      <w:pPr>
        <w:tabs>
          <w:tab w:val="num" w:pos="1157"/>
        </w:tabs>
        <w:ind w:left="1157" w:hanging="360"/>
      </w:pPr>
    </w:lvl>
    <w:lvl w:ilvl="1" w:tplc="0419000F">
      <w:start w:val="1"/>
      <w:numFmt w:val="decimal"/>
      <w:lvlText w:val="%2."/>
      <w:lvlJc w:val="left"/>
      <w:pPr>
        <w:tabs>
          <w:tab w:val="num" w:pos="2124"/>
        </w:tabs>
        <w:ind w:left="2124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9">
    <w:nsid w:val="46DF1CBC"/>
    <w:multiLevelType w:val="hybridMultilevel"/>
    <w:tmpl w:val="EC3ECE2C"/>
    <w:lvl w:ilvl="0" w:tplc="4FACCE60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0">
    <w:nsid w:val="52887802"/>
    <w:multiLevelType w:val="hybridMultilevel"/>
    <w:tmpl w:val="8B9EAC42"/>
    <w:lvl w:ilvl="0" w:tplc="A0BCF778">
      <w:numFmt w:val="bullet"/>
      <w:lvlText w:val="-"/>
      <w:lvlJc w:val="left"/>
      <w:pPr>
        <w:tabs>
          <w:tab w:val="num" w:pos="1157"/>
        </w:tabs>
        <w:ind w:left="684" w:firstLine="11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1">
    <w:nsid w:val="57C86A19"/>
    <w:multiLevelType w:val="multilevel"/>
    <w:tmpl w:val="D1AE8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5EFA596F"/>
    <w:multiLevelType w:val="hybridMultilevel"/>
    <w:tmpl w:val="7A720B78"/>
    <w:lvl w:ilvl="0" w:tplc="16E82556">
      <w:start w:val="1"/>
      <w:numFmt w:val="bullet"/>
      <w:lvlText w:val="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b w:val="0"/>
        <w:i w:val="0"/>
        <w:sz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3">
    <w:nsid w:val="654C4EB7"/>
    <w:multiLevelType w:val="hybridMultilevel"/>
    <w:tmpl w:val="1722B356"/>
    <w:lvl w:ilvl="0" w:tplc="A0BCF778">
      <w:numFmt w:val="bullet"/>
      <w:lvlText w:val="-"/>
      <w:lvlJc w:val="left"/>
      <w:pPr>
        <w:tabs>
          <w:tab w:val="num" w:pos="1157"/>
        </w:tabs>
        <w:ind w:left="684" w:firstLine="11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4">
    <w:nsid w:val="6E602B05"/>
    <w:multiLevelType w:val="hybridMultilevel"/>
    <w:tmpl w:val="5950A616"/>
    <w:lvl w:ilvl="0" w:tplc="041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5">
    <w:nsid w:val="7773503F"/>
    <w:multiLevelType w:val="hybridMultilevel"/>
    <w:tmpl w:val="7D4A0E48"/>
    <w:lvl w:ilvl="0" w:tplc="1CD2FBB2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6B5F2C"/>
    <w:multiLevelType w:val="multilevel"/>
    <w:tmpl w:val="FA30B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6"/>
  </w:num>
  <w:num w:numId="6">
    <w:abstractNumId w:val="1"/>
  </w:num>
  <w:num w:numId="7">
    <w:abstractNumId w:val="1"/>
  </w:num>
  <w:num w:numId="8">
    <w:abstractNumId w:val="7"/>
  </w:num>
  <w:num w:numId="9">
    <w:abstractNumId w:val="15"/>
  </w:num>
  <w:num w:numId="10">
    <w:abstractNumId w:val="4"/>
  </w:num>
  <w:num w:numId="11">
    <w:abstractNumId w:val="0"/>
  </w:num>
  <w:num w:numId="12">
    <w:abstractNumId w:val="12"/>
  </w:num>
  <w:num w:numId="13">
    <w:abstractNumId w:val="5"/>
  </w:num>
  <w:num w:numId="14">
    <w:abstractNumId w:val="6"/>
  </w:num>
  <w:num w:numId="15">
    <w:abstractNumId w:val="2"/>
  </w:num>
  <w:num w:numId="16">
    <w:abstractNumId w:val="10"/>
  </w:num>
  <w:num w:numId="17">
    <w:abstractNumId w:val="13"/>
  </w:num>
  <w:num w:numId="18">
    <w:abstractNumId w:val="8"/>
  </w:num>
  <w:num w:numId="19">
    <w:abstractNumId w:val="3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726"/>
    <w:rsid w:val="001D4B85"/>
    <w:rsid w:val="00395DC4"/>
    <w:rsid w:val="0064662B"/>
    <w:rsid w:val="00A6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6ED62-546D-4E26-8604-D780A2DD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shd w:val="clear" w:color="auto" w:fill="FFFFFF"/>
      <w:ind w:firstLine="284"/>
      <w:jc w:val="center"/>
      <w:outlineLvl w:val="0"/>
    </w:pPr>
    <w:rPr>
      <w:i/>
      <w:iCs/>
      <w:color w:val="000000"/>
      <w:szCs w:val="3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ой стиль"/>
    <w:basedOn w:val="a4"/>
    <w:autoRedefine/>
    <w:pPr>
      <w:numPr>
        <w:numId w:val="4"/>
      </w:numPr>
      <w:spacing w:before="100" w:beforeAutospacing="1" w:after="100" w:afterAutospacing="1"/>
      <w:ind w:left="0" w:firstLine="0"/>
      <w:jc w:val="center"/>
    </w:pPr>
    <w:rPr>
      <w:rFonts w:ascii="Times New (W1)" w:hAnsi="Times New (W1)"/>
      <w:b/>
      <w:bCs/>
      <w:sz w:val="26"/>
    </w:rPr>
  </w:style>
  <w:style w:type="paragraph" w:styleId="a4">
    <w:name w:val="Normal (Web)"/>
    <w:basedOn w:val="a0"/>
    <w:semiHidden/>
  </w:style>
  <w:style w:type="paragraph" w:styleId="10">
    <w:name w:val="toc 1"/>
    <w:basedOn w:val="a"/>
    <w:next w:val="a"/>
    <w:autoRedefine/>
    <w:semiHidden/>
    <w:pPr>
      <w:numPr>
        <w:numId w:val="0"/>
      </w:numPr>
    </w:pPr>
  </w:style>
  <w:style w:type="paragraph" w:styleId="2">
    <w:name w:val="toc 2"/>
    <w:basedOn w:val="a"/>
    <w:next w:val="a"/>
    <w:autoRedefine/>
    <w:semiHidden/>
    <w:pPr>
      <w:numPr>
        <w:numId w:val="0"/>
      </w:numPr>
    </w:pPr>
  </w:style>
  <w:style w:type="paragraph" w:customStyle="1" w:styleId="Mastyle">
    <w:name w:val="Ma style"/>
    <w:basedOn w:val="Mastylen"/>
    <w:next w:val="a4"/>
    <w:autoRedefine/>
    <w:pPr>
      <w:numPr>
        <w:numId w:val="0"/>
      </w:numPr>
    </w:pPr>
  </w:style>
  <w:style w:type="paragraph" w:customStyle="1" w:styleId="Mastylen">
    <w:name w:val="Ma style n"/>
    <w:basedOn w:val="a"/>
    <w:next w:val="a4"/>
    <w:autoRedefine/>
    <w:pPr>
      <w:numPr>
        <w:numId w:val="7"/>
      </w:numPr>
      <w:spacing w:line="336" w:lineRule="auto"/>
    </w:pPr>
    <w:rPr>
      <w:sz w:val="28"/>
      <w:lang w:val="uk-UA"/>
    </w:rPr>
  </w:style>
  <w:style w:type="paragraph" w:customStyle="1" w:styleId="-">
    <w:name w:val="Бизнес-П"/>
    <w:basedOn w:val="a4"/>
    <w:next w:val="a4"/>
    <w:autoRedefine/>
    <w:pPr>
      <w:spacing w:line="336" w:lineRule="auto"/>
      <w:ind w:firstLine="284"/>
      <w:jc w:val="both"/>
    </w:pPr>
    <w:rPr>
      <w:sz w:val="28"/>
      <w:szCs w:val="28"/>
      <w:lang w:val="uk-UA"/>
    </w:rPr>
  </w:style>
  <w:style w:type="paragraph" w:customStyle="1" w:styleId="-0">
    <w:name w:val="Бизнес-план"/>
    <w:basedOn w:val="a4"/>
    <w:autoRedefine/>
    <w:pPr>
      <w:spacing w:line="336" w:lineRule="auto"/>
      <w:ind w:firstLine="708"/>
      <w:jc w:val="both"/>
    </w:pPr>
    <w:rPr>
      <w:rFonts w:ascii="Times New (W1)" w:hAnsi="Times New (W1)"/>
      <w:sz w:val="28"/>
    </w:rPr>
  </w:style>
  <w:style w:type="paragraph" w:customStyle="1" w:styleId="AAA">
    <w:name w:val="AAA"/>
    <w:basedOn w:val="3"/>
    <w:autoRedefine/>
    <w:pPr>
      <w:spacing w:after="0" w:line="336" w:lineRule="auto"/>
      <w:ind w:left="0" w:firstLine="567"/>
      <w:jc w:val="both"/>
    </w:pPr>
    <w:rPr>
      <w:sz w:val="28"/>
      <w:szCs w:val="24"/>
    </w:rPr>
  </w:style>
  <w:style w:type="paragraph" w:styleId="3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0"/>
    <w:semiHidden/>
    <w:pPr>
      <w:widowControl w:val="0"/>
      <w:autoSpaceDE w:val="0"/>
      <w:autoSpaceDN w:val="0"/>
      <w:adjustRightInd w:val="0"/>
      <w:spacing w:line="360" w:lineRule="auto"/>
      <w:ind w:firstLine="684"/>
      <w:jc w:val="both"/>
    </w:pPr>
    <w:rPr>
      <w:sz w:val="20"/>
      <w:szCs w:val="20"/>
      <w:lang w:val="uk-UA"/>
    </w:rPr>
  </w:style>
  <w:style w:type="paragraph" w:styleId="a6">
    <w:name w:val="Body Text"/>
    <w:basedOn w:val="a0"/>
    <w:semiHidden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  <w:lang w:val="uk-UA"/>
    </w:rPr>
  </w:style>
  <w:style w:type="paragraph" w:styleId="20">
    <w:name w:val="Body Text 2"/>
    <w:basedOn w:val="a0"/>
    <w:semiHidden/>
    <w:pPr>
      <w:autoSpaceDE w:val="0"/>
      <w:autoSpaceDN w:val="0"/>
      <w:spacing w:line="360" w:lineRule="auto"/>
      <w:ind w:right="-1" w:firstLine="851"/>
      <w:jc w:val="both"/>
    </w:pPr>
    <w:rPr>
      <w:sz w:val="28"/>
      <w:szCs w:val="28"/>
    </w:rPr>
  </w:style>
  <w:style w:type="paragraph" w:styleId="a7">
    <w:name w:val="footer"/>
    <w:basedOn w:val="a0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4858</Words>
  <Characters>27693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•ч Раздел XVII</vt:lpstr>
    </vt:vector>
  </TitlesOfParts>
  <Company>Home</Company>
  <LinksUpToDate>false</LinksUpToDate>
  <CharactersWithSpaces>32487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•ч Раздел XVII</dc:title>
  <dc:subject/>
  <dc:creator>Ира</dc:creator>
  <cp:keywords/>
  <dc:description>Translated By Plaj</dc:description>
  <cp:lastModifiedBy>Irina</cp:lastModifiedBy>
  <cp:revision>2</cp:revision>
  <cp:lastPrinted>2004-03-30T18:29:00Z</cp:lastPrinted>
  <dcterms:created xsi:type="dcterms:W3CDTF">2014-08-06T16:44:00Z</dcterms:created>
  <dcterms:modified xsi:type="dcterms:W3CDTF">2014-08-06T16:44:00Z</dcterms:modified>
</cp:coreProperties>
</file>