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24F2" w:rsidRDefault="001124F2">
      <w:pPr>
        <w:jc w:val="center"/>
        <w:rPr>
          <w:rFonts w:ascii="Courier New" w:hAnsi="Courier New"/>
          <w:b/>
          <w:i/>
          <w:sz w:val="32"/>
        </w:rPr>
      </w:pPr>
      <w:r>
        <w:rPr>
          <w:rFonts w:ascii="Courier New" w:hAnsi="Courier New"/>
          <w:b/>
          <w:i/>
          <w:sz w:val="32"/>
        </w:rPr>
        <w:t>Министерство экономического развития и торговли Российской Федерации</w:t>
      </w:r>
    </w:p>
    <w:p w:rsidR="001124F2" w:rsidRDefault="001124F2">
      <w:pPr>
        <w:jc w:val="center"/>
        <w:outlineLvl w:val="0"/>
      </w:pPr>
      <w:r>
        <w:rPr>
          <w:rFonts w:ascii="Courier New" w:hAnsi="Courier New"/>
          <w:b/>
          <w:i/>
          <w:sz w:val="32"/>
        </w:rPr>
        <w:t>Сибайский торгово-экономический колледж</w:t>
      </w:r>
    </w:p>
    <w:p w:rsidR="001124F2" w:rsidRDefault="001124F2">
      <w:pPr>
        <w:pStyle w:val="ab"/>
        <w:spacing w:before="0" w:after="0"/>
      </w:pPr>
    </w:p>
    <w:p w:rsidR="001124F2" w:rsidRDefault="001124F2">
      <w:pPr>
        <w:pStyle w:val="ab"/>
        <w:spacing w:before="0" w:after="0"/>
      </w:pPr>
    </w:p>
    <w:p w:rsidR="001124F2" w:rsidRDefault="001124F2">
      <w:pPr>
        <w:pStyle w:val="ab"/>
        <w:spacing w:before="0" w:after="0"/>
      </w:pPr>
    </w:p>
    <w:p w:rsidR="001124F2" w:rsidRDefault="001124F2">
      <w:pPr>
        <w:pStyle w:val="ac"/>
        <w:ind w:firstLine="3544"/>
        <w:outlineLvl w:val="0"/>
        <w:rPr>
          <w:rFonts w:ascii="Times New Roman" w:hAnsi="Times New Roman"/>
          <w:b/>
          <w:sz w:val="28"/>
        </w:rPr>
      </w:pPr>
      <w:r>
        <w:rPr>
          <w:rFonts w:ascii="Times New Roman" w:hAnsi="Times New Roman"/>
          <w:b/>
          <w:sz w:val="28"/>
        </w:rPr>
        <w:t>Специальность: 0201 «Правоведение»</w:t>
      </w:r>
    </w:p>
    <w:p w:rsidR="001124F2" w:rsidRDefault="001124F2">
      <w:pPr>
        <w:pStyle w:val="ac"/>
        <w:ind w:firstLine="3544"/>
        <w:outlineLvl w:val="0"/>
        <w:rPr>
          <w:rFonts w:ascii="Times New Roman" w:hAnsi="Times New Roman"/>
          <w:b/>
          <w:sz w:val="28"/>
        </w:rPr>
      </w:pPr>
      <w:r>
        <w:rPr>
          <w:rFonts w:ascii="Times New Roman" w:hAnsi="Times New Roman"/>
          <w:b/>
          <w:sz w:val="28"/>
        </w:rPr>
        <w:t>Группа: 9901</w:t>
      </w:r>
      <w:r>
        <w:rPr>
          <w:rFonts w:ascii="Times New Roman" w:hAnsi="Times New Roman"/>
          <w:b/>
          <w:sz w:val="28"/>
          <w:vertAlign w:val="superscript"/>
        </w:rPr>
        <w:t>б</w:t>
      </w:r>
    </w:p>
    <w:p w:rsidR="001124F2" w:rsidRDefault="001124F2">
      <w:pPr>
        <w:pStyle w:val="ac"/>
        <w:ind w:firstLine="3544"/>
        <w:outlineLvl w:val="0"/>
        <w:rPr>
          <w:sz w:val="40"/>
        </w:rPr>
      </w:pPr>
      <w:r>
        <w:rPr>
          <w:rFonts w:ascii="Times New Roman" w:hAnsi="Times New Roman"/>
          <w:b/>
          <w:sz w:val="28"/>
        </w:rPr>
        <w:t>Ф.И.О. студента: Мустафин Артур Рафаэлевич</w:t>
      </w:r>
    </w:p>
    <w:p w:rsidR="001124F2" w:rsidRDefault="001124F2"/>
    <w:p w:rsidR="001124F2" w:rsidRDefault="001124F2">
      <w:pPr>
        <w:pStyle w:val="a6"/>
      </w:pPr>
    </w:p>
    <w:p w:rsidR="001124F2" w:rsidRDefault="001124F2">
      <w:pPr>
        <w:pStyle w:val="ac"/>
        <w:jc w:val="center"/>
        <w:outlineLvl w:val="0"/>
        <w:rPr>
          <w:rFonts w:ascii="Courier New" w:hAnsi="Courier New"/>
          <w:b/>
          <w:i/>
          <w:sz w:val="140"/>
        </w:rPr>
      </w:pPr>
      <w:r>
        <w:rPr>
          <w:rFonts w:ascii="Courier New" w:hAnsi="Courier New"/>
          <w:b/>
          <w:i/>
          <w:sz w:val="140"/>
        </w:rPr>
        <w:t>Дипломная</w:t>
      </w:r>
    </w:p>
    <w:p w:rsidR="001124F2" w:rsidRDefault="001124F2">
      <w:pPr>
        <w:pStyle w:val="ac"/>
        <w:jc w:val="center"/>
        <w:rPr>
          <w:i/>
          <w:sz w:val="96"/>
        </w:rPr>
      </w:pPr>
      <w:r>
        <w:rPr>
          <w:rFonts w:ascii="Courier New" w:hAnsi="Courier New"/>
          <w:b/>
          <w:i/>
          <w:sz w:val="140"/>
        </w:rPr>
        <w:t>работа</w:t>
      </w:r>
    </w:p>
    <w:p w:rsidR="001124F2" w:rsidRDefault="001124F2">
      <w:pPr>
        <w:pStyle w:val="ac"/>
        <w:ind w:left="2410" w:hanging="2410"/>
        <w:jc w:val="both"/>
        <w:rPr>
          <w:rFonts w:ascii="Courier New" w:hAnsi="Courier New"/>
          <w:sz w:val="32"/>
        </w:rPr>
      </w:pPr>
      <w:r>
        <w:rPr>
          <w:rFonts w:ascii="Courier New" w:hAnsi="Courier New"/>
          <w:sz w:val="32"/>
        </w:rPr>
        <w:t>На тему: «Роль налогов в формировании бюджета Российской Федерации»</w:t>
      </w:r>
    </w:p>
    <w:p w:rsidR="001124F2" w:rsidRDefault="001124F2">
      <w:pPr>
        <w:pStyle w:val="ac"/>
        <w:ind w:left="1985" w:hanging="1985"/>
        <w:rPr>
          <w:rFonts w:ascii="Courier New" w:hAnsi="Courier New"/>
          <w:sz w:val="32"/>
        </w:rPr>
      </w:pPr>
    </w:p>
    <w:p w:rsidR="001124F2" w:rsidRDefault="001124F2">
      <w:pPr>
        <w:pStyle w:val="ac"/>
        <w:ind w:left="1985" w:hanging="1985"/>
        <w:rPr>
          <w:rFonts w:ascii="Courier New" w:hAnsi="Courier New"/>
          <w:sz w:val="32"/>
        </w:rPr>
      </w:pPr>
    </w:p>
    <w:p w:rsidR="001124F2" w:rsidRDefault="001124F2">
      <w:pPr>
        <w:pStyle w:val="ac"/>
        <w:ind w:left="1985" w:hanging="1985"/>
        <w:rPr>
          <w:rFonts w:ascii="Courier New" w:hAnsi="Courier New"/>
          <w:sz w:val="32"/>
        </w:rPr>
      </w:pPr>
    </w:p>
    <w:tbl>
      <w:tblPr>
        <w:tblW w:w="0" w:type="auto"/>
        <w:tblLayout w:type="fixed"/>
        <w:tblLook w:val="0000" w:firstRow="0" w:lastRow="0" w:firstColumn="0" w:lastColumn="0" w:noHBand="0" w:noVBand="0"/>
      </w:tblPr>
      <w:tblGrid>
        <w:gridCol w:w="5068"/>
        <w:gridCol w:w="2695"/>
        <w:gridCol w:w="2373"/>
      </w:tblGrid>
      <w:tr w:rsidR="001124F2">
        <w:tc>
          <w:tcPr>
            <w:tcW w:w="5068" w:type="dxa"/>
          </w:tcPr>
          <w:p w:rsidR="001124F2" w:rsidRDefault="001124F2">
            <w:pPr>
              <w:pStyle w:val="ac"/>
              <w:rPr>
                <w:rFonts w:ascii="Courier New" w:hAnsi="Courier New"/>
                <w:sz w:val="28"/>
              </w:rPr>
            </w:pPr>
            <w:r>
              <w:rPr>
                <w:rFonts w:ascii="Courier New" w:hAnsi="Courier New"/>
                <w:sz w:val="28"/>
              </w:rPr>
              <w:t>Допущен к защите:___________</w:t>
            </w:r>
          </w:p>
          <w:p w:rsidR="001124F2" w:rsidRDefault="001124F2">
            <w:pPr>
              <w:pStyle w:val="ac"/>
              <w:rPr>
                <w:rFonts w:ascii="Courier New" w:hAnsi="Courier New"/>
                <w:sz w:val="28"/>
              </w:rPr>
            </w:pPr>
            <w:r>
              <w:rPr>
                <w:rFonts w:ascii="Courier New" w:hAnsi="Courier New"/>
                <w:sz w:val="28"/>
              </w:rPr>
              <w:t>Директор СТЭК:______________</w:t>
            </w:r>
          </w:p>
          <w:p w:rsidR="001124F2" w:rsidRDefault="001124F2">
            <w:pPr>
              <w:pStyle w:val="ac"/>
              <w:rPr>
                <w:rFonts w:ascii="Courier New" w:hAnsi="Courier New"/>
                <w:sz w:val="28"/>
              </w:rPr>
            </w:pPr>
            <w:r>
              <w:rPr>
                <w:rFonts w:ascii="Courier New" w:hAnsi="Courier New"/>
                <w:sz w:val="28"/>
              </w:rPr>
              <w:t>____________________________</w:t>
            </w:r>
          </w:p>
          <w:p w:rsidR="001124F2" w:rsidRDefault="001124F2">
            <w:pPr>
              <w:pStyle w:val="ac"/>
              <w:rPr>
                <w:rFonts w:ascii="Courier New" w:hAnsi="Courier New"/>
                <w:sz w:val="28"/>
              </w:rPr>
            </w:pPr>
            <w:r>
              <w:rPr>
                <w:rFonts w:ascii="Courier New" w:hAnsi="Courier New"/>
                <w:sz w:val="28"/>
              </w:rPr>
              <w:t>С.М. Хайбуллина</w:t>
            </w:r>
          </w:p>
        </w:tc>
        <w:tc>
          <w:tcPr>
            <w:tcW w:w="5068" w:type="dxa"/>
            <w:gridSpan w:val="2"/>
          </w:tcPr>
          <w:p w:rsidR="001124F2" w:rsidRDefault="001124F2">
            <w:pPr>
              <w:pStyle w:val="ac"/>
              <w:rPr>
                <w:rFonts w:ascii="Courier New" w:hAnsi="Courier New"/>
                <w:b/>
              </w:rPr>
            </w:pPr>
            <w:r>
              <w:rPr>
                <w:rFonts w:ascii="Courier New" w:hAnsi="Courier New"/>
                <w:b/>
              </w:rPr>
              <w:t>Руководитель:_______________</w:t>
            </w:r>
          </w:p>
          <w:p w:rsidR="001124F2" w:rsidRDefault="001124F2">
            <w:pPr>
              <w:pStyle w:val="ac"/>
              <w:rPr>
                <w:rFonts w:ascii="Courier New" w:hAnsi="Courier New"/>
                <w:b/>
              </w:rPr>
            </w:pPr>
            <w:r>
              <w:rPr>
                <w:rFonts w:ascii="Courier New" w:hAnsi="Courier New"/>
                <w:b/>
              </w:rPr>
              <w:t>Дипломат:___________________</w:t>
            </w:r>
          </w:p>
          <w:p w:rsidR="001124F2" w:rsidRDefault="001124F2">
            <w:pPr>
              <w:pStyle w:val="ac"/>
              <w:rPr>
                <w:rFonts w:ascii="Courier New" w:hAnsi="Courier New"/>
                <w:b/>
              </w:rPr>
            </w:pPr>
            <w:r>
              <w:rPr>
                <w:rFonts w:ascii="Courier New" w:hAnsi="Courier New"/>
                <w:b/>
              </w:rPr>
              <w:t>Рецензент:__________________</w:t>
            </w:r>
          </w:p>
        </w:tc>
      </w:tr>
      <w:tr w:rsidR="001124F2">
        <w:trPr>
          <w:gridAfter w:val="1"/>
          <w:wAfter w:w="2373" w:type="dxa"/>
          <w:cantSplit/>
        </w:trPr>
        <w:tc>
          <w:tcPr>
            <w:tcW w:w="7763" w:type="dxa"/>
            <w:gridSpan w:val="2"/>
          </w:tcPr>
          <w:p w:rsidR="001124F2" w:rsidRDefault="001124F2">
            <w:pPr>
              <w:pStyle w:val="ac"/>
              <w:rPr>
                <w:rFonts w:ascii="Courier New" w:hAnsi="Courier New"/>
                <w:sz w:val="28"/>
              </w:rPr>
            </w:pPr>
          </w:p>
          <w:p w:rsidR="001124F2" w:rsidRDefault="001124F2">
            <w:pPr>
              <w:pStyle w:val="ac"/>
              <w:rPr>
                <w:rFonts w:ascii="Courier New" w:hAnsi="Courier New"/>
                <w:sz w:val="28"/>
              </w:rPr>
            </w:pPr>
          </w:p>
          <w:p w:rsidR="001124F2" w:rsidRDefault="001124F2">
            <w:pPr>
              <w:pStyle w:val="ac"/>
              <w:jc w:val="both"/>
              <w:rPr>
                <w:rFonts w:ascii="Courier New" w:hAnsi="Courier New"/>
                <w:sz w:val="28"/>
              </w:rPr>
            </w:pPr>
            <w:r>
              <w:rPr>
                <w:rFonts w:ascii="Courier New" w:hAnsi="Courier New"/>
                <w:sz w:val="28"/>
              </w:rPr>
              <w:t>Рассмотрено на заседании цикловой комиссии общих гуманитарных и социально-экономических дисциплин</w:t>
            </w:r>
          </w:p>
          <w:p w:rsidR="001124F2" w:rsidRDefault="001124F2">
            <w:pPr>
              <w:pStyle w:val="ac"/>
              <w:rPr>
                <w:rFonts w:ascii="Courier New" w:hAnsi="Courier New"/>
                <w:sz w:val="28"/>
              </w:rPr>
            </w:pPr>
            <w:r>
              <w:rPr>
                <w:rFonts w:ascii="Courier New" w:hAnsi="Courier New"/>
                <w:sz w:val="28"/>
              </w:rPr>
              <w:t>«_____»______________2002г.</w:t>
            </w:r>
          </w:p>
          <w:p w:rsidR="001124F2" w:rsidRDefault="001124F2">
            <w:pPr>
              <w:pStyle w:val="ac"/>
              <w:rPr>
                <w:rFonts w:ascii="Courier New" w:hAnsi="Courier New"/>
                <w:sz w:val="28"/>
              </w:rPr>
            </w:pPr>
            <w:r>
              <w:rPr>
                <w:rFonts w:ascii="Courier New" w:hAnsi="Courier New"/>
                <w:sz w:val="28"/>
              </w:rPr>
              <w:t>председатель ПЦК _______(Нигматуллина Р.М.)</w:t>
            </w:r>
          </w:p>
        </w:tc>
      </w:tr>
    </w:tbl>
    <w:p w:rsidR="001124F2" w:rsidRDefault="001124F2">
      <w:pPr>
        <w:pStyle w:val="ac"/>
        <w:rPr>
          <w:rFonts w:ascii="Times New Roman" w:hAnsi="Times New Roman"/>
          <w:i/>
          <w:sz w:val="40"/>
        </w:rPr>
      </w:pPr>
    </w:p>
    <w:p w:rsidR="001124F2" w:rsidRDefault="001124F2">
      <w:pPr>
        <w:pStyle w:val="ac"/>
        <w:rPr>
          <w:rFonts w:ascii="Times New Roman" w:hAnsi="Times New Roman"/>
          <w:i/>
          <w:sz w:val="40"/>
        </w:rPr>
      </w:pPr>
    </w:p>
    <w:p w:rsidR="001124F2" w:rsidRDefault="001124F2">
      <w:pPr>
        <w:pStyle w:val="ac"/>
        <w:jc w:val="center"/>
        <w:rPr>
          <w:rFonts w:ascii="Courier New" w:hAnsi="Courier New"/>
          <w:b/>
          <w:i/>
          <w:sz w:val="32"/>
        </w:rPr>
        <w:sectPr w:rsidR="001124F2">
          <w:headerReference w:type="even" r:id="rId7"/>
          <w:headerReference w:type="default" r:id="rId8"/>
          <w:pgSz w:w="11906" w:h="16838"/>
          <w:pgMar w:top="1383" w:right="567" w:bottom="1418" w:left="1418" w:header="567" w:footer="446" w:gutter="0"/>
          <w:cols w:space="720"/>
          <w:titlePg/>
        </w:sectPr>
      </w:pPr>
      <w:r>
        <w:rPr>
          <w:rFonts w:ascii="Courier New" w:hAnsi="Courier New"/>
          <w:b/>
          <w:i/>
          <w:sz w:val="32"/>
        </w:rPr>
        <w:t>Сибай-2002</w:t>
      </w:r>
    </w:p>
    <w:p w:rsidR="001124F2" w:rsidRDefault="001124F2">
      <w:pPr>
        <w:pStyle w:val="1"/>
        <w:jc w:val="center"/>
        <w:rPr>
          <w:rFonts w:ascii="Courier New" w:hAnsi="Courier New"/>
          <w:sz w:val="36"/>
        </w:rPr>
      </w:pPr>
      <w:r>
        <w:rPr>
          <w:rFonts w:ascii="Courier New" w:hAnsi="Courier New"/>
          <w:sz w:val="36"/>
        </w:rPr>
        <w:t>СОДЕРЖАНИЕ:</w:t>
      </w:r>
    </w:p>
    <w:tbl>
      <w:tblPr>
        <w:tblW w:w="0" w:type="auto"/>
        <w:tblInd w:w="-34" w:type="dxa"/>
        <w:tblLayout w:type="fixed"/>
        <w:tblLook w:val="0000" w:firstRow="0" w:lastRow="0" w:firstColumn="0" w:lastColumn="0" w:noHBand="0" w:noVBand="0"/>
      </w:tblPr>
      <w:tblGrid>
        <w:gridCol w:w="709"/>
        <w:gridCol w:w="7797"/>
        <w:gridCol w:w="851"/>
      </w:tblGrid>
      <w:tr w:rsidR="001124F2">
        <w:tc>
          <w:tcPr>
            <w:tcW w:w="709" w:type="dxa"/>
            <w:vAlign w:val="center"/>
          </w:tcPr>
          <w:p w:rsidR="001124F2" w:rsidRDefault="001124F2">
            <w:pPr>
              <w:pStyle w:val="a9"/>
              <w:shd w:val="clear" w:color="auto" w:fill="auto"/>
              <w:ind w:left="0"/>
              <w:rPr>
                <w:rFonts w:ascii="Courier New" w:hAnsi="Courier New"/>
                <w:b w:val="0"/>
              </w:rPr>
            </w:pPr>
          </w:p>
        </w:tc>
        <w:tc>
          <w:tcPr>
            <w:tcW w:w="7797" w:type="dxa"/>
            <w:vAlign w:val="center"/>
          </w:tcPr>
          <w:p w:rsidR="001124F2" w:rsidRDefault="001124F2">
            <w:pPr>
              <w:pStyle w:val="a9"/>
              <w:shd w:val="clear" w:color="auto" w:fill="auto"/>
              <w:ind w:left="0"/>
              <w:rPr>
                <w:rFonts w:ascii="Courier New" w:hAnsi="Courier New"/>
                <w:b w:val="0"/>
              </w:rPr>
            </w:pPr>
          </w:p>
        </w:tc>
        <w:tc>
          <w:tcPr>
            <w:tcW w:w="851" w:type="dxa"/>
          </w:tcPr>
          <w:p w:rsidR="001124F2" w:rsidRDefault="001124F2">
            <w:pPr>
              <w:pStyle w:val="a9"/>
              <w:shd w:val="clear" w:color="auto" w:fill="auto"/>
              <w:ind w:left="0"/>
              <w:rPr>
                <w:rFonts w:ascii="Courier New" w:hAnsi="Courier New"/>
                <w:b w:val="0"/>
                <w:sz w:val="24"/>
              </w:rPr>
            </w:pPr>
            <w:r>
              <w:rPr>
                <w:rFonts w:ascii="Courier New" w:hAnsi="Courier New"/>
                <w:b w:val="0"/>
                <w:sz w:val="24"/>
              </w:rPr>
              <w:t>Стр.</w:t>
            </w:r>
          </w:p>
        </w:tc>
      </w:tr>
      <w:tr w:rsidR="001124F2">
        <w:trPr>
          <w:trHeight w:val="403"/>
        </w:trPr>
        <w:tc>
          <w:tcPr>
            <w:tcW w:w="709" w:type="dxa"/>
            <w:vAlign w:val="center"/>
          </w:tcPr>
          <w:p w:rsidR="001124F2" w:rsidRDefault="001124F2">
            <w:pPr>
              <w:pStyle w:val="a9"/>
              <w:shd w:val="clear" w:color="auto" w:fill="auto"/>
              <w:ind w:left="0"/>
              <w:jc w:val="left"/>
              <w:rPr>
                <w:rFonts w:ascii="Courier New" w:hAnsi="Courier New"/>
              </w:rPr>
            </w:pPr>
          </w:p>
        </w:tc>
        <w:tc>
          <w:tcPr>
            <w:tcW w:w="7797" w:type="dxa"/>
            <w:vAlign w:val="center"/>
          </w:tcPr>
          <w:p w:rsidR="001124F2" w:rsidRDefault="001124F2">
            <w:pPr>
              <w:pStyle w:val="a9"/>
              <w:shd w:val="clear" w:color="auto" w:fill="auto"/>
              <w:ind w:left="0"/>
              <w:jc w:val="both"/>
              <w:rPr>
                <w:rFonts w:ascii="Courier New" w:hAnsi="Courier New"/>
                <w:b w:val="0"/>
              </w:rPr>
            </w:pPr>
            <w:r>
              <w:rPr>
                <w:rFonts w:ascii="Courier New" w:hAnsi="Courier New"/>
                <w:b w:val="0"/>
              </w:rPr>
              <w:t>Введение;</w:t>
            </w:r>
          </w:p>
        </w:tc>
        <w:tc>
          <w:tcPr>
            <w:tcW w:w="851" w:type="dxa"/>
            <w:vAlign w:val="center"/>
          </w:tcPr>
          <w:p w:rsidR="001124F2" w:rsidRDefault="001124F2">
            <w:pPr>
              <w:pStyle w:val="a9"/>
              <w:shd w:val="clear" w:color="auto" w:fill="auto"/>
              <w:ind w:left="0"/>
              <w:rPr>
                <w:rFonts w:ascii="Courier New" w:hAnsi="Courier New"/>
                <w:i/>
              </w:rPr>
            </w:pPr>
            <w:r>
              <w:rPr>
                <w:rFonts w:ascii="Courier New" w:hAnsi="Courier New"/>
                <w:i/>
              </w:rPr>
              <w:t>3</w:t>
            </w:r>
          </w:p>
        </w:tc>
      </w:tr>
      <w:tr w:rsidR="001124F2">
        <w:trPr>
          <w:trHeight w:val="855"/>
        </w:trPr>
        <w:tc>
          <w:tcPr>
            <w:tcW w:w="709" w:type="dxa"/>
            <w:vAlign w:val="center"/>
          </w:tcPr>
          <w:p w:rsidR="001124F2" w:rsidRDefault="001124F2">
            <w:pPr>
              <w:pStyle w:val="a9"/>
              <w:shd w:val="clear" w:color="auto" w:fill="auto"/>
              <w:ind w:left="0"/>
              <w:jc w:val="left"/>
              <w:rPr>
                <w:rFonts w:ascii="Courier New" w:hAnsi="Courier New"/>
                <w:sz w:val="16"/>
              </w:rPr>
            </w:pPr>
            <w:r>
              <w:rPr>
                <w:rFonts w:ascii="Courier New" w:hAnsi="Courier New"/>
              </w:rPr>
              <w:t>1.</w:t>
            </w:r>
          </w:p>
        </w:tc>
        <w:tc>
          <w:tcPr>
            <w:tcW w:w="7797" w:type="dxa"/>
            <w:vAlign w:val="center"/>
          </w:tcPr>
          <w:p w:rsidR="001124F2" w:rsidRDefault="001124F2">
            <w:pPr>
              <w:pStyle w:val="a9"/>
              <w:shd w:val="clear" w:color="auto" w:fill="auto"/>
              <w:ind w:left="0"/>
              <w:jc w:val="both"/>
              <w:rPr>
                <w:rFonts w:ascii="Courier New" w:hAnsi="Courier New"/>
                <w:b w:val="0"/>
              </w:rPr>
            </w:pPr>
            <w:r>
              <w:rPr>
                <w:rFonts w:ascii="Courier New" w:hAnsi="Courier New"/>
                <w:b w:val="0"/>
              </w:rPr>
              <w:t>Социально-экономическая сущность бюджета Российской Федерации;</w:t>
            </w:r>
          </w:p>
        </w:tc>
        <w:tc>
          <w:tcPr>
            <w:tcW w:w="851" w:type="dxa"/>
            <w:vAlign w:val="center"/>
          </w:tcPr>
          <w:p w:rsidR="001124F2" w:rsidRDefault="001124F2">
            <w:pPr>
              <w:pStyle w:val="a9"/>
              <w:shd w:val="clear" w:color="auto" w:fill="auto"/>
              <w:ind w:left="0"/>
              <w:rPr>
                <w:rFonts w:ascii="Courier New" w:hAnsi="Courier New"/>
                <w:i/>
              </w:rPr>
            </w:pPr>
            <w:r>
              <w:rPr>
                <w:rFonts w:ascii="Courier New" w:hAnsi="Courier New"/>
                <w:i/>
              </w:rPr>
              <w:t>5</w:t>
            </w:r>
          </w:p>
        </w:tc>
      </w:tr>
      <w:tr w:rsidR="001124F2">
        <w:trPr>
          <w:trHeight w:val="855"/>
        </w:trPr>
        <w:tc>
          <w:tcPr>
            <w:tcW w:w="709" w:type="dxa"/>
            <w:vAlign w:val="center"/>
          </w:tcPr>
          <w:p w:rsidR="001124F2" w:rsidRDefault="001124F2">
            <w:pPr>
              <w:pStyle w:val="a9"/>
              <w:shd w:val="clear" w:color="auto" w:fill="auto"/>
              <w:ind w:left="0"/>
              <w:jc w:val="left"/>
              <w:rPr>
                <w:rFonts w:ascii="Courier New" w:hAnsi="Courier New"/>
              </w:rPr>
            </w:pPr>
            <w:r>
              <w:rPr>
                <w:rFonts w:ascii="Courier New" w:hAnsi="Courier New"/>
              </w:rPr>
              <w:t>2.</w:t>
            </w:r>
          </w:p>
        </w:tc>
        <w:tc>
          <w:tcPr>
            <w:tcW w:w="7797" w:type="dxa"/>
            <w:vAlign w:val="center"/>
          </w:tcPr>
          <w:p w:rsidR="001124F2" w:rsidRDefault="001124F2">
            <w:pPr>
              <w:pStyle w:val="a9"/>
              <w:shd w:val="clear" w:color="auto" w:fill="auto"/>
              <w:ind w:left="0"/>
              <w:jc w:val="both"/>
              <w:rPr>
                <w:rFonts w:ascii="Courier New" w:hAnsi="Courier New"/>
                <w:b w:val="0"/>
              </w:rPr>
            </w:pPr>
            <w:r>
              <w:rPr>
                <w:rFonts w:ascii="Courier New" w:hAnsi="Courier New"/>
                <w:b w:val="0"/>
              </w:rPr>
              <w:t>Бюджетное устройство Российской Федерации;</w:t>
            </w:r>
          </w:p>
        </w:tc>
        <w:tc>
          <w:tcPr>
            <w:tcW w:w="851" w:type="dxa"/>
            <w:vAlign w:val="center"/>
          </w:tcPr>
          <w:p w:rsidR="001124F2" w:rsidRDefault="001124F2">
            <w:pPr>
              <w:pStyle w:val="a9"/>
              <w:shd w:val="clear" w:color="auto" w:fill="auto"/>
              <w:ind w:left="0"/>
              <w:rPr>
                <w:rFonts w:ascii="Courier New" w:hAnsi="Courier New"/>
                <w:i/>
              </w:rPr>
            </w:pPr>
            <w:r>
              <w:rPr>
                <w:rFonts w:ascii="Courier New" w:hAnsi="Courier New"/>
                <w:i/>
              </w:rPr>
              <w:t>12</w:t>
            </w:r>
          </w:p>
        </w:tc>
      </w:tr>
      <w:tr w:rsidR="001124F2">
        <w:trPr>
          <w:trHeight w:val="855"/>
        </w:trPr>
        <w:tc>
          <w:tcPr>
            <w:tcW w:w="709" w:type="dxa"/>
            <w:vAlign w:val="center"/>
          </w:tcPr>
          <w:p w:rsidR="001124F2" w:rsidRDefault="001124F2">
            <w:pPr>
              <w:pStyle w:val="a9"/>
              <w:shd w:val="clear" w:color="auto" w:fill="auto"/>
              <w:ind w:left="0"/>
              <w:jc w:val="left"/>
              <w:rPr>
                <w:rFonts w:ascii="Courier New" w:hAnsi="Courier New"/>
              </w:rPr>
            </w:pPr>
            <w:r>
              <w:rPr>
                <w:rFonts w:ascii="Courier New" w:hAnsi="Courier New"/>
              </w:rPr>
              <w:t>3.</w:t>
            </w:r>
          </w:p>
        </w:tc>
        <w:tc>
          <w:tcPr>
            <w:tcW w:w="7797" w:type="dxa"/>
            <w:vAlign w:val="center"/>
          </w:tcPr>
          <w:p w:rsidR="001124F2" w:rsidRDefault="001124F2">
            <w:pPr>
              <w:pStyle w:val="a9"/>
              <w:shd w:val="clear" w:color="auto" w:fill="auto"/>
              <w:ind w:left="0"/>
              <w:jc w:val="both"/>
              <w:rPr>
                <w:rFonts w:ascii="Courier New" w:hAnsi="Courier New"/>
                <w:b w:val="0"/>
              </w:rPr>
            </w:pPr>
            <w:r>
              <w:rPr>
                <w:rFonts w:ascii="Courier New" w:hAnsi="Courier New"/>
                <w:b w:val="0"/>
              </w:rPr>
              <w:t>Бюджетное планирование и бюджетный процесс;</w:t>
            </w:r>
          </w:p>
        </w:tc>
        <w:tc>
          <w:tcPr>
            <w:tcW w:w="851" w:type="dxa"/>
            <w:vAlign w:val="center"/>
          </w:tcPr>
          <w:p w:rsidR="001124F2" w:rsidRDefault="001124F2">
            <w:pPr>
              <w:pStyle w:val="a9"/>
              <w:shd w:val="clear" w:color="auto" w:fill="auto"/>
              <w:ind w:left="0"/>
              <w:rPr>
                <w:rFonts w:ascii="Courier New" w:hAnsi="Courier New"/>
                <w:i/>
              </w:rPr>
            </w:pPr>
            <w:r>
              <w:rPr>
                <w:rFonts w:ascii="Courier New" w:hAnsi="Courier New"/>
                <w:i/>
              </w:rPr>
              <w:t>19</w:t>
            </w:r>
          </w:p>
        </w:tc>
      </w:tr>
      <w:tr w:rsidR="001124F2">
        <w:trPr>
          <w:trHeight w:val="569"/>
        </w:trPr>
        <w:tc>
          <w:tcPr>
            <w:tcW w:w="709" w:type="dxa"/>
            <w:vAlign w:val="center"/>
          </w:tcPr>
          <w:p w:rsidR="001124F2" w:rsidRDefault="001124F2">
            <w:pPr>
              <w:pStyle w:val="a9"/>
              <w:shd w:val="clear" w:color="auto" w:fill="auto"/>
              <w:ind w:left="0"/>
              <w:jc w:val="left"/>
              <w:rPr>
                <w:rFonts w:ascii="Courier New" w:hAnsi="Courier New"/>
              </w:rPr>
            </w:pPr>
            <w:r>
              <w:rPr>
                <w:rFonts w:ascii="Courier New" w:hAnsi="Courier New"/>
              </w:rPr>
              <w:t>4.</w:t>
            </w:r>
          </w:p>
        </w:tc>
        <w:tc>
          <w:tcPr>
            <w:tcW w:w="7797" w:type="dxa"/>
            <w:vAlign w:val="center"/>
          </w:tcPr>
          <w:p w:rsidR="001124F2" w:rsidRDefault="001124F2">
            <w:pPr>
              <w:pStyle w:val="a9"/>
              <w:shd w:val="clear" w:color="auto" w:fill="auto"/>
              <w:ind w:left="0"/>
              <w:jc w:val="both"/>
              <w:rPr>
                <w:rFonts w:ascii="Courier New" w:hAnsi="Courier New"/>
                <w:b w:val="0"/>
              </w:rPr>
            </w:pPr>
            <w:r>
              <w:rPr>
                <w:rFonts w:ascii="Courier New" w:hAnsi="Courier New"/>
                <w:b w:val="0"/>
              </w:rPr>
              <w:t>Поступления в бюджет. Порядок формирования бюджета;</w:t>
            </w:r>
          </w:p>
        </w:tc>
        <w:tc>
          <w:tcPr>
            <w:tcW w:w="851" w:type="dxa"/>
            <w:vAlign w:val="center"/>
          </w:tcPr>
          <w:p w:rsidR="001124F2" w:rsidRDefault="001124F2">
            <w:pPr>
              <w:pStyle w:val="a9"/>
              <w:shd w:val="clear" w:color="auto" w:fill="auto"/>
              <w:ind w:left="0"/>
              <w:rPr>
                <w:rFonts w:ascii="Courier New" w:hAnsi="Courier New"/>
                <w:i/>
              </w:rPr>
            </w:pPr>
            <w:r>
              <w:rPr>
                <w:rFonts w:ascii="Courier New" w:hAnsi="Courier New"/>
                <w:i/>
              </w:rPr>
              <w:t>32</w:t>
            </w:r>
          </w:p>
        </w:tc>
      </w:tr>
      <w:tr w:rsidR="001124F2">
        <w:trPr>
          <w:cantSplit/>
          <w:trHeight w:val="846"/>
        </w:trPr>
        <w:tc>
          <w:tcPr>
            <w:tcW w:w="709" w:type="dxa"/>
            <w:vAlign w:val="center"/>
          </w:tcPr>
          <w:p w:rsidR="001124F2" w:rsidRDefault="001124F2">
            <w:pPr>
              <w:pStyle w:val="a9"/>
              <w:shd w:val="clear" w:color="auto" w:fill="auto"/>
              <w:ind w:left="0" w:right="34"/>
              <w:jc w:val="left"/>
              <w:rPr>
                <w:rFonts w:ascii="Courier New" w:hAnsi="Courier New"/>
              </w:rPr>
            </w:pPr>
            <w:r>
              <w:rPr>
                <w:rFonts w:ascii="Courier New" w:hAnsi="Courier New"/>
              </w:rPr>
              <w:t>5.</w:t>
            </w:r>
          </w:p>
        </w:tc>
        <w:tc>
          <w:tcPr>
            <w:tcW w:w="7797" w:type="dxa"/>
            <w:vAlign w:val="center"/>
          </w:tcPr>
          <w:p w:rsidR="001124F2" w:rsidRDefault="001124F2">
            <w:pPr>
              <w:pStyle w:val="a9"/>
              <w:shd w:val="clear" w:color="auto" w:fill="auto"/>
              <w:ind w:left="0"/>
              <w:jc w:val="both"/>
              <w:rPr>
                <w:rFonts w:ascii="Courier New" w:hAnsi="Courier New"/>
                <w:b w:val="0"/>
              </w:rPr>
            </w:pPr>
            <w:r>
              <w:rPr>
                <w:rFonts w:ascii="Courier New" w:hAnsi="Courier New"/>
                <w:b w:val="0"/>
              </w:rPr>
              <w:t>Классификация доходов бюджетов Российской Федерации;</w:t>
            </w:r>
          </w:p>
        </w:tc>
        <w:tc>
          <w:tcPr>
            <w:tcW w:w="851" w:type="dxa"/>
            <w:vAlign w:val="center"/>
          </w:tcPr>
          <w:p w:rsidR="001124F2" w:rsidRDefault="001124F2">
            <w:pPr>
              <w:pStyle w:val="a9"/>
              <w:shd w:val="clear" w:color="auto" w:fill="auto"/>
              <w:ind w:left="0"/>
              <w:rPr>
                <w:rFonts w:ascii="Courier New" w:hAnsi="Courier New"/>
                <w:i/>
              </w:rPr>
            </w:pPr>
            <w:r>
              <w:rPr>
                <w:rFonts w:ascii="Courier New" w:hAnsi="Courier New"/>
                <w:i/>
              </w:rPr>
              <w:t>33</w:t>
            </w:r>
          </w:p>
        </w:tc>
      </w:tr>
      <w:tr w:rsidR="001124F2">
        <w:trPr>
          <w:trHeight w:val="1043"/>
        </w:trPr>
        <w:tc>
          <w:tcPr>
            <w:tcW w:w="709" w:type="dxa"/>
            <w:vAlign w:val="center"/>
          </w:tcPr>
          <w:p w:rsidR="001124F2" w:rsidRDefault="001124F2">
            <w:pPr>
              <w:pStyle w:val="a9"/>
              <w:shd w:val="clear" w:color="auto" w:fill="auto"/>
              <w:ind w:left="0"/>
              <w:jc w:val="left"/>
              <w:rPr>
                <w:rFonts w:ascii="Courier New" w:hAnsi="Courier New"/>
              </w:rPr>
            </w:pPr>
            <w:r>
              <w:rPr>
                <w:rFonts w:ascii="Courier New" w:hAnsi="Courier New"/>
              </w:rPr>
              <w:t>6.</w:t>
            </w:r>
          </w:p>
        </w:tc>
        <w:tc>
          <w:tcPr>
            <w:tcW w:w="7797" w:type="dxa"/>
            <w:vAlign w:val="center"/>
          </w:tcPr>
          <w:p w:rsidR="001124F2" w:rsidRDefault="001124F2">
            <w:pPr>
              <w:pStyle w:val="a9"/>
              <w:shd w:val="clear" w:color="auto" w:fill="auto"/>
              <w:ind w:left="0"/>
              <w:jc w:val="left"/>
              <w:rPr>
                <w:rFonts w:ascii="Courier New" w:hAnsi="Courier New"/>
                <w:b w:val="0"/>
              </w:rPr>
            </w:pPr>
            <w:r>
              <w:rPr>
                <w:rFonts w:ascii="Courier New" w:hAnsi="Courier New"/>
                <w:b w:val="0"/>
              </w:rPr>
              <w:t>Порядок планирования Доходов федерального бюджета Российской Федерации;</w:t>
            </w:r>
          </w:p>
        </w:tc>
        <w:tc>
          <w:tcPr>
            <w:tcW w:w="851" w:type="dxa"/>
            <w:vAlign w:val="center"/>
          </w:tcPr>
          <w:p w:rsidR="001124F2" w:rsidRDefault="001124F2">
            <w:pPr>
              <w:pStyle w:val="a9"/>
              <w:shd w:val="clear" w:color="auto" w:fill="auto"/>
              <w:ind w:left="0"/>
              <w:rPr>
                <w:rFonts w:ascii="Courier New" w:hAnsi="Courier New"/>
                <w:i/>
              </w:rPr>
            </w:pPr>
            <w:r>
              <w:rPr>
                <w:rFonts w:ascii="Courier New" w:hAnsi="Courier New"/>
                <w:i/>
              </w:rPr>
              <w:t>41</w:t>
            </w:r>
          </w:p>
        </w:tc>
      </w:tr>
      <w:tr w:rsidR="001124F2">
        <w:trPr>
          <w:trHeight w:val="562"/>
        </w:trPr>
        <w:tc>
          <w:tcPr>
            <w:tcW w:w="709" w:type="dxa"/>
          </w:tcPr>
          <w:p w:rsidR="001124F2" w:rsidRDefault="001124F2">
            <w:pPr>
              <w:pStyle w:val="a9"/>
              <w:shd w:val="clear" w:color="auto" w:fill="auto"/>
              <w:ind w:left="0"/>
              <w:jc w:val="left"/>
              <w:rPr>
                <w:rFonts w:ascii="Courier New" w:hAnsi="Courier New"/>
              </w:rPr>
            </w:pPr>
          </w:p>
        </w:tc>
        <w:tc>
          <w:tcPr>
            <w:tcW w:w="7797" w:type="dxa"/>
            <w:vAlign w:val="center"/>
          </w:tcPr>
          <w:p w:rsidR="001124F2" w:rsidRDefault="001124F2">
            <w:pPr>
              <w:pStyle w:val="a9"/>
              <w:shd w:val="clear" w:color="auto" w:fill="auto"/>
              <w:ind w:left="0"/>
              <w:jc w:val="left"/>
              <w:rPr>
                <w:rFonts w:ascii="Courier New" w:hAnsi="Courier New"/>
                <w:b w:val="0"/>
              </w:rPr>
            </w:pPr>
            <w:r>
              <w:rPr>
                <w:rFonts w:ascii="Courier New" w:hAnsi="Courier New"/>
                <w:b w:val="0"/>
              </w:rPr>
              <w:t>Заключение</w:t>
            </w:r>
          </w:p>
        </w:tc>
        <w:tc>
          <w:tcPr>
            <w:tcW w:w="851" w:type="dxa"/>
            <w:vAlign w:val="center"/>
          </w:tcPr>
          <w:p w:rsidR="001124F2" w:rsidRDefault="001124F2">
            <w:pPr>
              <w:pStyle w:val="a9"/>
              <w:shd w:val="clear" w:color="auto" w:fill="auto"/>
              <w:ind w:left="0"/>
              <w:rPr>
                <w:rFonts w:ascii="Courier New" w:hAnsi="Courier New"/>
                <w:i/>
              </w:rPr>
            </w:pPr>
            <w:r>
              <w:rPr>
                <w:rFonts w:ascii="Courier New" w:hAnsi="Courier New"/>
                <w:i/>
              </w:rPr>
              <w:t>56</w:t>
            </w:r>
          </w:p>
        </w:tc>
      </w:tr>
      <w:tr w:rsidR="001124F2">
        <w:trPr>
          <w:trHeight w:val="584"/>
        </w:trPr>
        <w:tc>
          <w:tcPr>
            <w:tcW w:w="709" w:type="dxa"/>
          </w:tcPr>
          <w:p w:rsidR="001124F2" w:rsidRDefault="001124F2">
            <w:pPr>
              <w:pStyle w:val="a9"/>
              <w:shd w:val="clear" w:color="auto" w:fill="auto"/>
              <w:ind w:left="0"/>
              <w:jc w:val="left"/>
              <w:rPr>
                <w:rFonts w:ascii="Courier New" w:hAnsi="Courier New"/>
              </w:rPr>
            </w:pPr>
          </w:p>
        </w:tc>
        <w:tc>
          <w:tcPr>
            <w:tcW w:w="7797" w:type="dxa"/>
            <w:vAlign w:val="center"/>
          </w:tcPr>
          <w:p w:rsidR="001124F2" w:rsidRDefault="001124F2">
            <w:pPr>
              <w:pStyle w:val="a9"/>
              <w:shd w:val="clear" w:color="auto" w:fill="auto"/>
              <w:ind w:left="0"/>
              <w:jc w:val="left"/>
              <w:rPr>
                <w:rFonts w:ascii="Courier New" w:hAnsi="Courier New"/>
                <w:b w:val="0"/>
              </w:rPr>
            </w:pPr>
            <w:r>
              <w:rPr>
                <w:rFonts w:ascii="Courier New" w:hAnsi="Courier New"/>
                <w:b w:val="0"/>
              </w:rPr>
              <w:t>Список используемой литературы</w:t>
            </w:r>
          </w:p>
        </w:tc>
        <w:tc>
          <w:tcPr>
            <w:tcW w:w="851" w:type="dxa"/>
            <w:vAlign w:val="center"/>
          </w:tcPr>
          <w:p w:rsidR="001124F2" w:rsidRDefault="001124F2">
            <w:pPr>
              <w:pStyle w:val="a9"/>
              <w:shd w:val="clear" w:color="auto" w:fill="auto"/>
              <w:ind w:left="0"/>
              <w:rPr>
                <w:rFonts w:ascii="Courier New" w:hAnsi="Courier New"/>
                <w:i/>
              </w:rPr>
            </w:pPr>
            <w:r>
              <w:rPr>
                <w:rFonts w:ascii="Courier New" w:hAnsi="Courier New"/>
                <w:i/>
              </w:rPr>
              <w:t>58</w:t>
            </w:r>
          </w:p>
        </w:tc>
      </w:tr>
      <w:tr w:rsidR="001124F2">
        <w:tc>
          <w:tcPr>
            <w:tcW w:w="709" w:type="dxa"/>
          </w:tcPr>
          <w:p w:rsidR="001124F2" w:rsidRDefault="001124F2">
            <w:pPr>
              <w:pStyle w:val="a9"/>
              <w:shd w:val="clear" w:color="auto" w:fill="auto"/>
              <w:ind w:left="0"/>
              <w:jc w:val="left"/>
              <w:rPr>
                <w:rFonts w:ascii="Courier New" w:hAnsi="Courier New"/>
              </w:rPr>
            </w:pPr>
          </w:p>
        </w:tc>
        <w:tc>
          <w:tcPr>
            <w:tcW w:w="7797" w:type="dxa"/>
            <w:vAlign w:val="center"/>
          </w:tcPr>
          <w:p w:rsidR="001124F2" w:rsidRDefault="001124F2">
            <w:pPr>
              <w:pStyle w:val="a9"/>
              <w:shd w:val="clear" w:color="auto" w:fill="auto"/>
              <w:ind w:left="0"/>
              <w:jc w:val="left"/>
              <w:rPr>
                <w:rFonts w:ascii="Courier New" w:hAnsi="Courier New"/>
                <w:b w:val="0"/>
              </w:rPr>
            </w:pPr>
            <w:r>
              <w:rPr>
                <w:rFonts w:ascii="Courier New" w:hAnsi="Courier New"/>
                <w:b w:val="0"/>
              </w:rPr>
              <w:t>Приложения</w:t>
            </w:r>
          </w:p>
        </w:tc>
        <w:tc>
          <w:tcPr>
            <w:tcW w:w="851" w:type="dxa"/>
            <w:vAlign w:val="center"/>
          </w:tcPr>
          <w:p w:rsidR="001124F2" w:rsidRDefault="001124F2">
            <w:pPr>
              <w:pStyle w:val="a9"/>
              <w:shd w:val="clear" w:color="auto" w:fill="auto"/>
              <w:ind w:left="0"/>
              <w:rPr>
                <w:rFonts w:ascii="Courier New" w:hAnsi="Courier New"/>
                <w:i/>
              </w:rPr>
            </w:pPr>
            <w:r>
              <w:rPr>
                <w:rFonts w:ascii="Courier New" w:hAnsi="Courier New"/>
                <w:i/>
              </w:rPr>
              <w:t>60</w:t>
            </w:r>
          </w:p>
        </w:tc>
      </w:tr>
    </w:tbl>
    <w:p w:rsidR="001124F2" w:rsidRDefault="001124F2">
      <w:pPr>
        <w:pStyle w:val="1"/>
        <w:jc w:val="center"/>
        <w:rPr>
          <w:rFonts w:ascii="Courier New" w:hAnsi="Courier New"/>
          <w:sz w:val="36"/>
        </w:rPr>
      </w:pPr>
      <w:r>
        <w:br w:type="page"/>
        <w:t xml:space="preserve"> </w:t>
      </w:r>
      <w:r>
        <w:rPr>
          <w:rFonts w:ascii="Courier New" w:hAnsi="Courier New"/>
          <w:sz w:val="36"/>
        </w:rPr>
        <w:t>ВВЕДЕНИЕ</w:t>
      </w:r>
    </w:p>
    <w:p w:rsidR="001124F2" w:rsidRDefault="001124F2">
      <w:pPr>
        <w:pStyle w:val="aa"/>
        <w:spacing w:line="360" w:lineRule="auto"/>
        <w:rPr>
          <w:rFonts w:ascii="Courier New" w:hAnsi="Courier New"/>
        </w:rPr>
      </w:pPr>
      <w:r>
        <w:rPr>
          <w:rFonts w:ascii="Courier New" w:hAnsi="Courier New"/>
        </w:rPr>
        <w:t xml:space="preserve">Ведущую, определяющую роль в формировании и развитии экономической структуры любого современного общества играет государственное регулирование, осуществляемое в рамках избранной властью экономической политики. Одним из наиболее важных механизмов, позволяющих государству осуществлять экономическое и социальное регулирование, является финансовый механизм - финансовая система общества, главным звеном которой является государственный бюджет. Именно посредством финансовой системы государство образует централизованные и воздействует на формирование децентрализованных фондов денежных средств, обеспечивая возможность выполнения возложенных на государственные органы функций и задач. </w:t>
      </w:r>
    </w:p>
    <w:p w:rsidR="001124F2" w:rsidRDefault="001124F2">
      <w:pPr>
        <w:pStyle w:val="ac"/>
        <w:spacing w:line="360" w:lineRule="auto"/>
        <w:ind w:firstLine="567"/>
        <w:jc w:val="both"/>
        <w:rPr>
          <w:rFonts w:ascii="Courier New" w:hAnsi="Courier New"/>
          <w:sz w:val="28"/>
        </w:rPr>
      </w:pPr>
      <w:r>
        <w:rPr>
          <w:rFonts w:ascii="Courier New" w:hAnsi="Courier New"/>
          <w:sz w:val="28"/>
        </w:rPr>
        <w:t xml:space="preserve">Экономические и политические реформы, проводимые в России с начала девяностых годов, также не могли не затронуть сферу государственных финансов, и, в первую очередь, бюджетную систему. </w:t>
      </w:r>
    </w:p>
    <w:p w:rsidR="001124F2" w:rsidRDefault="001124F2">
      <w:pPr>
        <w:pStyle w:val="ac"/>
        <w:spacing w:line="360" w:lineRule="auto"/>
        <w:ind w:firstLine="567"/>
        <w:jc w:val="both"/>
        <w:rPr>
          <w:rFonts w:ascii="Courier New" w:hAnsi="Courier New"/>
          <w:sz w:val="28"/>
        </w:rPr>
      </w:pPr>
      <w:r>
        <w:rPr>
          <w:rFonts w:ascii="Courier New" w:hAnsi="Courier New"/>
          <w:sz w:val="28"/>
        </w:rPr>
        <w:t xml:space="preserve">Государственный бюджет, являясь главным средством мобилизации и расходования ресурсов государства, дает политической власти реальную возможность воздействовать на экономику, финансировать ее структурную перестройку, стимулировать развитие приоритетных секторов экономики, обеспечивать социальную поддержку наименее защищенным слоям населения. </w:t>
      </w:r>
    </w:p>
    <w:p w:rsidR="001124F2" w:rsidRDefault="001124F2">
      <w:pPr>
        <w:pStyle w:val="ac"/>
        <w:spacing w:line="360" w:lineRule="auto"/>
        <w:ind w:firstLine="567"/>
        <w:jc w:val="both"/>
        <w:rPr>
          <w:rFonts w:ascii="Courier New" w:hAnsi="Courier New"/>
          <w:sz w:val="28"/>
        </w:rPr>
      </w:pPr>
      <w:r>
        <w:rPr>
          <w:rFonts w:ascii="Courier New" w:hAnsi="Courier New"/>
          <w:sz w:val="28"/>
        </w:rPr>
        <w:t xml:space="preserve">Очевидно, что успех экономического реформирования в нашей стране в большой степени зависит от того, в каких направлениях пойдет преобразование финансовой системы общества, насколько бюджетная политика государства будет отвечать требованиям времени. </w:t>
      </w:r>
    </w:p>
    <w:p w:rsidR="001124F2" w:rsidRDefault="001124F2">
      <w:pPr>
        <w:pStyle w:val="aa"/>
        <w:widowControl/>
        <w:spacing w:line="360" w:lineRule="auto"/>
      </w:pPr>
      <w:r>
        <w:rPr>
          <w:rFonts w:ascii="Courier New" w:hAnsi="Courier New"/>
        </w:rPr>
        <w:t>Совершенствование механизма правового регулирования налогообложения в условиях рыночной экономики достигается посредством развития конституционных основ налогообложения, установления все более четких условий взимания налогов и иных обязательных платежей, реализации правовых мер по осуществлению налогово-бюджетного федерализма.</w:t>
      </w:r>
    </w:p>
    <w:p w:rsidR="001124F2" w:rsidRDefault="001124F2">
      <w:pPr>
        <w:pStyle w:val="1"/>
        <w:jc w:val="center"/>
      </w:pPr>
      <w:r>
        <w:br w:type="page"/>
        <w:t>1. Социально-экономическая сущность бюджета Российской Федерации</w:t>
      </w:r>
    </w:p>
    <w:p w:rsidR="001124F2" w:rsidRDefault="001124F2">
      <w:pPr>
        <w:pStyle w:val="aa"/>
        <w:spacing w:line="360" w:lineRule="auto"/>
        <w:ind w:left="0" w:firstLine="567"/>
        <w:rPr>
          <w:rFonts w:ascii="Courier New" w:hAnsi="Courier New"/>
        </w:rPr>
      </w:pPr>
      <w:r>
        <w:rPr>
          <w:rFonts w:ascii="Courier New" w:hAnsi="Courier New"/>
        </w:rPr>
        <w:t>Государственный бюджет является основным финансовым планом страны, обеспечивающим образование, распределение и использование централизованного фонда денежных средств как обязательного условия функционирования любого государства.</w:t>
      </w:r>
    </w:p>
    <w:p w:rsidR="001124F2" w:rsidRDefault="001124F2">
      <w:pPr>
        <w:shd w:val="clear" w:color="auto" w:fill="FFFFFF"/>
        <w:spacing w:line="360" w:lineRule="auto"/>
        <w:ind w:firstLine="567"/>
        <w:jc w:val="both"/>
        <w:rPr>
          <w:rFonts w:ascii="Courier New" w:hAnsi="Courier New"/>
          <w:color w:val="000000"/>
          <w:sz w:val="28"/>
        </w:rPr>
      </w:pPr>
      <w:r>
        <w:rPr>
          <w:rFonts w:ascii="Courier New" w:hAnsi="Courier New"/>
          <w:color w:val="000000"/>
          <w:sz w:val="28"/>
        </w:rPr>
        <w:t xml:space="preserve">Государственный бюджет обеспечивает для органов государственного управления возможность выполнения ими своих функций, включая воздействие на функционирование рынков товаров и услуг, финансовых рынков и распределение доходов в секторах экономики. Бюджет является инструментом мобилизации средств всех секторов экономики для проведения государственной внутренней и внешней политики. С помощью бюджета осуществляется межсекторальное, межотраслевое и межтерриториальное перераспределение ВВП, государственное регулирование и стимулирование экономики, финансирование социальной политики с учетом долгосрочных интересов страны. </w:t>
      </w:r>
    </w:p>
    <w:p w:rsidR="001124F2" w:rsidRDefault="001124F2">
      <w:pPr>
        <w:shd w:val="clear" w:color="auto" w:fill="FFFFFF"/>
        <w:spacing w:line="360" w:lineRule="auto"/>
        <w:ind w:firstLine="567"/>
        <w:jc w:val="both"/>
        <w:rPr>
          <w:rFonts w:ascii="Courier New" w:hAnsi="Courier New"/>
          <w:sz w:val="28"/>
        </w:rPr>
      </w:pPr>
      <w:r>
        <w:rPr>
          <w:rFonts w:ascii="Courier New" w:hAnsi="Courier New"/>
          <w:color w:val="000000"/>
          <w:sz w:val="28"/>
        </w:rPr>
        <w:t>Таким образом, в бюджете отражаются финансовые взаимоотношения государства с плательщиками налоговых и неналоговых средств в бюджет и получателями бюджетных средств, т.е. взаимоотношения государства с населением и хозяйствующими субъектами по поводу формирования и расходования бюджетных средств.</w:t>
      </w:r>
    </w:p>
    <w:p w:rsidR="001124F2" w:rsidRDefault="001124F2">
      <w:pPr>
        <w:shd w:val="clear" w:color="auto" w:fill="FFFFFF"/>
        <w:spacing w:before="24" w:line="360" w:lineRule="auto"/>
        <w:ind w:firstLine="567"/>
        <w:jc w:val="both"/>
        <w:rPr>
          <w:rFonts w:ascii="Courier New" w:hAnsi="Courier New"/>
          <w:color w:val="000000"/>
          <w:sz w:val="28"/>
        </w:rPr>
      </w:pPr>
      <w:r>
        <w:rPr>
          <w:rFonts w:ascii="Courier New" w:hAnsi="Courier New"/>
          <w:color w:val="000000"/>
          <w:sz w:val="28"/>
        </w:rPr>
        <w:t>Аккумуляция средств в бюджете позволяет государству осуществлять социальные программы, направленные на развитие культуры, здравоохранения, образования, поддержку семей с низкими доходами, решение жилищной проблемы.</w:t>
      </w:r>
    </w:p>
    <w:p w:rsidR="001124F2" w:rsidRDefault="001124F2">
      <w:pPr>
        <w:shd w:val="clear" w:color="auto" w:fill="FFFFFF"/>
        <w:spacing w:before="5" w:line="360" w:lineRule="auto"/>
        <w:ind w:firstLine="567"/>
        <w:jc w:val="both"/>
        <w:rPr>
          <w:rFonts w:ascii="Courier New" w:hAnsi="Courier New"/>
          <w:sz w:val="28"/>
        </w:rPr>
      </w:pPr>
      <w:r>
        <w:rPr>
          <w:rFonts w:ascii="Courier New" w:hAnsi="Courier New"/>
          <w:color w:val="000000"/>
          <w:sz w:val="28"/>
        </w:rPr>
        <w:t>При рассмотрении государственных финансов необходимо иметь в виду, что функция сектора государственного управления отлична от функций других секторов экономики и заключается в оказании нерыночных услуг населению, обществу в целом и перераспределении доходов и собственности. Сектор государственного управления отличается от других секторов экономики также по способам финансирования затрат - с помощью налогов и иных обязательных платежей других секторов экономики.</w:t>
      </w:r>
    </w:p>
    <w:p w:rsidR="001124F2" w:rsidRDefault="001124F2">
      <w:pPr>
        <w:shd w:val="clear" w:color="auto" w:fill="FFFFFF"/>
        <w:spacing w:before="10" w:line="360" w:lineRule="auto"/>
        <w:ind w:firstLine="567"/>
        <w:jc w:val="both"/>
        <w:rPr>
          <w:rFonts w:ascii="Courier New" w:hAnsi="Courier New"/>
          <w:color w:val="000000"/>
          <w:sz w:val="28"/>
        </w:rPr>
      </w:pPr>
      <w:r>
        <w:rPr>
          <w:rFonts w:ascii="Courier New" w:hAnsi="Courier New"/>
          <w:color w:val="000000"/>
          <w:sz w:val="28"/>
        </w:rPr>
        <w:t xml:space="preserve">Рыночные условия хозяйствования предполагают свободное движение капиталов и товаров, стихийное формирование отношений между участниками воспроизводственного процесса, натуральных и стоимостных пропорций. При этом частный капитал не в состоянии решить многие проблемы социально-экономического развития. В этой связи государство осуществляет прямое (с помощью законодательных и иных нормативных актов) и косвенное социально-экономическое регулирование. </w:t>
      </w:r>
    </w:p>
    <w:p w:rsidR="001124F2" w:rsidRDefault="001124F2">
      <w:pPr>
        <w:shd w:val="clear" w:color="auto" w:fill="FFFFFF"/>
        <w:spacing w:before="10" w:line="360" w:lineRule="auto"/>
        <w:ind w:firstLine="567"/>
        <w:jc w:val="both"/>
        <w:rPr>
          <w:rFonts w:ascii="Courier New" w:hAnsi="Courier New"/>
          <w:color w:val="000000"/>
          <w:sz w:val="28"/>
        </w:rPr>
      </w:pPr>
      <w:r>
        <w:rPr>
          <w:rFonts w:ascii="Courier New" w:hAnsi="Courier New"/>
          <w:color w:val="000000"/>
          <w:sz w:val="28"/>
        </w:rPr>
        <w:t>Косвенное регулирование осуществляется через финансовую и кредитную политику, в реализации которой центральную роль играет государственный бюджет. Рычагами государственного воздействия при налогообложении являются налоговые ставки и льготы, оказывающие влияние на объем производства, предложение и спрос на отдельные виды товаров и услуг.</w:t>
      </w:r>
    </w:p>
    <w:p w:rsidR="001124F2" w:rsidRDefault="001124F2">
      <w:pPr>
        <w:shd w:val="clear" w:color="auto" w:fill="FFFFFF"/>
        <w:spacing w:before="10" w:line="360" w:lineRule="auto"/>
        <w:ind w:firstLine="567"/>
        <w:jc w:val="both"/>
        <w:rPr>
          <w:rFonts w:ascii="Courier New" w:hAnsi="Courier New"/>
          <w:sz w:val="28"/>
        </w:rPr>
      </w:pPr>
      <w:r>
        <w:rPr>
          <w:rFonts w:ascii="Courier New" w:hAnsi="Courier New"/>
          <w:color w:val="000000"/>
          <w:sz w:val="28"/>
        </w:rPr>
        <w:t>При расходовании средств государство осуществляет финансирование государственных программ направленных на содействие развитию тех или иных отраслей и производств, изменение структуры производства, субсидирует отдельные отрасли и предприятия, ни государственного воздействия являются также льготные и беспроцентные и гарантии по банковским ссудам.</w:t>
      </w:r>
    </w:p>
    <w:p w:rsidR="001124F2" w:rsidRDefault="001124F2">
      <w:pPr>
        <w:shd w:val="clear" w:color="auto" w:fill="FFFFFF"/>
        <w:spacing w:line="360" w:lineRule="auto"/>
        <w:ind w:firstLine="567"/>
        <w:jc w:val="both"/>
        <w:rPr>
          <w:rFonts w:ascii="Courier New" w:hAnsi="Courier New"/>
          <w:sz w:val="28"/>
        </w:rPr>
      </w:pPr>
      <w:r>
        <w:rPr>
          <w:rFonts w:ascii="Courier New" w:hAnsi="Courier New"/>
          <w:color w:val="000000"/>
          <w:sz w:val="28"/>
        </w:rPr>
        <w:t>Благоприятное воздействие бюджета на экономику предполагает формирование эффективного механизма образования доходов и расходования бюджетных ресурсов в отношении экономики в целом на основе рационального налогообложения населения и принятии, объема и структуры государственных расходов, обеспечивающих условия для экономического роста, стабильности производства и повышения материального уровня и условий жизни населения.</w:t>
      </w:r>
    </w:p>
    <w:p w:rsidR="001124F2" w:rsidRDefault="001124F2">
      <w:pPr>
        <w:shd w:val="clear" w:color="auto" w:fill="FFFFFF"/>
        <w:spacing w:before="5" w:line="360" w:lineRule="auto"/>
        <w:ind w:firstLine="567"/>
        <w:jc w:val="both"/>
        <w:rPr>
          <w:rFonts w:ascii="Courier New" w:hAnsi="Courier New"/>
          <w:color w:val="000000"/>
          <w:sz w:val="28"/>
        </w:rPr>
      </w:pPr>
      <w:r>
        <w:rPr>
          <w:rFonts w:ascii="Courier New" w:hAnsi="Courier New"/>
          <w:color w:val="000000"/>
          <w:sz w:val="28"/>
        </w:rPr>
        <w:t xml:space="preserve">Государство использует различные экономические, финансовые, кредитно-денежные и административные методы воздействия на экономику. </w:t>
      </w:r>
    </w:p>
    <w:p w:rsidR="001124F2" w:rsidRDefault="001124F2">
      <w:pPr>
        <w:pStyle w:val="30"/>
        <w:widowControl/>
        <w:autoSpaceDE/>
        <w:autoSpaceDN/>
        <w:adjustRightInd/>
        <w:spacing w:line="360" w:lineRule="auto"/>
        <w:rPr>
          <w:rFonts w:ascii="Courier New" w:hAnsi="Courier New"/>
        </w:rPr>
      </w:pPr>
      <w:r>
        <w:rPr>
          <w:rFonts w:ascii="Courier New" w:hAnsi="Courier New"/>
        </w:rPr>
        <w:t xml:space="preserve">Одним из них является фискальная политика. </w:t>
      </w:r>
    </w:p>
    <w:p w:rsidR="001124F2" w:rsidRDefault="001124F2">
      <w:pPr>
        <w:shd w:val="clear" w:color="auto" w:fill="FFFFFF"/>
        <w:spacing w:before="5" w:line="360" w:lineRule="auto"/>
        <w:ind w:firstLine="567"/>
        <w:jc w:val="both"/>
        <w:rPr>
          <w:rFonts w:ascii="Courier New" w:hAnsi="Courier New"/>
          <w:b/>
          <w:i/>
          <w:sz w:val="28"/>
        </w:rPr>
      </w:pPr>
      <w:r>
        <w:rPr>
          <w:rFonts w:ascii="Courier New" w:hAnsi="Courier New"/>
          <w:b/>
          <w:i/>
          <w:color w:val="000000"/>
          <w:sz w:val="28"/>
        </w:rPr>
        <w:t>Под фискальной политикой государства понимается совокупность мер в области налогообложения и правительственных расходов, направленных на изменение реального объема производства, контроль над инфляцией и увеличение занятости</w:t>
      </w:r>
      <w:r>
        <w:rPr>
          <w:rFonts w:ascii="Courier New" w:hAnsi="Courier New"/>
          <w:b/>
          <w:i/>
          <w:sz w:val="28"/>
        </w:rPr>
        <w:t>.</w:t>
      </w:r>
    </w:p>
    <w:p w:rsidR="001124F2" w:rsidRDefault="001124F2">
      <w:pPr>
        <w:shd w:val="clear" w:color="auto" w:fill="FFFFFF"/>
        <w:spacing w:before="5" w:line="360" w:lineRule="auto"/>
        <w:ind w:firstLine="567"/>
        <w:jc w:val="both"/>
        <w:rPr>
          <w:rFonts w:ascii="Courier New" w:hAnsi="Courier New"/>
          <w:sz w:val="28"/>
        </w:rPr>
      </w:pPr>
      <w:r>
        <w:rPr>
          <w:rFonts w:ascii="Courier New" w:hAnsi="Courier New"/>
          <w:color w:val="000000"/>
          <w:sz w:val="28"/>
        </w:rPr>
        <w:t>Крупным направлением бюджетной политики и соответственно функций бюджета является использование бюджетных средств для экономической и социальной стабильности, создания условий экономического роста, сглаживания последствий экономических и финансовых кризисов. При этом все большее внимание уделяется проблемам долгосрочного характера, связанным с научно-техническим прогрессом, структурной перестройкой экономики, накоплением капитала, эффективным экономическим ростом.</w:t>
      </w:r>
      <w:r>
        <w:rPr>
          <w:rFonts w:ascii="Courier New" w:hAnsi="Courier New"/>
          <w:i/>
          <w:color w:val="000000"/>
          <w:sz w:val="28"/>
        </w:rPr>
        <w:t xml:space="preserve"> </w:t>
      </w:r>
      <w:r>
        <w:rPr>
          <w:rFonts w:ascii="Courier New" w:hAnsi="Courier New"/>
          <w:color w:val="000000"/>
          <w:sz w:val="28"/>
        </w:rPr>
        <w:t>Государственные инвестиции составляют от 20 до 40% общего объема инвестиций.</w:t>
      </w:r>
    </w:p>
    <w:p w:rsidR="001124F2" w:rsidRDefault="001124F2">
      <w:pPr>
        <w:shd w:val="clear" w:color="auto" w:fill="FFFFFF"/>
        <w:spacing w:before="5" w:line="360" w:lineRule="auto"/>
        <w:ind w:firstLine="567"/>
        <w:jc w:val="both"/>
        <w:rPr>
          <w:rFonts w:ascii="Courier New" w:hAnsi="Courier New"/>
          <w:sz w:val="28"/>
        </w:rPr>
      </w:pPr>
      <w:r>
        <w:rPr>
          <w:rFonts w:ascii="Courier New" w:hAnsi="Courier New"/>
          <w:color w:val="000000"/>
          <w:sz w:val="28"/>
        </w:rPr>
        <w:t>Государственные финансы и их сердцевина - бюджет страны оказывают воздействие на основные экономические показатели в силу того, что сектор государственного управления является сектором экономики, участвующим в общем кругообороте доходов, расходов и выпуска продукции. Его расходы наряду с инвестиционным и потребительским спросом являются составной частью совокупного спроса, а чистые налоги характеризуют реальное уменьшение сумм частного сектора, которые могут быть использованы для расходов. Изменения этих величин оказывают существенное влияние на экономическую ситуацию в стране. В США государственный сектор закупает около 1/5 выпускаемой в стране продукции, а чистые налоги составляют около 20% ВВП.</w:t>
      </w:r>
    </w:p>
    <w:p w:rsidR="001124F2" w:rsidRDefault="001124F2">
      <w:pPr>
        <w:shd w:val="clear" w:color="auto" w:fill="FFFFFF"/>
        <w:spacing w:line="360" w:lineRule="auto"/>
        <w:ind w:firstLine="567"/>
        <w:jc w:val="both"/>
        <w:rPr>
          <w:rFonts w:ascii="Courier New" w:hAnsi="Courier New"/>
          <w:sz w:val="28"/>
        </w:rPr>
      </w:pPr>
      <w:r>
        <w:rPr>
          <w:rFonts w:ascii="Courier New" w:hAnsi="Courier New"/>
          <w:color w:val="000000"/>
          <w:sz w:val="28"/>
        </w:rPr>
        <w:t>В отношении воздействия государственных финансов общепризнанными являются два основных положения. Согласно первому увеличение государственных расходов ведет к росту совокупного спроса в экономике и соответственно к росту выпуска продукции и занятости. Влияние изменения государственных расходов в некоторой мере аналогично воздействию инвестиционного спроса. Согласно второму положению увеличение налогообложения (чистых налогов, т.е. сумм, взимаемых государством, за минусом социальных трансфертов и т.п.) ведет к сокращению личных располагаемых доходов домашних хозяйств, сокращению расходов, выпуска продукции и занятости.</w:t>
      </w:r>
    </w:p>
    <w:p w:rsidR="001124F2" w:rsidRDefault="001124F2">
      <w:pPr>
        <w:shd w:val="clear" w:color="auto" w:fill="FFFFFF"/>
        <w:spacing w:line="360" w:lineRule="auto"/>
        <w:ind w:firstLine="567"/>
        <w:jc w:val="both"/>
        <w:rPr>
          <w:rFonts w:ascii="Courier New" w:hAnsi="Courier New"/>
          <w:color w:val="000000"/>
          <w:sz w:val="28"/>
        </w:rPr>
      </w:pPr>
      <w:r>
        <w:rPr>
          <w:rFonts w:ascii="Courier New" w:hAnsi="Courier New"/>
          <w:color w:val="000000"/>
          <w:sz w:val="28"/>
        </w:rPr>
        <w:t xml:space="preserve">Фискальная политика государства, определяемая его действиями в области получения доходов, объема и направлений государственных расходов, может быть нацелена на стабилизацию, экономический рост или ограничение деловой активности. Политика стабилизации предполагает использование фискальных и кредитно-денежных мер для максимального приближения ВВП к его потенциальному уровню, обеспечения полной занятости и стабильного уровня цен. </w:t>
      </w:r>
    </w:p>
    <w:p w:rsidR="001124F2" w:rsidRDefault="001124F2">
      <w:pPr>
        <w:shd w:val="clear" w:color="auto" w:fill="FFFFFF"/>
        <w:spacing w:line="360" w:lineRule="auto"/>
        <w:ind w:firstLine="567"/>
        <w:jc w:val="both"/>
        <w:rPr>
          <w:rFonts w:ascii="Courier New" w:hAnsi="Courier New"/>
          <w:sz w:val="28"/>
        </w:rPr>
      </w:pPr>
      <w:r>
        <w:rPr>
          <w:rFonts w:ascii="Courier New" w:hAnsi="Courier New"/>
          <w:color w:val="000000"/>
          <w:sz w:val="28"/>
        </w:rPr>
        <w:t>Под политикой экономического роста понимают реализацию мер для увеличения ВВП, а под политикой ограничения деловой активности - осуществление мер по уменьшению ВВП по сравнению с потенциальным уровнем.</w:t>
      </w:r>
    </w:p>
    <w:p w:rsidR="001124F2" w:rsidRDefault="001124F2">
      <w:pPr>
        <w:shd w:val="clear" w:color="auto" w:fill="FFFFFF"/>
        <w:spacing w:line="360" w:lineRule="auto"/>
        <w:ind w:firstLine="567"/>
        <w:jc w:val="both"/>
        <w:rPr>
          <w:rFonts w:ascii="Courier New" w:hAnsi="Courier New"/>
          <w:sz w:val="28"/>
        </w:rPr>
      </w:pPr>
      <w:r>
        <w:rPr>
          <w:rFonts w:ascii="Courier New" w:hAnsi="Courier New"/>
          <w:color w:val="000000"/>
          <w:sz w:val="28"/>
        </w:rPr>
        <w:t>При экономическом спаде может осуществляться стимулирующая фискальная политика, основанная на росте государственных расходов, снижении налогов и соответственно увеличении дефицита бюджета, а в условиях инфляции, вызванной избыточным спросом, может проводиться ограничительная фискальная политика, нацеленная на уменьшение государственных расходов, увеличение налогов с ориентацией на уменьшение дефицита бюджета или его положительное сальдо. Поскольку стимулирующее или ограничивающее воздействие фискальной политики сопряжено с изменениями бюджетного дефицита и профицита, то это воздействие зависит от методов финансирования дефицита и направлений использования бюджетного излишка.</w:t>
      </w:r>
    </w:p>
    <w:p w:rsidR="001124F2" w:rsidRDefault="001124F2">
      <w:pPr>
        <w:shd w:val="clear" w:color="auto" w:fill="FFFFFF"/>
        <w:spacing w:line="360" w:lineRule="auto"/>
        <w:ind w:firstLine="567"/>
        <w:jc w:val="both"/>
        <w:rPr>
          <w:rFonts w:ascii="Courier New" w:hAnsi="Courier New"/>
          <w:sz w:val="28"/>
        </w:rPr>
      </w:pPr>
      <w:r>
        <w:rPr>
          <w:rFonts w:ascii="Courier New" w:hAnsi="Courier New"/>
          <w:color w:val="000000"/>
          <w:sz w:val="28"/>
        </w:rPr>
        <w:t>Покрытие дефицита бюджета может осуществляться путем займов или денежной эмиссии. Займы, осуществляемые путем выпуска государственных ценных бумаг, увеличивают существующий спрос на деньги и ведут к повышению равновесной величины процентной ставки. Поскольку величина инвестиций с ростом процентных ставок уменьшается, конкуренция государственных ценных бумаг на денежном рынке ведет к сокращению инвестиций.</w:t>
      </w:r>
    </w:p>
    <w:p w:rsidR="001124F2" w:rsidRDefault="001124F2">
      <w:pPr>
        <w:shd w:val="clear" w:color="auto" w:fill="FFFFFF"/>
        <w:spacing w:before="5" w:line="360" w:lineRule="auto"/>
        <w:ind w:firstLine="567"/>
        <w:jc w:val="both"/>
        <w:rPr>
          <w:rFonts w:ascii="Courier New" w:hAnsi="Courier New"/>
          <w:sz w:val="28"/>
        </w:rPr>
      </w:pPr>
      <w:r>
        <w:rPr>
          <w:rFonts w:ascii="Courier New" w:hAnsi="Courier New"/>
          <w:color w:val="000000"/>
          <w:sz w:val="28"/>
        </w:rPr>
        <w:t>Выпуск новых денег для покрытия дефицита бюджета не сопряжен с уменьшением инвестиций и в этом смысле оказывает более существенное воздействие на совокупный спрос, чем увеличение государственных займов.</w:t>
      </w:r>
    </w:p>
    <w:p w:rsidR="001124F2" w:rsidRDefault="001124F2">
      <w:pPr>
        <w:shd w:val="clear" w:color="auto" w:fill="FFFFFF"/>
        <w:spacing w:line="360" w:lineRule="auto"/>
        <w:ind w:firstLine="567"/>
        <w:jc w:val="both"/>
        <w:rPr>
          <w:rFonts w:ascii="Courier New" w:hAnsi="Courier New"/>
          <w:sz w:val="28"/>
        </w:rPr>
      </w:pPr>
      <w:r>
        <w:rPr>
          <w:rFonts w:ascii="Courier New" w:hAnsi="Courier New"/>
          <w:color w:val="000000"/>
          <w:sz w:val="28"/>
        </w:rPr>
        <w:t>В случае вызванной избыточным спросом инфляции правительство может нацелить свои усилия на образование бюджетного излишка. Антиинфляционное воздействие этого излишка зависит от того, будет ли он использован на погашение государственной задолженности или соответствующие денежные средства будут изъяты из обращения. Используя профицит бюджета на погашение задолженности, правительство вновь направляет денежные средства в обращение, увеличивая денежную массу, и снижает антиинфляционное воздействие бюджетного излишка. Однако побочным следствием является стимулирование снижения процентных ставок и соответственно увеличения инвестиций. В случае если правительство изымет излишек доходов бюджета из обращения, оно добьется более существенного антиинфляционного эффекта по сравнению с вариантом использования излишка для погашения государственного долга, так как в этом случае деньги не возвращаются в оборот.</w:t>
      </w:r>
    </w:p>
    <w:p w:rsidR="001124F2" w:rsidRDefault="001124F2">
      <w:pPr>
        <w:shd w:val="clear" w:color="auto" w:fill="FFFFFF"/>
        <w:spacing w:line="360" w:lineRule="auto"/>
        <w:ind w:firstLine="567"/>
        <w:jc w:val="both"/>
        <w:rPr>
          <w:rFonts w:ascii="Courier New" w:hAnsi="Courier New"/>
          <w:sz w:val="28"/>
        </w:rPr>
      </w:pPr>
      <w:r>
        <w:rPr>
          <w:rFonts w:ascii="Courier New" w:hAnsi="Courier New"/>
          <w:color w:val="000000"/>
          <w:sz w:val="28"/>
        </w:rPr>
        <w:t>Изменение чистых налогов также может быть использовано государством для воздействия на объем производства. Рост налогообложения ведет к сокращению выпуска продукции, так как уменьшает величину располагаемых доходов и потребительских расходов. Величина воздействия зависит от масштаба изменения налогов и мультипликатора, отражающего влияние предельной склонности к потреблению. Снижение налогов увеличивает совокупные потребительские расходы и одновременно сбережения.</w:t>
      </w:r>
    </w:p>
    <w:p w:rsidR="001124F2" w:rsidRDefault="001124F2">
      <w:pPr>
        <w:shd w:val="clear" w:color="auto" w:fill="FFFFFF"/>
        <w:spacing w:line="360" w:lineRule="auto"/>
        <w:ind w:firstLine="567"/>
        <w:jc w:val="both"/>
        <w:rPr>
          <w:rFonts w:ascii="Courier New" w:hAnsi="Courier New"/>
          <w:color w:val="000000"/>
          <w:sz w:val="28"/>
        </w:rPr>
      </w:pPr>
      <w:r>
        <w:rPr>
          <w:rFonts w:ascii="Courier New" w:hAnsi="Courier New"/>
          <w:color w:val="000000"/>
          <w:sz w:val="28"/>
        </w:rPr>
        <w:t xml:space="preserve">Величина взимаемых налогов и социальных выплат зависит от уровня доходов. В периоды роста ВВП размеры взимаемых налогов, ставки которых в значительной пропорциональны получаемым доходам, возрастают, а социальные выплаты, в которых значительную долю составляют пособия по безработице, сокращаются. В результате вместе с ростом доходов увеличивается величина чистых налогов, а рост располагаемого дохода и соответственно потребительского спроса отстает от роста </w:t>
      </w:r>
      <w:r>
        <w:rPr>
          <w:rFonts w:ascii="Courier New" w:hAnsi="Courier New"/>
          <w:color w:val="000000"/>
          <w:sz w:val="28"/>
          <w:lang w:val="en-US"/>
        </w:rPr>
        <w:t>B</w:t>
      </w:r>
      <w:r>
        <w:rPr>
          <w:rFonts w:ascii="Courier New" w:hAnsi="Courier New"/>
          <w:color w:val="000000"/>
          <w:sz w:val="28"/>
        </w:rPr>
        <w:t>ВП периоды экономического спада чистые налоги уменьшаются, что способствует увеличению совокупного спроса.</w:t>
      </w:r>
    </w:p>
    <w:p w:rsidR="001124F2" w:rsidRDefault="001124F2">
      <w:pPr>
        <w:pStyle w:val="1"/>
        <w:jc w:val="center"/>
      </w:pPr>
      <w:r>
        <w:br w:type="page"/>
        <w:t>2. Бюджетное устройство Российской Федерации</w:t>
      </w:r>
    </w:p>
    <w:p w:rsidR="001124F2" w:rsidRDefault="001124F2">
      <w:pPr>
        <w:shd w:val="clear" w:color="auto" w:fill="FFFFFF"/>
        <w:spacing w:before="226" w:line="360" w:lineRule="auto"/>
        <w:ind w:right="77" w:firstLine="567"/>
        <w:jc w:val="both"/>
        <w:rPr>
          <w:rFonts w:ascii="Courier New" w:hAnsi="Courier New"/>
          <w:sz w:val="28"/>
        </w:rPr>
      </w:pPr>
      <w:r>
        <w:rPr>
          <w:rFonts w:ascii="Courier New" w:hAnsi="Courier New"/>
          <w:color w:val="000000"/>
          <w:sz w:val="28"/>
        </w:rPr>
        <w:t>В соответствии с Бюджетным кодексом Российской Федерации бюджетное устройство страны характеризуется бюджетной системой и бюджетной классификацией.</w:t>
      </w:r>
    </w:p>
    <w:p w:rsidR="001124F2" w:rsidRDefault="001124F2">
      <w:pPr>
        <w:shd w:val="clear" w:color="auto" w:fill="FFFFFF"/>
        <w:spacing w:line="360" w:lineRule="auto"/>
        <w:ind w:right="62" w:firstLine="567"/>
        <w:jc w:val="both"/>
        <w:rPr>
          <w:rFonts w:ascii="Courier New" w:hAnsi="Courier New"/>
          <w:b/>
          <w:sz w:val="28"/>
        </w:rPr>
      </w:pPr>
      <w:r>
        <w:rPr>
          <w:rFonts w:ascii="Courier New" w:hAnsi="Courier New"/>
          <w:b/>
          <w:color w:val="000000"/>
          <w:sz w:val="28"/>
        </w:rPr>
        <w:t>Бюджетная система представляет собой совокупность всех бюджетов, функционирующих на территории страны. Вместе с системой внебюджетных фондов она образует систему государственных финансов.</w:t>
      </w:r>
    </w:p>
    <w:p w:rsidR="001124F2" w:rsidRDefault="001124F2">
      <w:pPr>
        <w:shd w:val="clear" w:color="auto" w:fill="FFFFFF"/>
        <w:spacing w:line="360" w:lineRule="auto"/>
        <w:ind w:right="58" w:firstLine="567"/>
        <w:jc w:val="both"/>
        <w:rPr>
          <w:rFonts w:ascii="Courier New" w:hAnsi="Courier New"/>
          <w:sz w:val="28"/>
        </w:rPr>
      </w:pPr>
      <w:r>
        <w:rPr>
          <w:rFonts w:ascii="Courier New" w:hAnsi="Courier New"/>
          <w:color w:val="000000"/>
          <w:sz w:val="28"/>
        </w:rPr>
        <w:t>Структура бюджетной системы определяется структурой государственного управления. Сектор государственного управления в России, как в республике с федеральным устройством, охватывает федеральный, региональный (республики, края, области, Москва, Санкт-Петербург) и местный (муниципальный) уровни. В унитарных (единых) государствах существует два уровня управления: центральный и местный (муниципальный).</w:t>
      </w:r>
    </w:p>
    <w:p w:rsidR="001124F2" w:rsidRDefault="001124F2">
      <w:pPr>
        <w:shd w:val="clear" w:color="auto" w:fill="FFFFFF"/>
        <w:spacing w:before="5" w:line="360" w:lineRule="auto"/>
        <w:ind w:right="53" w:firstLine="567"/>
        <w:jc w:val="both"/>
        <w:rPr>
          <w:rFonts w:ascii="Courier New" w:hAnsi="Courier New"/>
          <w:sz w:val="28"/>
        </w:rPr>
      </w:pPr>
      <w:r>
        <w:rPr>
          <w:rFonts w:ascii="Courier New" w:hAnsi="Courier New"/>
          <w:color w:val="000000"/>
          <w:sz w:val="28"/>
        </w:rPr>
        <w:t>Основные типы институциональных единиц, относящихся к сектору органов государственного управления, следующие:</w:t>
      </w:r>
    </w:p>
    <w:p w:rsidR="001124F2" w:rsidRDefault="001124F2">
      <w:pPr>
        <w:shd w:val="clear" w:color="auto" w:fill="FFFFFF"/>
        <w:spacing w:before="5" w:line="360" w:lineRule="auto"/>
        <w:ind w:right="38" w:firstLine="567"/>
        <w:jc w:val="both"/>
        <w:rPr>
          <w:rFonts w:ascii="Courier New" w:hAnsi="Courier New"/>
          <w:sz w:val="28"/>
        </w:rPr>
      </w:pPr>
      <w:r>
        <w:rPr>
          <w:rFonts w:ascii="Courier New" w:hAnsi="Courier New"/>
          <w:b/>
          <w:i/>
          <w:color w:val="000000"/>
          <w:sz w:val="28"/>
        </w:rPr>
        <w:t>федеральные органы управления:</w:t>
      </w:r>
      <w:r>
        <w:rPr>
          <w:rFonts w:ascii="Courier New" w:hAnsi="Courier New"/>
          <w:color w:val="000000"/>
          <w:sz w:val="28"/>
        </w:rPr>
        <w:t xml:space="preserve"> Федеральное Собрание, аппарат Президента Российской Федерации, аппараты федеральных министерств и ведомств; государственные учреждения здравоохранения, образования, культуры и искусства, науки, финансируемые, как правило, из федерального бюджета; государственные внебюджетные фонды; учреждения (посольства, представительства, консульства) Российской Федерации за границей;</w:t>
      </w:r>
    </w:p>
    <w:p w:rsidR="001124F2" w:rsidRDefault="001124F2">
      <w:pPr>
        <w:shd w:val="clear" w:color="auto" w:fill="FFFFFF"/>
        <w:spacing w:before="10" w:line="360" w:lineRule="auto"/>
        <w:ind w:right="29" w:firstLine="567"/>
        <w:jc w:val="both"/>
        <w:rPr>
          <w:rFonts w:ascii="Courier New" w:hAnsi="Courier New"/>
          <w:sz w:val="28"/>
        </w:rPr>
      </w:pPr>
      <w:r>
        <w:rPr>
          <w:rFonts w:ascii="Courier New" w:hAnsi="Courier New"/>
          <w:b/>
          <w:i/>
          <w:color w:val="000000"/>
          <w:sz w:val="28"/>
        </w:rPr>
        <w:t>региональные органы управления:</w:t>
      </w:r>
      <w:r>
        <w:rPr>
          <w:rFonts w:ascii="Courier New" w:hAnsi="Courier New"/>
          <w:color w:val="000000"/>
          <w:sz w:val="28"/>
        </w:rPr>
        <w:t xml:space="preserve"> органы законодательной (представительной) власти субъектов Российской Федерации, аппараты президентов республик в составе Российской Федерации, аппараты исполнительной власти Российской Федерации; государственные учреждения здравоохранения, образования, культуры и искусства, науки, финансируемые за счет бюджета субъектов Российской Федерации; внебюджетные фонды, создаваемые субъектами Российской Федерации; представительства субъектов Российской Федерации;</w:t>
      </w:r>
    </w:p>
    <w:p w:rsidR="001124F2" w:rsidRDefault="001124F2">
      <w:pPr>
        <w:shd w:val="clear" w:color="auto" w:fill="FFFFFF"/>
        <w:spacing w:line="360" w:lineRule="auto"/>
        <w:ind w:right="19" w:firstLine="567"/>
        <w:jc w:val="both"/>
        <w:rPr>
          <w:rFonts w:ascii="Courier New" w:hAnsi="Courier New"/>
          <w:sz w:val="28"/>
        </w:rPr>
      </w:pPr>
      <w:r>
        <w:rPr>
          <w:rFonts w:ascii="Courier New" w:hAnsi="Courier New"/>
          <w:b/>
          <w:i/>
          <w:color w:val="000000"/>
          <w:sz w:val="28"/>
        </w:rPr>
        <w:t xml:space="preserve">местные (муниципальные) органы управления: </w:t>
      </w:r>
      <w:r>
        <w:rPr>
          <w:rFonts w:ascii="Courier New" w:hAnsi="Courier New"/>
          <w:color w:val="000000"/>
          <w:sz w:val="28"/>
        </w:rPr>
        <w:t>органы законодательной (представительной) власти, аппараты местной администрации, аппараты местной исполнительной власти; государственные учреждения здравоохранения, образования, культуры и искусства, науки, финансируемые из местного бюджета; внебюджетные фонды, создаваемые местной администрацией.</w:t>
      </w:r>
    </w:p>
    <w:p w:rsidR="001124F2" w:rsidRDefault="001124F2">
      <w:pPr>
        <w:shd w:val="clear" w:color="auto" w:fill="FFFFFF"/>
        <w:spacing w:line="360" w:lineRule="auto"/>
        <w:ind w:right="10" w:firstLine="567"/>
        <w:jc w:val="both"/>
        <w:rPr>
          <w:rFonts w:ascii="Courier New" w:hAnsi="Courier New"/>
          <w:sz w:val="28"/>
        </w:rPr>
      </w:pPr>
      <w:r>
        <w:rPr>
          <w:rFonts w:ascii="Courier New" w:hAnsi="Courier New"/>
          <w:color w:val="000000"/>
          <w:sz w:val="28"/>
        </w:rPr>
        <w:t>Различные государственные единицы должны объединяться с тем уровнем государственного управления, за счет которого в основном осуществляется их финансирование и который контролирует их деятельность. Например, операции по социальному страхованию рассматриваются как часть того уровня управления, на котором они осуществляются.</w:t>
      </w:r>
    </w:p>
    <w:p w:rsidR="001124F2" w:rsidRDefault="001124F2">
      <w:pPr>
        <w:pStyle w:val="30"/>
        <w:widowControl/>
        <w:autoSpaceDE/>
        <w:autoSpaceDN/>
        <w:adjustRightInd/>
        <w:spacing w:before="10" w:line="360" w:lineRule="auto"/>
        <w:rPr>
          <w:rFonts w:ascii="Courier New" w:hAnsi="Courier New"/>
        </w:rPr>
      </w:pPr>
      <w:r>
        <w:rPr>
          <w:rFonts w:ascii="Courier New" w:hAnsi="Courier New"/>
        </w:rPr>
        <w:t xml:space="preserve">Соответственно бюджетная система Российской Федерации по своей структуре состоит из трех уровней. </w:t>
      </w:r>
    </w:p>
    <w:p w:rsidR="001124F2" w:rsidRDefault="001124F2">
      <w:pPr>
        <w:shd w:val="clear" w:color="auto" w:fill="FFFFFF"/>
        <w:spacing w:before="10" w:line="360" w:lineRule="auto"/>
        <w:ind w:firstLine="567"/>
        <w:jc w:val="both"/>
        <w:rPr>
          <w:rFonts w:ascii="Courier New" w:hAnsi="Courier New"/>
          <w:color w:val="000000"/>
          <w:sz w:val="28"/>
        </w:rPr>
      </w:pPr>
      <w:r>
        <w:rPr>
          <w:rFonts w:ascii="Courier New" w:hAnsi="Courier New"/>
          <w:i/>
          <w:color w:val="000000"/>
          <w:sz w:val="28"/>
        </w:rPr>
        <w:t>К первому</w:t>
      </w:r>
      <w:r>
        <w:rPr>
          <w:rFonts w:ascii="Courier New" w:hAnsi="Courier New"/>
          <w:color w:val="000000"/>
          <w:sz w:val="28"/>
        </w:rPr>
        <w:t xml:space="preserve"> относятся федеральный бюджет и бюджеты государственных внебюджетных фондов. </w:t>
      </w:r>
    </w:p>
    <w:p w:rsidR="001124F2" w:rsidRDefault="001124F2">
      <w:pPr>
        <w:shd w:val="clear" w:color="auto" w:fill="FFFFFF"/>
        <w:spacing w:before="10" w:line="360" w:lineRule="auto"/>
        <w:ind w:firstLine="567"/>
        <w:jc w:val="both"/>
        <w:rPr>
          <w:rFonts w:ascii="Courier New" w:hAnsi="Courier New"/>
          <w:color w:val="000000"/>
          <w:sz w:val="28"/>
        </w:rPr>
      </w:pPr>
      <w:r>
        <w:rPr>
          <w:rFonts w:ascii="Courier New" w:hAnsi="Courier New"/>
          <w:i/>
          <w:color w:val="000000"/>
          <w:sz w:val="28"/>
        </w:rPr>
        <w:t xml:space="preserve">Ко второму </w:t>
      </w:r>
      <w:r>
        <w:rPr>
          <w:rFonts w:ascii="Courier New" w:hAnsi="Courier New"/>
          <w:color w:val="000000"/>
          <w:sz w:val="28"/>
        </w:rPr>
        <w:t xml:space="preserve">- бюджеты субъектов Федерации и бюджеты территориальных внебюджетных фондов. </w:t>
      </w:r>
    </w:p>
    <w:p w:rsidR="001124F2" w:rsidRDefault="001124F2">
      <w:pPr>
        <w:shd w:val="clear" w:color="auto" w:fill="FFFFFF"/>
        <w:spacing w:before="10" w:line="360" w:lineRule="auto"/>
        <w:ind w:firstLine="567"/>
        <w:jc w:val="both"/>
        <w:rPr>
          <w:rFonts w:ascii="Courier New" w:hAnsi="Courier New"/>
          <w:color w:val="000000"/>
          <w:sz w:val="28"/>
        </w:rPr>
      </w:pPr>
      <w:r>
        <w:rPr>
          <w:rFonts w:ascii="Courier New" w:hAnsi="Courier New"/>
          <w:i/>
          <w:color w:val="000000"/>
          <w:sz w:val="28"/>
        </w:rPr>
        <w:t>К третьему</w:t>
      </w:r>
      <w:r>
        <w:rPr>
          <w:rFonts w:ascii="Courier New" w:hAnsi="Courier New"/>
          <w:color w:val="000000"/>
          <w:sz w:val="28"/>
        </w:rPr>
        <w:t xml:space="preserve"> - местные бюджеты. </w:t>
      </w:r>
    </w:p>
    <w:p w:rsidR="001124F2" w:rsidRDefault="001124F2">
      <w:pPr>
        <w:shd w:val="clear" w:color="auto" w:fill="FFFFFF"/>
        <w:spacing w:before="5" w:line="360" w:lineRule="auto"/>
        <w:ind w:right="43" w:firstLine="567"/>
        <w:jc w:val="both"/>
        <w:rPr>
          <w:rFonts w:ascii="Courier New" w:hAnsi="Courier New"/>
          <w:sz w:val="28"/>
        </w:rPr>
      </w:pPr>
      <w:r>
        <w:rPr>
          <w:rFonts w:ascii="Courier New" w:hAnsi="Courier New"/>
          <w:color w:val="000000"/>
          <w:sz w:val="28"/>
        </w:rPr>
        <w:t>Федеральный бюджет, бюджеты государственных внебюджетных фондов, бюджеты субъектов Федерации и территориальных внебюджетных фондов разрабатываются и утверждаются соответственно в форме федеральных законов или законов субъектов Федерации. Местные бюджеты утверждаются нормативными актами представительных органов местного самоуправления.</w:t>
      </w:r>
    </w:p>
    <w:p w:rsidR="001124F2" w:rsidRDefault="001124F2">
      <w:pPr>
        <w:shd w:val="clear" w:color="auto" w:fill="FFFFFF"/>
        <w:spacing w:line="360" w:lineRule="auto"/>
        <w:ind w:right="34" w:firstLine="567"/>
        <w:jc w:val="both"/>
        <w:rPr>
          <w:rFonts w:ascii="Courier New" w:hAnsi="Courier New"/>
          <w:sz w:val="28"/>
        </w:rPr>
      </w:pPr>
      <w:r>
        <w:rPr>
          <w:rFonts w:ascii="Courier New" w:hAnsi="Courier New"/>
          <w:color w:val="000000"/>
          <w:sz w:val="28"/>
        </w:rPr>
        <w:t>Федеральному бюджету и бюджетам других уровней управления принадлежит центральная роль в системе государственных финансов. В то же время существенную роль в государственных финансах выполняют различные государственные фонды на федеральном или местном уровнях, аккумулирующие денежные ресурсы, имеющие целевое назначение. Как правило, такие фонды создаются для решения крупных проблем, требующих специального внимания со стороны органов государственной власти. Источниками средств для таких фондов являются целевые налоги и сборы, перечисления из бюджета, капитализация доходов и займы.</w:t>
      </w:r>
    </w:p>
    <w:p w:rsidR="001124F2" w:rsidRDefault="001124F2">
      <w:pPr>
        <w:shd w:val="clear" w:color="auto" w:fill="FFFFFF"/>
        <w:spacing w:before="5" w:line="360" w:lineRule="auto"/>
        <w:ind w:right="24" w:firstLine="567"/>
        <w:jc w:val="both"/>
        <w:rPr>
          <w:rFonts w:ascii="Courier New" w:hAnsi="Courier New"/>
          <w:color w:val="000000"/>
          <w:sz w:val="28"/>
        </w:rPr>
      </w:pPr>
      <w:r>
        <w:rPr>
          <w:rFonts w:ascii="Courier New" w:hAnsi="Courier New"/>
          <w:color w:val="000000"/>
          <w:sz w:val="28"/>
        </w:rPr>
        <w:t xml:space="preserve">Наиболее значимыми являются социальные внебюджетные фонды. В России к ним относятся Пенсионный фонд, Фонд социального страхования, Фонд обязательного медицинского страхования, Государственный фонд занятости населения, Фонд социальной поддержки населения. </w:t>
      </w:r>
    </w:p>
    <w:p w:rsidR="001124F2" w:rsidRDefault="001124F2">
      <w:pPr>
        <w:shd w:val="clear" w:color="auto" w:fill="FFFFFF"/>
        <w:spacing w:before="5" w:line="360" w:lineRule="auto"/>
        <w:ind w:right="24" w:firstLine="567"/>
        <w:jc w:val="both"/>
        <w:rPr>
          <w:rFonts w:ascii="Courier New" w:hAnsi="Courier New"/>
          <w:sz w:val="28"/>
        </w:rPr>
      </w:pPr>
      <w:r>
        <w:rPr>
          <w:rFonts w:ascii="Courier New" w:hAnsi="Courier New"/>
          <w:color w:val="000000"/>
          <w:sz w:val="28"/>
        </w:rPr>
        <w:t>Внебюджетные фонды являются автономными организациями, управляющими поступающими в них средствами.</w:t>
      </w:r>
    </w:p>
    <w:p w:rsidR="001124F2" w:rsidRDefault="001124F2">
      <w:pPr>
        <w:shd w:val="clear" w:color="auto" w:fill="FFFFFF"/>
        <w:spacing w:line="360" w:lineRule="auto"/>
        <w:ind w:right="19" w:firstLine="567"/>
        <w:jc w:val="both"/>
        <w:rPr>
          <w:rFonts w:ascii="Courier New" w:hAnsi="Courier New"/>
          <w:sz w:val="28"/>
        </w:rPr>
      </w:pPr>
      <w:r>
        <w:rPr>
          <w:rFonts w:ascii="Courier New" w:hAnsi="Courier New"/>
          <w:color w:val="000000"/>
          <w:sz w:val="28"/>
        </w:rPr>
        <w:t>Годовой финансовый бюджет и внебюджетные фонды в России составляются и утверждаются на один финансовый год, соответствующий календарному году. При этом финансовые операции относятся к тому периоду времени, когда они действительно имели место, а не к бюджетному периоду, для которого они были утверждены. В этом случае общие суммы доходов и расходов по бюджетным обязательствам будут отражать фактическое состояние бюджета.</w:t>
      </w:r>
    </w:p>
    <w:p w:rsidR="001124F2" w:rsidRDefault="001124F2">
      <w:pPr>
        <w:shd w:val="clear" w:color="auto" w:fill="FFFFFF"/>
        <w:spacing w:line="360" w:lineRule="auto"/>
        <w:ind w:right="10" w:firstLine="567"/>
        <w:jc w:val="both"/>
        <w:rPr>
          <w:rFonts w:ascii="Courier New" w:hAnsi="Courier New"/>
          <w:sz w:val="28"/>
        </w:rPr>
      </w:pPr>
      <w:r>
        <w:rPr>
          <w:rFonts w:ascii="Courier New" w:hAnsi="Courier New"/>
          <w:color w:val="000000"/>
          <w:sz w:val="28"/>
        </w:rPr>
        <w:t xml:space="preserve">Наряду с самостоятельными бюджетами каждого уровня управления в целях получения обобщенных данных составляются </w:t>
      </w:r>
      <w:r>
        <w:rPr>
          <w:rFonts w:ascii="Courier New" w:hAnsi="Courier New"/>
          <w:b/>
          <w:color w:val="000000"/>
          <w:sz w:val="28"/>
        </w:rPr>
        <w:t xml:space="preserve">консолидированные бюджеты. </w:t>
      </w:r>
      <w:r>
        <w:rPr>
          <w:rFonts w:ascii="Courier New" w:hAnsi="Courier New"/>
          <w:color w:val="000000"/>
          <w:sz w:val="28"/>
        </w:rPr>
        <w:t>Бюджет субъекта Федерации вместе со сводом бюджетов муниципальных образований, находящихся на его территории, образует консолидированный бюджет субъекта Федерации. Федеральный бюджет вместе со сводом бюджетов субъектов Федерации образует консолидированный бюджет Российской Федерации. Если к нему присоединить внебюджетные социальные фонды, то получится консолидированный бюджет органов государственного управления в целом.</w:t>
      </w:r>
    </w:p>
    <w:p w:rsidR="001124F2" w:rsidRDefault="001124F2">
      <w:pPr>
        <w:shd w:val="clear" w:color="auto" w:fill="FFFFFF"/>
        <w:spacing w:line="360" w:lineRule="auto"/>
        <w:ind w:right="5" w:firstLine="567"/>
        <w:jc w:val="both"/>
        <w:rPr>
          <w:rFonts w:ascii="Courier New" w:hAnsi="Courier New"/>
          <w:sz w:val="28"/>
        </w:rPr>
      </w:pPr>
      <w:r>
        <w:rPr>
          <w:rFonts w:ascii="Courier New" w:hAnsi="Courier New"/>
          <w:color w:val="000000"/>
          <w:sz w:val="28"/>
        </w:rPr>
        <w:t xml:space="preserve">В российской практике в составе бюджетов формируются </w:t>
      </w:r>
      <w:r>
        <w:rPr>
          <w:rFonts w:ascii="Courier New" w:hAnsi="Courier New"/>
          <w:b/>
          <w:color w:val="000000"/>
          <w:sz w:val="28"/>
        </w:rPr>
        <w:t xml:space="preserve">целевые бюджетные фонды. </w:t>
      </w:r>
      <w:r>
        <w:rPr>
          <w:rFonts w:ascii="Courier New" w:hAnsi="Courier New"/>
          <w:color w:val="000000"/>
          <w:sz w:val="28"/>
        </w:rPr>
        <w:t>Они образуются за счет доходов целевого назначения или в порядке отчислений от конкретных видов доходов и используются на цели в соответствии с назначением фонда.</w:t>
      </w:r>
    </w:p>
    <w:p w:rsidR="001124F2" w:rsidRDefault="001124F2">
      <w:pPr>
        <w:shd w:val="clear" w:color="auto" w:fill="FFFFFF"/>
        <w:spacing w:line="360" w:lineRule="auto"/>
        <w:ind w:firstLine="567"/>
        <w:jc w:val="both"/>
        <w:rPr>
          <w:rFonts w:ascii="Courier New" w:hAnsi="Courier New"/>
          <w:color w:val="000000"/>
          <w:sz w:val="28"/>
        </w:rPr>
      </w:pPr>
      <w:r>
        <w:rPr>
          <w:rFonts w:ascii="Courier New" w:hAnsi="Courier New"/>
          <w:color w:val="000000"/>
          <w:sz w:val="28"/>
        </w:rPr>
        <w:t xml:space="preserve">В федеральный бюджет России на </w:t>
      </w:r>
      <w:r>
        <w:rPr>
          <w:rFonts w:ascii="Courier New" w:hAnsi="Courier New"/>
          <w:color w:val="FF0000"/>
          <w:sz w:val="28"/>
        </w:rPr>
        <w:t>1998 г</w:t>
      </w:r>
      <w:r>
        <w:rPr>
          <w:rFonts w:ascii="Courier New" w:hAnsi="Courier New"/>
          <w:color w:val="000000"/>
          <w:sz w:val="28"/>
        </w:rPr>
        <w:t>. были включены: федеральный Дорожный фонд РФ, федеральный Экологический фонд РФ, федеральный Фонд государственной налоговой службы и налоговой полиции, Фонд развития таможенной системы, Государственный фонд борьбы с преступностью, Фонд воспроизводства минерально-сырьевой базы. Эти фонды, так же как и внебюджетные, являются самостоятельными юридическими лицами, имеют центральные и территориальные органы управления и самостоятельные источники поступлений за счет налогов и сборов наряду с ассигнованиями из бюджетов. Включение их в бюджет ведет к повторному счету доходов: в составе самостоятельных налоговых поступлений и в составе фондов.</w:t>
      </w:r>
    </w:p>
    <w:p w:rsidR="001124F2" w:rsidRDefault="001124F2">
      <w:pPr>
        <w:shd w:val="clear" w:color="auto" w:fill="FFFFFF"/>
        <w:spacing w:line="360" w:lineRule="auto"/>
        <w:ind w:right="72" w:firstLine="567"/>
        <w:jc w:val="both"/>
        <w:rPr>
          <w:rFonts w:ascii="Courier New" w:hAnsi="Courier New"/>
          <w:sz w:val="28"/>
        </w:rPr>
      </w:pPr>
      <w:r>
        <w:rPr>
          <w:rFonts w:ascii="Courier New" w:hAnsi="Courier New"/>
          <w:color w:val="000000"/>
          <w:sz w:val="28"/>
        </w:rPr>
        <w:t>Бюджетное устройство Российской Федерации, как это предусмотрено Бюджетным кодексом, базируется на следующих принципах:</w:t>
      </w:r>
    </w:p>
    <w:p w:rsidR="001124F2" w:rsidRDefault="001124F2" w:rsidP="001124F2">
      <w:pPr>
        <w:numPr>
          <w:ilvl w:val="0"/>
          <w:numId w:val="3"/>
        </w:numPr>
        <w:shd w:val="clear" w:color="auto" w:fill="FFFFFF"/>
        <w:spacing w:line="360" w:lineRule="auto"/>
        <w:ind w:right="58"/>
        <w:jc w:val="both"/>
        <w:rPr>
          <w:rFonts w:ascii="Courier New" w:hAnsi="Courier New"/>
          <w:sz w:val="28"/>
        </w:rPr>
      </w:pPr>
      <w:r>
        <w:rPr>
          <w:rFonts w:ascii="Courier New" w:hAnsi="Courier New"/>
          <w:color w:val="000000"/>
          <w:sz w:val="28"/>
        </w:rPr>
        <w:t>принцип единства бюджетной системы, предусматривающий единство правовой базы, денежной системы, форм бюджетной документации, принципов бюджетного процесса, санкций за нарушение бюджетного законодательства, а также единый порядок финансирования расходов бюджетов и ведения бухгалтерского учета средств бюджетов всех уровней;</w:t>
      </w:r>
    </w:p>
    <w:p w:rsidR="001124F2" w:rsidRDefault="001124F2" w:rsidP="001124F2">
      <w:pPr>
        <w:numPr>
          <w:ilvl w:val="0"/>
          <w:numId w:val="3"/>
        </w:numPr>
        <w:shd w:val="clear" w:color="auto" w:fill="FFFFFF"/>
        <w:spacing w:line="360" w:lineRule="auto"/>
        <w:ind w:right="53"/>
        <w:jc w:val="both"/>
        <w:rPr>
          <w:rFonts w:ascii="Courier New" w:hAnsi="Courier New"/>
          <w:sz w:val="28"/>
        </w:rPr>
      </w:pPr>
      <w:r>
        <w:rPr>
          <w:rFonts w:ascii="Courier New" w:hAnsi="Courier New"/>
          <w:color w:val="000000"/>
          <w:sz w:val="28"/>
        </w:rPr>
        <w:t>принцип разграничения доходов и расходов между уровнями бюджетной системы, означающий закрепление соответствующих видов доходов (полностью или частично) и полномочий по осуществлению расходов за органами государственной власти различных уровней;</w:t>
      </w:r>
    </w:p>
    <w:p w:rsidR="001124F2" w:rsidRDefault="001124F2" w:rsidP="001124F2">
      <w:pPr>
        <w:numPr>
          <w:ilvl w:val="0"/>
          <w:numId w:val="3"/>
        </w:numPr>
        <w:shd w:val="clear" w:color="auto" w:fill="FFFFFF"/>
        <w:spacing w:before="5" w:line="360" w:lineRule="auto"/>
        <w:jc w:val="both"/>
        <w:rPr>
          <w:rFonts w:ascii="Courier New" w:hAnsi="Courier New"/>
          <w:sz w:val="28"/>
        </w:rPr>
      </w:pPr>
      <w:r>
        <w:rPr>
          <w:rFonts w:ascii="Courier New" w:hAnsi="Courier New"/>
          <w:color w:val="000000"/>
          <w:sz w:val="28"/>
        </w:rPr>
        <w:t>принцип самостоятельности бюджетов, означающий:</w:t>
      </w:r>
    </w:p>
    <w:p w:rsidR="001124F2" w:rsidRDefault="001124F2" w:rsidP="001124F2">
      <w:pPr>
        <w:numPr>
          <w:ilvl w:val="0"/>
          <w:numId w:val="3"/>
        </w:numPr>
        <w:shd w:val="clear" w:color="auto" w:fill="FFFFFF"/>
        <w:spacing w:line="360" w:lineRule="auto"/>
        <w:ind w:right="48"/>
        <w:jc w:val="both"/>
        <w:rPr>
          <w:rFonts w:ascii="Courier New" w:hAnsi="Courier New"/>
          <w:sz w:val="28"/>
        </w:rPr>
      </w:pPr>
      <w:r>
        <w:rPr>
          <w:rFonts w:ascii="Courier New" w:hAnsi="Courier New"/>
          <w:color w:val="000000"/>
          <w:sz w:val="28"/>
        </w:rPr>
        <w:t>право законодательных (представительных) органов всех уровней самостоятельно осуществлять бюджетный процесс;</w:t>
      </w:r>
    </w:p>
    <w:p w:rsidR="001124F2" w:rsidRDefault="001124F2" w:rsidP="001124F2">
      <w:pPr>
        <w:numPr>
          <w:ilvl w:val="0"/>
          <w:numId w:val="3"/>
        </w:numPr>
        <w:shd w:val="clear" w:color="auto" w:fill="FFFFFF"/>
        <w:spacing w:line="360" w:lineRule="auto"/>
        <w:jc w:val="both"/>
        <w:rPr>
          <w:rFonts w:ascii="Courier New" w:hAnsi="Courier New"/>
          <w:sz w:val="28"/>
        </w:rPr>
      </w:pPr>
      <w:r>
        <w:rPr>
          <w:rFonts w:ascii="Courier New" w:hAnsi="Courier New"/>
          <w:color w:val="000000"/>
          <w:sz w:val="28"/>
        </w:rPr>
        <w:t>наличие собственных источников доходов бюджетов каждого уровня; законодательное закрепление регулирующих доходов бюджетов и полномочий по формированию доходов соответствующих бюджетов;</w:t>
      </w:r>
    </w:p>
    <w:p w:rsidR="001124F2" w:rsidRDefault="001124F2" w:rsidP="001124F2">
      <w:pPr>
        <w:numPr>
          <w:ilvl w:val="0"/>
          <w:numId w:val="3"/>
        </w:numPr>
        <w:shd w:val="clear" w:color="auto" w:fill="FFFFFF"/>
        <w:spacing w:line="360" w:lineRule="auto"/>
        <w:ind w:right="43"/>
        <w:jc w:val="both"/>
        <w:rPr>
          <w:rFonts w:ascii="Courier New" w:hAnsi="Courier New"/>
          <w:sz w:val="28"/>
        </w:rPr>
      </w:pPr>
      <w:r>
        <w:rPr>
          <w:rFonts w:ascii="Courier New" w:hAnsi="Courier New"/>
          <w:color w:val="000000"/>
          <w:sz w:val="28"/>
        </w:rPr>
        <w:t>право органов государственной власти и органов местного самоуправления самостоятельно определять направления расходования средств соответствующих бюджетов;</w:t>
      </w:r>
    </w:p>
    <w:p w:rsidR="001124F2" w:rsidRDefault="001124F2" w:rsidP="001124F2">
      <w:pPr>
        <w:numPr>
          <w:ilvl w:val="0"/>
          <w:numId w:val="3"/>
        </w:numPr>
        <w:shd w:val="clear" w:color="auto" w:fill="FFFFFF"/>
        <w:spacing w:line="360" w:lineRule="auto"/>
        <w:ind w:right="29"/>
        <w:jc w:val="both"/>
        <w:rPr>
          <w:rFonts w:ascii="Courier New" w:hAnsi="Courier New"/>
          <w:sz w:val="28"/>
        </w:rPr>
      </w:pPr>
      <w:r>
        <w:rPr>
          <w:rFonts w:ascii="Courier New" w:hAnsi="Courier New"/>
          <w:color w:val="000000"/>
          <w:sz w:val="28"/>
        </w:rPr>
        <w:t>недопустимость изъятия доходов, дополнительно полученных в ходе исполнения законов о бюджете сумм превышения доходов над расходами и сумм экономии по расходам бюджетов;</w:t>
      </w:r>
    </w:p>
    <w:p w:rsidR="001124F2" w:rsidRDefault="001124F2" w:rsidP="001124F2">
      <w:pPr>
        <w:numPr>
          <w:ilvl w:val="0"/>
          <w:numId w:val="3"/>
        </w:numPr>
        <w:shd w:val="clear" w:color="auto" w:fill="FFFFFF"/>
        <w:spacing w:line="360" w:lineRule="auto"/>
        <w:ind w:right="34"/>
        <w:jc w:val="both"/>
        <w:rPr>
          <w:rFonts w:ascii="Courier New" w:hAnsi="Courier New"/>
          <w:sz w:val="28"/>
        </w:rPr>
      </w:pPr>
      <w:r>
        <w:rPr>
          <w:rFonts w:ascii="Courier New" w:hAnsi="Courier New"/>
          <w:color w:val="000000"/>
          <w:sz w:val="28"/>
        </w:rPr>
        <w:t>недопустимость компенсации за счет бюджетов других уровней бюджетной системы потерь в доходах и дополнительных расходов;</w:t>
      </w:r>
    </w:p>
    <w:p w:rsidR="001124F2" w:rsidRDefault="001124F2" w:rsidP="001124F2">
      <w:pPr>
        <w:numPr>
          <w:ilvl w:val="0"/>
          <w:numId w:val="3"/>
        </w:numPr>
        <w:shd w:val="clear" w:color="auto" w:fill="FFFFFF"/>
        <w:spacing w:line="360" w:lineRule="auto"/>
        <w:ind w:right="29"/>
        <w:jc w:val="both"/>
        <w:rPr>
          <w:rFonts w:ascii="Courier New" w:hAnsi="Courier New"/>
          <w:sz w:val="28"/>
        </w:rPr>
      </w:pPr>
      <w:r>
        <w:rPr>
          <w:rFonts w:ascii="Courier New" w:hAnsi="Courier New"/>
          <w:color w:val="000000"/>
          <w:sz w:val="28"/>
        </w:rPr>
        <w:t>принцип полноты отражения доходов и расходов бюджетов и внебюджетных фондов;</w:t>
      </w:r>
    </w:p>
    <w:p w:rsidR="001124F2" w:rsidRDefault="001124F2" w:rsidP="001124F2">
      <w:pPr>
        <w:numPr>
          <w:ilvl w:val="0"/>
          <w:numId w:val="3"/>
        </w:numPr>
        <w:shd w:val="clear" w:color="auto" w:fill="FFFFFF"/>
        <w:spacing w:line="360" w:lineRule="auto"/>
        <w:ind w:right="24"/>
        <w:jc w:val="both"/>
        <w:rPr>
          <w:rFonts w:ascii="Courier New" w:hAnsi="Courier New"/>
          <w:sz w:val="28"/>
        </w:rPr>
      </w:pPr>
      <w:r>
        <w:rPr>
          <w:rFonts w:ascii="Courier New" w:hAnsi="Courier New"/>
          <w:color w:val="000000"/>
          <w:sz w:val="28"/>
        </w:rPr>
        <w:t>принцип сбалансированности бюджета, означающий, что объем предусмотренных бюджетом расходов должен соответствовать суммарному объему доходов бюджета и источников финансирования его дефицита;</w:t>
      </w:r>
    </w:p>
    <w:p w:rsidR="001124F2" w:rsidRDefault="001124F2" w:rsidP="001124F2">
      <w:pPr>
        <w:numPr>
          <w:ilvl w:val="0"/>
          <w:numId w:val="3"/>
        </w:numPr>
        <w:shd w:val="clear" w:color="auto" w:fill="FFFFFF"/>
        <w:spacing w:line="360" w:lineRule="auto"/>
        <w:ind w:right="19"/>
        <w:jc w:val="both"/>
        <w:rPr>
          <w:rFonts w:ascii="Courier New" w:hAnsi="Courier New"/>
          <w:sz w:val="28"/>
        </w:rPr>
      </w:pPr>
      <w:r>
        <w:rPr>
          <w:rFonts w:ascii="Courier New" w:hAnsi="Courier New"/>
          <w:color w:val="000000"/>
          <w:sz w:val="28"/>
        </w:rPr>
        <w:t>принцип эффективности и экономности использования бюджетных средств, означающий необходимость достижения заданных результатов при минимальном расходе средств или достижения наилучшего результата с использованием определенного бюджетом объема средств;</w:t>
      </w:r>
    </w:p>
    <w:p w:rsidR="001124F2" w:rsidRDefault="001124F2" w:rsidP="001124F2">
      <w:pPr>
        <w:numPr>
          <w:ilvl w:val="0"/>
          <w:numId w:val="3"/>
        </w:numPr>
        <w:shd w:val="clear" w:color="auto" w:fill="FFFFFF"/>
        <w:spacing w:line="360" w:lineRule="auto"/>
        <w:ind w:right="10"/>
        <w:jc w:val="both"/>
        <w:rPr>
          <w:rFonts w:ascii="Courier New" w:hAnsi="Courier New"/>
          <w:sz w:val="28"/>
        </w:rPr>
      </w:pPr>
      <w:r>
        <w:rPr>
          <w:rFonts w:ascii="Courier New" w:hAnsi="Courier New"/>
          <w:color w:val="000000"/>
          <w:sz w:val="28"/>
        </w:rPr>
        <w:t>принцип общего (совокупного) покрытия расходов, означающий, что все расходы должны покрываться общей суммой доходов бюджета и поступлений из источников финансирования его дефицита. Доходы и поступления из источников финансирования не могут быть увязаны с определенными расходами, за исключением доходов целевых бюджетных фондов;</w:t>
      </w:r>
    </w:p>
    <w:p w:rsidR="001124F2" w:rsidRDefault="001124F2" w:rsidP="001124F2">
      <w:pPr>
        <w:numPr>
          <w:ilvl w:val="0"/>
          <w:numId w:val="3"/>
        </w:numPr>
        <w:shd w:val="clear" w:color="auto" w:fill="FFFFFF"/>
        <w:spacing w:line="360" w:lineRule="auto"/>
        <w:ind w:right="5"/>
        <w:jc w:val="both"/>
        <w:rPr>
          <w:rFonts w:ascii="Courier New" w:hAnsi="Courier New"/>
          <w:sz w:val="28"/>
        </w:rPr>
      </w:pPr>
      <w:r>
        <w:rPr>
          <w:rFonts w:ascii="Courier New" w:hAnsi="Courier New"/>
          <w:color w:val="000000"/>
          <w:sz w:val="28"/>
        </w:rPr>
        <w:t>принцип гласности, согласно которому бюджеты и отчеты об их исполнении подлежат обязательной публикации в открытой печати, а также означающий открытость для общества и средств массовой информации процедур рассмотрения и принятия решений по проектам бюджетов;</w:t>
      </w:r>
    </w:p>
    <w:p w:rsidR="001124F2" w:rsidRDefault="001124F2" w:rsidP="001124F2">
      <w:pPr>
        <w:numPr>
          <w:ilvl w:val="0"/>
          <w:numId w:val="3"/>
        </w:numPr>
        <w:shd w:val="clear" w:color="auto" w:fill="FFFFFF"/>
        <w:spacing w:line="360" w:lineRule="auto"/>
        <w:jc w:val="both"/>
        <w:rPr>
          <w:rFonts w:ascii="Courier New" w:hAnsi="Courier New"/>
          <w:color w:val="000000"/>
          <w:sz w:val="28"/>
        </w:rPr>
      </w:pPr>
      <w:r>
        <w:rPr>
          <w:rFonts w:ascii="Courier New" w:hAnsi="Courier New"/>
          <w:color w:val="000000"/>
          <w:sz w:val="28"/>
        </w:rPr>
        <w:t>принцип достоверности бюджета, означающий надежность показателей прогноза социально-экономического развития и реалистичность расчетов доходов и расходов бюджетов;</w:t>
      </w:r>
    </w:p>
    <w:p w:rsidR="001124F2" w:rsidRDefault="001124F2" w:rsidP="001124F2">
      <w:pPr>
        <w:numPr>
          <w:ilvl w:val="0"/>
          <w:numId w:val="3"/>
        </w:numPr>
        <w:shd w:val="clear" w:color="auto" w:fill="FFFFFF"/>
        <w:spacing w:line="360" w:lineRule="auto"/>
        <w:jc w:val="both"/>
        <w:rPr>
          <w:rFonts w:ascii="Courier New" w:hAnsi="Courier New"/>
          <w:color w:val="000000"/>
          <w:sz w:val="28"/>
        </w:rPr>
      </w:pPr>
      <w:r>
        <w:rPr>
          <w:rFonts w:ascii="Courier New" w:hAnsi="Courier New"/>
          <w:color w:val="000000"/>
          <w:sz w:val="28"/>
        </w:rPr>
        <w:t>принцип адресности и целевого характера бюджетных средств, означающий, что бюджетные средства выделяются в распоряжение конкретных получателей с обозначением направления их на финансирование конкретных целей.</w:t>
      </w:r>
    </w:p>
    <w:p w:rsidR="001124F2" w:rsidRDefault="001124F2">
      <w:pPr>
        <w:pStyle w:val="1"/>
        <w:jc w:val="center"/>
      </w:pPr>
      <w:r>
        <w:br w:type="page"/>
        <w:t>3. Бюджетное планирование и бюджетный процесс</w:t>
      </w:r>
    </w:p>
    <w:p w:rsidR="001124F2" w:rsidRDefault="001124F2">
      <w:pPr>
        <w:shd w:val="clear" w:color="auto" w:fill="FFFFFF"/>
        <w:spacing w:before="230" w:line="360" w:lineRule="auto"/>
        <w:ind w:right="29" w:firstLine="567"/>
        <w:jc w:val="both"/>
        <w:rPr>
          <w:rFonts w:ascii="Courier New" w:hAnsi="Courier New"/>
          <w:sz w:val="28"/>
        </w:rPr>
      </w:pPr>
      <w:r>
        <w:rPr>
          <w:rFonts w:ascii="Courier New" w:hAnsi="Courier New"/>
          <w:color w:val="000000"/>
          <w:sz w:val="28"/>
        </w:rPr>
        <w:t>Бюджетное планирование осуществляется в соответствии с социально-экономической политикой государства и включает составление бюджета на очередной финансовый год и перспективного финансового плана.</w:t>
      </w:r>
    </w:p>
    <w:p w:rsidR="001124F2" w:rsidRDefault="001124F2">
      <w:pPr>
        <w:shd w:val="clear" w:color="auto" w:fill="FFFFFF"/>
        <w:spacing w:line="360" w:lineRule="auto"/>
        <w:ind w:right="24" w:firstLine="567"/>
        <w:jc w:val="both"/>
        <w:rPr>
          <w:rFonts w:ascii="Courier New" w:hAnsi="Courier New"/>
          <w:sz w:val="28"/>
        </w:rPr>
      </w:pPr>
      <w:r>
        <w:rPr>
          <w:rFonts w:ascii="Courier New" w:hAnsi="Courier New"/>
          <w:color w:val="000000"/>
          <w:sz w:val="28"/>
        </w:rPr>
        <w:t>В процессе бюджетного планирования определяются финансовая политика, объем финансовых ресурсов, аккумулируемых в бюджете на очередной финансовый год, источники поступлений средств, объем и направления расходов, величина дефицита бюджета, объемы и источники внешних и внутренних заимствований для его покрытия, величина государственного долга и расходы на его обслуживание.</w:t>
      </w:r>
    </w:p>
    <w:p w:rsidR="001124F2" w:rsidRDefault="001124F2">
      <w:pPr>
        <w:shd w:val="clear" w:color="auto" w:fill="FFFFFF"/>
        <w:spacing w:line="360" w:lineRule="auto"/>
        <w:ind w:right="14" w:firstLine="567"/>
        <w:jc w:val="both"/>
        <w:rPr>
          <w:rFonts w:ascii="Courier New" w:hAnsi="Courier New"/>
          <w:sz w:val="28"/>
        </w:rPr>
      </w:pPr>
      <w:r>
        <w:rPr>
          <w:rFonts w:ascii="Courier New" w:hAnsi="Courier New"/>
          <w:color w:val="000000"/>
          <w:sz w:val="28"/>
        </w:rPr>
        <w:t>Бюджетное планирование во многом предопределяет распределительные процессы в экономике. В частности, определяются масштабы и пропорции перераспределения чистого дохода предприятий различных форм собственности, секторов и отраслей экономики, оказывается воздействие на размеры их накоплений, доля подоходного налога в доходах населения, доля участия предприятий и населения в формировании поступлений в бюджет.</w:t>
      </w:r>
    </w:p>
    <w:p w:rsidR="001124F2" w:rsidRDefault="001124F2">
      <w:pPr>
        <w:shd w:val="clear" w:color="auto" w:fill="FFFFFF"/>
        <w:spacing w:line="360" w:lineRule="auto"/>
        <w:ind w:right="14" w:firstLine="567"/>
        <w:jc w:val="both"/>
        <w:rPr>
          <w:rFonts w:ascii="Courier New" w:hAnsi="Courier New"/>
          <w:sz w:val="28"/>
        </w:rPr>
      </w:pPr>
      <w:r>
        <w:rPr>
          <w:rFonts w:ascii="Courier New" w:hAnsi="Courier New"/>
          <w:color w:val="000000"/>
          <w:sz w:val="28"/>
        </w:rPr>
        <w:t>Одной из острых проблем финансовой политики и бюджетного планирования является определение пропорций федерального бюджета и бюджетов субъектов Федерации в общем объеме доходов и расходов консолидированного бюджета.</w:t>
      </w:r>
    </w:p>
    <w:p w:rsidR="001124F2" w:rsidRDefault="001124F2">
      <w:pPr>
        <w:shd w:val="clear" w:color="auto" w:fill="FFFFFF"/>
        <w:spacing w:line="360" w:lineRule="auto"/>
        <w:ind w:right="10" w:firstLine="567"/>
        <w:jc w:val="both"/>
        <w:rPr>
          <w:rFonts w:ascii="Courier New" w:hAnsi="Courier New"/>
          <w:sz w:val="28"/>
        </w:rPr>
      </w:pPr>
      <w:r>
        <w:rPr>
          <w:rFonts w:ascii="Courier New" w:hAnsi="Courier New"/>
          <w:b/>
          <w:color w:val="000000"/>
          <w:sz w:val="28"/>
        </w:rPr>
        <w:t xml:space="preserve">Перспективный финансовый план </w:t>
      </w:r>
      <w:r>
        <w:rPr>
          <w:rFonts w:ascii="Courier New" w:hAnsi="Courier New"/>
          <w:color w:val="000000"/>
          <w:sz w:val="28"/>
        </w:rPr>
        <w:t>в России формируется на три года (включая очередной финансовый год) на основе среднесрочного прогноза социально-экономического развития и содержит прогнозные оценки возможностей бюджета по мобилизации доходов и привлечению средств для финансирования дефицита бюджетов. Составление перспективного плана позволяет увязывать годовое планирование со среднесрочным и, в частности, определять тенденции развития финансово-экономической ситуации, прогнозировать финансовые последствия прогнозируемых реформ, программ, законов, выявлять необходимость и возможность осуществления в перспективе мер по проведению финансовой политики, выявлять негативные тенденции для своевременного их принятия.</w:t>
      </w:r>
    </w:p>
    <w:p w:rsidR="001124F2" w:rsidRDefault="001124F2">
      <w:pPr>
        <w:shd w:val="clear" w:color="auto" w:fill="FFFFFF"/>
        <w:spacing w:line="360" w:lineRule="auto"/>
        <w:ind w:right="5" w:firstLine="567"/>
        <w:jc w:val="both"/>
        <w:rPr>
          <w:rFonts w:ascii="Courier New" w:hAnsi="Courier New"/>
          <w:sz w:val="28"/>
        </w:rPr>
      </w:pPr>
      <w:r>
        <w:rPr>
          <w:rFonts w:ascii="Courier New" w:hAnsi="Courier New"/>
          <w:b/>
          <w:color w:val="000000"/>
          <w:sz w:val="28"/>
        </w:rPr>
        <w:t xml:space="preserve">Главной формой бюджетного планирования является бюджетный процесс, </w:t>
      </w:r>
      <w:r>
        <w:rPr>
          <w:rFonts w:ascii="Courier New" w:hAnsi="Courier New"/>
          <w:color w:val="000000"/>
          <w:sz w:val="28"/>
        </w:rPr>
        <w:t>представляющий собой деятельность по составлению проекта бюджета, его рассмотрению, утверждению, исполнению, составлению отчета об исполнении и его утверждению.</w:t>
      </w:r>
    </w:p>
    <w:p w:rsidR="001124F2" w:rsidRDefault="001124F2">
      <w:pPr>
        <w:shd w:val="clear" w:color="auto" w:fill="FFFFFF"/>
        <w:spacing w:line="360" w:lineRule="auto"/>
        <w:ind w:firstLine="567"/>
        <w:jc w:val="both"/>
        <w:rPr>
          <w:rFonts w:ascii="Courier New" w:hAnsi="Courier New"/>
          <w:sz w:val="28"/>
        </w:rPr>
      </w:pPr>
      <w:r>
        <w:rPr>
          <w:rFonts w:ascii="Courier New" w:hAnsi="Courier New"/>
          <w:color w:val="000000"/>
          <w:sz w:val="28"/>
        </w:rPr>
        <w:t>Бюджетный процесс в Российской Федерации регламентируется Бюджетным кодексом, в котором определены участники бюджетного процесса и их полномочия, порядок составления проектов бюджета, его рассмотрения и утверждения; установлен порядок составления, утверждения и исполнения отчета об исполнении и финансового контроля.</w:t>
      </w:r>
    </w:p>
    <w:p w:rsidR="001124F2" w:rsidRDefault="001124F2">
      <w:pPr>
        <w:shd w:val="clear" w:color="auto" w:fill="FFFFFF"/>
        <w:spacing w:line="360" w:lineRule="auto"/>
        <w:ind w:firstLine="567"/>
        <w:jc w:val="both"/>
        <w:rPr>
          <w:rFonts w:ascii="Courier New" w:hAnsi="Courier New"/>
          <w:sz w:val="28"/>
        </w:rPr>
      </w:pPr>
      <w:r>
        <w:rPr>
          <w:rFonts w:ascii="Courier New" w:hAnsi="Courier New"/>
          <w:b/>
          <w:color w:val="000000"/>
          <w:sz w:val="28"/>
        </w:rPr>
        <w:t xml:space="preserve">Участниками бюджетного процесса являются: </w:t>
      </w:r>
      <w:r>
        <w:rPr>
          <w:rFonts w:ascii="Courier New" w:hAnsi="Courier New"/>
          <w:color w:val="000000"/>
          <w:sz w:val="28"/>
        </w:rPr>
        <w:t>президент Российской Федерации, органы законодательной (представительной) власти, органы исполнительной власти всех уровней, финансовые органы, органы, осуществляющие сбор доходов бюджетов, органы кредитно-денежного регулирования, органы финансового контроля, государственные внебюджетные фонды, главные распорядители и распорядители бюджетных средств. Получателями бюджетных средств являются бюджетные учреждения, государственные и муниципальные унитарные предприятия, другие организации, а также кредитные организации, выполняющие отдельные операции с бюджетными средствами.</w:t>
      </w:r>
    </w:p>
    <w:p w:rsidR="001124F2" w:rsidRDefault="001124F2">
      <w:pPr>
        <w:shd w:val="clear" w:color="auto" w:fill="FFFFFF"/>
        <w:spacing w:line="360" w:lineRule="auto"/>
        <w:ind w:right="86" w:firstLine="567"/>
        <w:jc w:val="both"/>
        <w:rPr>
          <w:rFonts w:ascii="Courier New" w:hAnsi="Courier New"/>
          <w:sz w:val="28"/>
        </w:rPr>
      </w:pPr>
      <w:r>
        <w:rPr>
          <w:rFonts w:ascii="Courier New" w:hAnsi="Courier New"/>
          <w:color w:val="000000"/>
          <w:sz w:val="28"/>
        </w:rPr>
        <w:t>Общая продолжительность одного цикла бюджетного процесса составляет два с половиной года, в том числе около года занимают составление проекта бюджета, его рассмотрение и утверждение, год - исполнение бюджета и около полугода - составление отчета об исполнении бюджета и его утверждение.</w:t>
      </w:r>
    </w:p>
    <w:p w:rsidR="001124F2" w:rsidRDefault="001124F2">
      <w:pPr>
        <w:shd w:val="clear" w:color="auto" w:fill="FFFFFF"/>
        <w:spacing w:line="360" w:lineRule="auto"/>
        <w:ind w:right="72" w:firstLine="567"/>
        <w:jc w:val="both"/>
        <w:rPr>
          <w:rFonts w:ascii="Courier New" w:hAnsi="Courier New"/>
          <w:sz w:val="28"/>
        </w:rPr>
      </w:pPr>
      <w:r>
        <w:rPr>
          <w:rFonts w:ascii="Courier New" w:hAnsi="Courier New"/>
          <w:b/>
          <w:color w:val="000000"/>
          <w:sz w:val="28"/>
        </w:rPr>
        <w:t xml:space="preserve">Составление проектов бюджетов. </w:t>
      </w:r>
      <w:r>
        <w:rPr>
          <w:rFonts w:ascii="Courier New" w:hAnsi="Courier New"/>
          <w:color w:val="000000"/>
          <w:sz w:val="28"/>
        </w:rPr>
        <w:t>Составлению проектов бюджетов предшествует разработка прогнозов социально-экономического развития страны, регионов, муниципальных образований, отраслей экономики, а также, составление сводных финансовых балансов, на основании которых органы исполнительной власти осуществляют разработку проектов бюджетов.</w:t>
      </w:r>
    </w:p>
    <w:p w:rsidR="001124F2" w:rsidRDefault="001124F2">
      <w:pPr>
        <w:shd w:val="clear" w:color="auto" w:fill="FFFFFF"/>
        <w:spacing w:line="360" w:lineRule="auto"/>
        <w:ind w:right="58" w:firstLine="567"/>
        <w:jc w:val="both"/>
        <w:rPr>
          <w:rFonts w:ascii="Courier New" w:hAnsi="Courier New"/>
          <w:sz w:val="28"/>
        </w:rPr>
      </w:pPr>
      <w:r>
        <w:rPr>
          <w:rFonts w:ascii="Courier New" w:hAnsi="Courier New"/>
          <w:color w:val="000000"/>
          <w:sz w:val="28"/>
        </w:rPr>
        <w:t>Составление и представление проектов бюджетов в законодательные (представительные) органы являются прерогативой правительства Российской Федерации, органов исполнительной власти регионов и муниципальных образований. Непосредственными составителями бюджетов являются финансовые органы на соответствующих уровнях управления.</w:t>
      </w:r>
    </w:p>
    <w:p w:rsidR="001124F2" w:rsidRDefault="001124F2">
      <w:pPr>
        <w:shd w:val="clear" w:color="auto" w:fill="FFFFFF"/>
        <w:spacing w:line="360" w:lineRule="auto"/>
        <w:ind w:right="29" w:firstLine="567"/>
        <w:jc w:val="both"/>
        <w:rPr>
          <w:rFonts w:ascii="Courier New" w:hAnsi="Courier New"/>
          <w:sz w:val="28"/>
        </w:rPr>
      </w:pPr>
      <w:r>
        <w:rPr>
          <w:rFonts w:ascii="Courier New" w:hAnsi="Courier New"/>
          <w:b/>
          <w:color w:val="000000"/>
          <w:sz w:val="28"/>
        </w:rPr>
        <w:t xml:space="preserve">Основные документы и материалы, используемые при составлении проектов бюджетов. </w:t>
      </w:r>
      <w:r>
        <w:rPr>
          <w:rFonts w:ascii="Courier New" w:hAnsi="Courier New"/>
          <w:color w:val="000000"/>
          <w:sz w:val="28"/>
        </w:rPr>
        <w:t>Проекты бюджетов составляются исходя из действующих на начало разработки правовых норм налогового законодательства, нормативов отчислений от собственных и регулирующих доходов бюджетов других уровней бюджетной системы, нормативов финансовых затрат на предоставление государственных и муниципальных услуг, нормативов минимальной бюджетной обеспеченности, а также на основе предполагаемых объемов финансовой помощи (трансфертов) от бюджетов других уровней и видов и объемов расходов, передаваемых с одного уровня бюджетной системы на другой. Нормативы финансовых затрат на предоставление государственных услуг разрабатываются и утверждаются федеральными органами на единицу услуг и используются для оценки объема предоставляемых услуг, определяемого в процессе составления бюджета.</w:t>
      </w:r>
    </w:p>
    <w:p w:rsidR="001124F2" w:rsidRDefault="001124F2">
      <w:pPr>
        <w:shd w:val="clear" w:color="auto" w:fill="FFFFFF"/>
        <w:spacing w:line="360" w:lineRule="auto"/>
        <w:ind w:firstLine="567"/>
        <w:jc w:val="both"/>
        <w:rPr>
          <w:rFonts w:ascii="Courier New" w:hAnsi="Courier New"/>
          <w:sz w:val="28"/>
        </w:rPr>
      </w:pPr>
      <w:r>
        <w:rPr>
          <w:rFonts w:ascii="Courier New" w:hAnsi="Courier New"/>
          <w:color w:val="000000"/>
          <w:sz w:val="28"/>
        </w:rPr>
        <w:t>При составлении проекта бюджета учитываются следующие документы:</w:t>
      </w:r>
    </w:p>
    <w:p w:rsidR="001124F2" w:rsidRDefault="001124F2" w:rsidP="001124F2">
      <w:pPr>
        <w:numPr>
          <w:ilvl w:val="0"/>
          <w:numId w:val="1"/>
        </w:numPr>
        <w:shd w:val="clear" w:color="auto" w:fill="FFFFFF"/>
        <w:tabs>
          <w:tab w:val="clear" w:pos="360"/>
          <w:tab w:val="num" w:pos="927"/>
        </w:tabs>
        <w:spacing w:line="360" w:lineRule="auto"/>
        <w:ind w:left="927"/>
        <w:jc w:val="both"/>
        <w:rPr>
          <w:rFonts w:ascii="Courier New" w:hAnsi="Courier New"/>
          <w:sz w:val="28"/>
        </w:rPr>
      </w:pPr>
      <w:r>
        <w:rPr>
          <w:rFonts w:ascii="Courier New" w:hAnsi="Courier New"/>
          <w:color w:val="000000"/>
          <w:sz w:val="28"/>
        </w:rPr>
        <w:t>бюджетное Послание президента РФ;</w:t>
      </w:r>
    </w:p>
    <w:p w:rsidR="001124F2" w:rsidRDefault="001124F2" w:rsidP="001124F2">
      <w:pPr>
        <w:numPr>
          <w:ilvl w:val="0"/>
          <w:numId w:val="1"/>
        </w:numPr>
        <w:shd w:val="clear" w:color="auto" w:fill="FFFFFF"/>
        <w:tabs>
          <w:tab w:val="clear" w:pos="360"/>
          <w:tab w:val="num" w:pos="927"/>
        </w:tabs>
        <w:spacing w:line="360" w:lineRule="auto"/>
        <w:ind w:left="927"/>
        <w:jc w:val="both"/>
        <w:rPr>
          <w:rFonts w:ascii="Courier New" w:hAnsi="Courier New"/>
          <w:sz w:val="28"/>
        </w:rPr>
      </w:pPr>
      <w:r>
        <w:rPr>
          <w:rFonts w:ascii="Courier New" w:hAnsi="Courier New"/>
          <w:color w:val="000000"/>
          <w:sz w:val="28"/>
        </w:rPr>
        <w:t>прогноз социально-экономического развития на очередной финансовый год;</w:t>
      </w:r>
    </w:p>
    <w:p w:rsidR="001124F2" w:rsidRDefault="001124F2" w:rsidP="001124F2">
      <w:pPr>
        <w:numPr>
          <w:ilvl w:val="0"/>
          <w:numId w:val="1"/>
        </w:numPr>
        <w:shd w:val="clear" w:color="auto" w:fill="FFFFFF"/>
        <w:tabs>
          <w:tab w:val="clear" w:pos="360"/>
          <w:tab w:val="num" w:pos="927"/>
        </w:tabs>
        <w:spacing w:line="360" w:lineRule="auto"/>
        <w:ind w:left="927" w:right="29"/>
        <w:jc w:val="both"/>
        <w:rPr>
          <w:rFonts w:ascii="Courier New" w:hAnsi="Courier New"/>
          <w:sz w:val="28"/>
        </w:rPr>
      </w:pPr>
      <w:r>
        <w:rPr>
          <w:rFonts w:ascii="Courier New" w:hAnsi="Courier New"/>
          <w:color w:val="000000"/>
          <w:sz w:val="28"/>
        </w:rPr>
        <w:t>основные направления бюджетной и налоговой политики на очередной финансовый год;</w:t>
      </w:r>
    </w:p>
    <w:p w:rsidR="001124F2" w:rsidRDefault="001124F2" w:rsidP="001124F2">
      <w:pPr>
        <w:numPr>
          <w:ilvl w:val="0"/>
          <w:numId w:val="1"/>
        </w:numPr>
        <w:shd w:val="clear" w:color="auto" w:fill="FFFFFF"/>
        <w:tabs>
          <w:tab w:val="clear" w:pos="360"/>
          <w:tab w:val="num" w:pos="927"/>
        </w:tabs>
        <w:spacing w:line="360" w:lineRule="auto"/>
        <w:ind w:left="927"/>
        <w:jc w:val="both"/>
        <w:rPr>
          <w:rFonts w:ascii="Courier New" w:hAnsi="Courier New"/>
          <w:sz w:val="28"/>
        </w:rPr>
      </w:pPr>
      <w:r>
        <w:rPr>
          <w:rFonts w:ascii="Courier New" w:hAnsi="Courier New"/>
          <w:color w:val="000000"/>
          <w:sz w:val="28"/>
        </w:rPr>
        <w:t>прогноз сводного финансового баланса;</w:t>
      </w:r>
    </w:p>
    <w:p w:rsidR="001124F2" w:rsidRDefault="001124F2" w:rsidP="001124F2">
      <w:pPr>
        <w:numPr>
          <w:ilvl w:val="0"/>
          <w:numId w:val="1"/>
        </w:numPr>
        <w:shd w:val="clear" w:color="auto" w:fill="FFFFFF"/>
        <w:tabs>
          <w:tab w:val="clear" w:pos="360"/>
          <w:tab w:val="num" w:pos="927"/>
        </w:tabs>
        <w:spacing w:line="360" w:lineRule="auto"/>
        <w:ind w:left="927" w:right="24"/>
        <w:jc w:val="both"/>
        <w:rPr>
          <w:rFonts w:ascii="Courier New" w:hAnsi="Courier New"/>
          <w:sz w:val="28"/>
        </w:rPr>
      </w:pPr>
      <w:r>
        <w:rPr>
          <w:rFonts w:ascii="Courier New" w:hAnsi="Courier New"/>
          <w:color w:val="000000"/>
          <w:sz w:val="28"/>
        </w:rPr>
        <w:t>план развития государственного или муниципального сектора соответствующей территории.</w:t>
      </w:r>
    </w:p>
    <w:p w:rsidR="001124F2" w:rsidRDefault="001124F2">
      <w:pPr>
        <w:shd w:val="clear" w:color="auto" w:fill="FFFFFF"/>
        <w:spacing w:before="5" w:line="360" w:lineRule="auto"/>
        <w:ind w:right="14" w:firstLine="567"/>
        <w:jc w:val="both"/>
        <w:rPr>
          <w:rFonts w:ascii="Courier New" w:hAnsi="Courier New"/>
          <w:sz w:val="28"/>
        </w:rPr>
      </w:pPr>
      <w:r>
        <w:rPr>
          <w:rFonts w:ascii="Courier New" w:hAnsi="Courier New"/>
          <w:b/>
          <w:color w:val="000000"/>
          <w:sz w:val="28"/>
        </w:rPr>
        <w:t xml:space="preserve">Бюджетное Послание президента </w:t>
      </w:r>
      <w:r>
        <w:rPr>
          <w:rFonts w:ascii="Courier New" w:hAnsi="Courier New"/>
          <w:color w:val="000000"/>
          <w:sz w:val="28"/>
        </w:rPr>
        <w:t>содержит намечаемую бюджетную политику страны на финансовый год. Оно направляется Федеральному Собранию не позднее марта года, предшествующего планируемому.</w:t>
      </w:r>
    </w:p>
    <w:p w:rsidR="001124F2" w:rsidRDefault="001124F2">
      <w:pPr>
        <w:shd w:val="clear" w:color="auto" w:fill="FFFFFF"/>
        <w:spacing w:before="5" w:line="360" w:lineRule="auto"/>
        <w:ind w:right="5" w:firstLine="567"/>
        <w:jc w:val="both"/>
        <w:rPr>
          <w:rFonts w:ascii="Courier New" w:hAnsi="Courier New"/>
          <w:sz w:val="28"/>
        </w:rPr>
      </w:pPr>
      <w:r>
        <w:rPr>
          <w:rFonts w:ascii="Courier New" w:hAnsi="Courier New"/>
          <w:b/>
          <w:color w:val="000000"/>
          <w:sz w:val="28"/>
        </w:rPr>
        <w:t xml:space="preserve">Прогноз социально-экономического развития </w:t>
      </w:r>
      <w:r>
        <w:rPr>
          <w:rFonts w:ascii="Courier New" w:hAnsi="Courier New"/>
          <w:color w:val="000000"/>
          <w:sz w:val="28"/>
        </w:rPr>
        <w:t>составляется до начала работы над проектом бюджета на основе итогов социально-экономического развития за последний истекший год, оценки развития до конца базового года и тенденций развития экономики и социальной сферы на проектируемый финансовый год. Основными исходными показателями для разработки проекта бюджета являются объем валового внутреннего продукта в проектируемом финансовом году, темп его роста и предполагаемый уровень инфляции.</w:t>
      </w:r>
    </w:p>
    <w:p w:rsidR="001124F2" w:rsidRDefault="001124F2">
      <w:pPr>
        <w:shd w:val="clear" w:color="auto" w:fill="FFFFFF"/>
        <w:spacing w:before="5" w:line="360" w:lineRule="auto"/>
        <w:ind w:firstLine="567"/>
        <w:jc w:val="both"/>
        <w:rPr>
          <w:rFonts w:ascii="Courier New" w:hAnsi="Courier New"/>
          <w:sz w:val="28"/>
        </w:rPr>
      </w:pPr>
      <w:r>
        <w:rPr>
          <w:rFonts w:ascii="Courier New" w:hAnsi="Courier New"/>
          <w:b/>
          <w:color w:val="000000"/>
          <w:sz w:val="28"/>
        </w:rPr>
        <w:t xml:space="preserve">Баланс финансовых ресурсов </w:t>
      </w:r>
      <w:r>
        <w:rPr>
          <w:rFonts w:ascii="Courier New" w:hAnsi="Courier New"/>
          <w:color w:val="000000"/>
          <w:sz w:val="28"/>
        </w:rPr>
        <w:t>(прогноз сводного финансового плана) представляет собой баланс всех доходов и расходов Российской Федерации, субъектов Федерации, муниципальных образований и хозяйствующих субъектов на определенной территории.</w:t>
      </w:r>
    </w:p>
    <w:p w:rsidR="001124F2" w:rsidRDefault="001124F2">
      <w:pPr>
        <w:shd w:val="clear" w:color="auto" w:fill="FFFFFF"/>
        <w:spacing w:line="360" w:lineRule="auto"/>
        <w:ind w:right="19" w:firstLine="567"/>
        <w:jc w:val="both"/>
        <w:rPr>
          <w:rFonts w:ascii="Courier New" w:hAnsi="Courier New"/>
          <w:sz w:val="28"/>
        </w:rPr>
      </w:pPr>
      <w:r>
        <w:rPr>
          <w:rFonts w:ascii="Courier New" w:hAnsi="Courier New"/>
          <w:b/>
          <w:color w:val="000000"/>
          <w:sz w:val="28"/>
        </w:rPr>
        <w:t xml:space="preserve">План развития государственного или муниципального сектора территории </w:t>
      </w:r>
      <w:r>
        <w:rPr>
          <w:rFonts w:ascii="Courier New" w:hAnsi="Courier New"/>
          <w:color w:val="000000"/>
          <w:sz w:val="28"/>
        </w:rPr>
        <w:t>включает сводные планы финансово-хозяйственной деятельности федеральных казенных и унитарных предприятий, программу приватизации (продажи) и приобретения имущества в государственную или муниципальную собственность, сведения о предельной штатной численности государственных и муниципальных служащих и военнослужащих по главным распорядителям бюджетных средств, а также план предоставления государственных или муниципальных услуг бюджетными учреждениями.</w:t>
      </w:r>
    </w:p>
    <w:p w:rsidR="001124F2" w:rsidRDefault="001124F2">
      <w:pPr>
        <w:shd w:val="clear" w:color="auto" w:fill="FFFFFF"/>
        <w:spacing w:line="360" w:lineRule="auto"/>
        <w:ind w:right="24" w:firstLine="567"/>
        <w:jc w:val="both"/>
        <w:rPr>
          <w:rFonts w:ascii="Courier New" w:hAnsi="Courier New"/>
          <w:sz w:val="28"/>
        </w:rPr>
      </w:pPr>
      <w:r>
        <w:rPr>
          <w:rFonts w:ascii="Courier New" w:hAnsi="Courier New"/>
          <w:color w:val="000000"/>
          <w:sz w:val="28"/>
        </w:rPr>
        <w:t>Одновременно с проектом бюджета на очередной финансовый год составляется перспективный финансовый план.</w:t>
      </w:r>
    </w:p>
    <w:p w:rsidR="001124F2" w:rsidRDefault="001124F2">
      <w:pPr>
        <w:shd w:val="clear" w:color="auto" w:fill="FFFFFF"/>
        <w:spacing w:line="360" w:lineRule="auto"/>
        <w:ind w:right="14" w:firstLine="567"/>
        <w:jc w:val="both"/>
        <w:rPr>
          <w:rFonts w:ascii="Courier New" w:hAnsi="Courier New"/>
          <w:sz w:val="28"/>
        </w:rPr>
      </w:pPr>
      <w:r>
        <w:rPr>
          <w:rFonts w:ascii="Courier New" w:hAnsi="Courier New"/>
          <w:b/>
          <w:color w:val="000000"/>
          <w:sz w:val="28"/>
        </w:rPr>
        <w:t xml:space="preserve">Состав показателей проекта бюджета. </w:t>
      </w:r>
      <w:r>
        <w:rPr>
          <w:rFonts w:ascii="Courier New" w:hAnsi="Courier New"/>
          <w:color w:val="000000"/>
          <w:sz w:val="28"/>
        </w:rPr>
        <w:t>Основными показателями проекта бюджета являются общий объем доходов, общий объем расходов и дефицит бюджета. Наряду с общим объемом доходов в проекте бюджета должны содержаться доходы бюджета по группам, подгруппам и статьям классификации доходов. Общий объем расходов бюджета должен быть распределен по главным получателям бюджетных средств в соответствии с ведомственной классификацией, а также по разделам и подразделам функциональной и экономической классификаций. В расходах выделяются также средства целевых бюджетных фондов и объемы финансовой помощи бюджетам других уровней управления.</w:t>
      </w:r>
    </w:p>
    <w:p w:rsidR="001124F2" w:rsidRDefault="001124F2">
      <w:pPr>
        <w:shd w:val="clear" w:color="auto" w:fill="FFFFFF"/>
        <w:spacing w:line="360" w:lineRule="auto"/>
        <w:ind w:right="14" w:firstLine="567"/>
        <w:jc w:val="both"/>
        <w:rPr>
          <w:rFonts w:ascii="Courier New" w:hAnsi="Courier New"/>
          <w:sz w:val="28"/>
        </w:rPr>
      </w:pPr>
      <w:r>
        <w:rPr>
          <w:rFonts w:ascii="Courier New" w:hAnsi="Courier New"/>
          <w:color w:val="000000"/>
          <w:sz w:val="28"/>
        </w:rPr>
        <w:t>В отношении дефицита федерального бюджета, кроме его общего размера, в проекте определяются источники финансирования за счет внутренних заимствований, верхний предел государственного долга на 1 января следующего за планируемым года, предел государственных внешних заимствований, объемы и перечень внешних заимствований, верхний предел государственного внешнего долга. В проекте бюджета определяются также объемы кредитов, предоставляемых Российской Федерацией иностранным государствам, международным организациям и иностранным юридическим лицам.</w:t>
      </w:r>
    </w:p>
    <w:p w:rsidR="001124F2" w:rsidRDefault="001124F2">
      <w:pPr>
        <w:shd w:val="clear" w:color="auto" w:fill="FFFFFF"/>
        <w:spacing w:line="360" w:lineRule="auto"/>
        <w:ind w:right="10" w:firstLine="567"/>
        <w:jc w:val="both"/>
        <w:rPr>
          <w:rFonts w:ascii="Courier New" w:hAnsi="Courier New"/>
          <w:sz w:val="28"/>
        </w:rPr>
      </w:pPr>
      <w:r>
        <w:rPr>
          <w:rFonts w:ascii="Courier New" w:hAnsi="Courier New"/>
          <w:color w:val="000000"/>
          <w:sz w:val="28"/>
        </w:rPr>
        <w:t>Одновременно с проектом бюджета представляются основные документы и материалы, использованные при его составлении: прогноз социально-экономического развития, основные направления налоговой и бюджетной политики, прогноз сводного финансового баланса и др. Представляются также прогноз консолидированного бюджета (федерального и субъектов Федерации), оценка исполнения бюджета текущего года и другие документы, предусмотренные Бюджетным кодексом Российской Федерации.</w:t>
      </w:r>
    </w:p>
    <w:p w:rsidR="001124F2" w:rsidRDefault="001124F2">
      <w:pPr>
        <w:shd w:val="clear" w:color="auto" w:fill="FFFFFF"/>
        <w:spacing w:line="360" w:lineRule="auto"/>
        <w:ind w:right="5" w:firstLine="567"/>
        <w:jc w:val="both"/>
        <w:rPr>
          <w:rFonts w:ascii="Courier New" w:hAnsi="Courier New"/>
          <w:sz w:val="28"/>
        </w:rPr>
      </w:pPr>
      <w:r>
        <w:rPr>
          <w:rFonts w:ascii="Courier New" w:hAnsi="Courier New"/>
          <w:color w:val="000000"/>
          <w:sz w:val="28"/>
        </w:rPr>
        <w:t>Вместе с тем было бы полезным представление дополнительных материалов, характеризующих эффективность предусматриваемых бюджетом мер, потери бюджета от предоставляемых им льгот, подробную информацию о государственном долге, потребности в средствах на его погашение и обслуживание на несколько лет вперед, задолженность государства по выплате заработной платы, оплате государственных заказов и контрактов, не учтенной в расходах бюджета текущего года, финансовые пороговые значения экономической безопасности и др.</w:t>
      </w:r>
    </w:p>
    <w:p w:rsidR="001124F2" w:rsidRDefault="001124F2">
      <w:pPr>
        <w:shd w:val="clear" w:color="auto" w:fill="FFFFFF"/>
        <w:spacing w:line="360" w:lineRule="auto"/>
        <w:ind w:right="5" w:firstLine="567"/>
        <w:jc w:val="both"/>
        <w:rPr>
          <w:rFonts w:ascii="Courier New" w:hAnsi="Courier New"/>
          <w:sz w:val="28"/>
        </w:rPr>
      </w:pPr>
      <w:r>
        <w:rPr>
          <w:rFonts w:ascii="Courier New" w:hAnsi="Courier New"/>
          <w:b/>
          <w:color w:val="000000"/>
          <w:sz w:val="28"/>
        </w:rPr>
        <w:t xml:space="preserve">Порядок и сроки составления проекта федерального бюджета </w:t>
      </w:r>
      <w:r>
        <w:rPr>
          <w:rFonts w:ascii="Courier New" w:hAnsi="Courier New"/>
          <w:color w:val="000000"/>
          <w:sz w:val="28"/>
        </w:rPr>
        <w:t>и порядок работы над документами и материалами, обязательными для представления одновременно с проектом федерального бюджета, определяются правительством исходя из Бюджетного кодекса РФ.</w:t>
      </w:r>
    </w:p>
    <w:p w:rsidR="001124F2" w:rsidRDefault="001124F2">
      <w:pPr>
        <w:shd w:val="clear" w:color="auto" w:fill="FFFFFF"/>
        <w:spacing w:line="360" w:lineRule="auto"/>
        <w:ind w:firstLine="567"/>
        <w:jc w:val="both"/>
        <w:rPr>
          <w:rFonts w:ascii="Courier New" w:hAnsi="Courier New"/>
          <w:sz w:val="28"/>
        </w:rPr>
      </w:pPr>
      <w:r>
        <w:rPr>
          <w:rFonts w:ascii="Courier New" w:hAnsi="Courier New"/>
          <w:color w:val="000000"/>
          <w:sz w:val="28"/>
        </w:rPr>
        <w:t>Министерство финансов РФ на основе прогноза социально-экономического развития на очередной финансовый год и уточненного среднесрочного прогноза социально-экономического развития организует разработку проектировок основных показателей федерального бюджета на среднесрочную перспективу и проекта закона о федеральном бюджете на очередной финансовый год.</w:t>
      </w:r>
    </w:p>
    <w:p w:rsidR="001124F2" w:rsidRDefault="001124F2">
      <w:pPr>
        <w:shd w:val="clear" w:color="auto" w:fill="FFFFFF"/>
        <w:spacing w:line="360" w:lineRule="auto"/>
        <w:ind w:right="77" w:firstLine="567"/>
        <w:jc w:val="both"/>
        <w:rPr>
          <w:rFonts w:ascii="Courier New" w:hAnsi="Courier New"/>
          <w:sz w:val="28"/>
        </w:rPr>
      </w:pPr>
      <w:r>
        <w:rPr>
          <w:rFonts w:ascii="Courier New" w:hAnsi="Courier New"/>
          <w:color w:val="000000"/>
          <w:sz w:val="28"/>
        </w:rPr>
        <w:t>Первым этапом формирования федерального бюджета является разработка исполнительными органами власти и выбор правительством плана прогноза функционирования экономики на очередной год. На основе выбранного правительством варианта прогноза Министерство финансов разрабатывает основные характеристики федерального бюджета и распределение расходов бюджета в соответствии с функциональной классификацией расходов на предстоящий год, а также проектировку основных доходов и расходов бюджета на среднесрочную перспективу. Одновременно правительством РФ рассматриваются предложения об увеличении (сохранении) минимального размера оплаты труда, минимального размера государственных пенсий, о порядке индексации заработной платы работников бюджетной сферы и государственных пенсий.</w:t>
      </w:r>
    </w:p>
    <w:p w:rsidR="001124F2" w:rsidRDefault="001124F2">
      <w:pPr>
        <w:shd w:val="clear" w:color="auto" w:fill="FFFFFF"/>
        <w:spacing w:line="360" w:lineRule="auto"/>
        <w:ind w:right="67" w:firstLine="567"/>
        <w:jc w:val="both"/>
        <w:rPr>
          <w:rFonts w:ascii="Courier New" w:hAnsi="Courier New"/>
          <w:sz w:val="28"/>
        </w:rPr>
      </w:pPr>
      <w:r>
        <w:rPr>
          <w:rFonts w:ascii="Courier New" w:hAnsi="Courier New"/>
          <w:color w:val="000000"/>
          <w:sz w:val="28"/>
        </w:rPr>
        <w:t>После принятия правительством основных характеристик федерального бюджета и распределения его расходов в соответствии с функциональной классификацией Министерство финансов направляет проектировки федеральным органам исполнительной власти для распределения по конкретным получателям бюджетных средств и информирует органы исполнительной власти субъектов Федерации о методике формирования межбюджетных отношений Российской Федерации и ее субъектов на планируемый год.</w:t>
      </w:r>
    </w:p>
    <w:p w:rsidR="001124F2" w:rsidRDefault="001124F2">
      <w:pPr>
        <w:shd w:val="clear" w:color="auto" w:fill="FFFFFF"/>
        <w:spacing w:line="360" w:lineRule="auto"/>
        <w:ind w:right="53" w:firstLine="567"/>
        <w:jc w:val="both"/>
        <w:rPr>
          <w:rFonts w:ascii="Courier New" w:hAnsi="Courier New"/>
          <w:sz w:val="28"/>
        </w:rPr>
      </w:pPr>
      <w:r>
        <w:rPr>
          <w:rFonts w:ascii="Courier New" w:hAnsi="Courier New"/>
          <w:color w:val="000000"/>
          <w:sz w:val="28"/>
        </w:rPr>
        <w:t>На втором этапе формирования проекта федерального бюджета федеральными органами исполнительной власти осуществляется распределение предельных объемов бюджетного финансирования в соответствии с функциональной и экономической классификациями расходов и по получателям бюджетных средств. Одновременно органы исполнительной власти формируют перечень федеральных целевых программ и согласовывают эти программы и объемы их финансирования на предстоящий год и среднесрочную перспективу.</w:t>
      </w:r>
    </w:p>
    <w:p w:rsidR="001124F2" w:rsidRDefault="001124F2">
      <w:pPr>
        <w:shd w:val="clear" w:color="auto" w:fill="FFFFFF"/>
        <w:spacing w:line="360" w:lineRule="auto"/>
        <w:ind w:right="34" w:firstLine="567"/>
        <w:jc w:val="both"/>
        <w:rPr>
          <w:rFonts w:ascii="Courier New" w:hAnsi="Courier New"/>
          <w:sz w:val="28"/>
        </w:rPr>
      </w:pPr>
      <w:r>
        <w:rPr>
          <w:rFonts w:ascii="Courier New" w:hAnsi="Courier New"/>
          <w:color w:val="000000"/>
          <w:sz w:val="28"/>
        </w:rPr>
        <w:t>В соответствии с Бюджетным кодексом РФ разработка и согласование федеральными органами исполнительной власти проекта годового бюджета и представляемых одновременно с ним документов и материалов должны заканчиваться к 15 июля. С 15 июля по 15 августа правительство должно рассмотреть представленные уточненные проекты прогноза социально-экономического развития, проекта бюджета, других документов и материалов, а также предложения об отмене действующих законодательных актов или принятии новых законов, связанных с составлением федерального бюджета.</w:t>
      </w:r>
    </w:p>
    <w:p w:rsidR="001124F2" w:rsidRDefault="001124F2">
      <w:pPr>
        <w:pStyle w:val="ac"/>
        <w:jc w:val="center"/>
        <w:rPr>
          <w:rFonts w:ascii="Courier New" w:hAnsi="Courier New"/>
          <w:b/>
          <w:sz w:val="32"/>
        </w:rPr>
      </w:pPr>
      <w:r>
        <w:rPr>
          <w:rFonts w:ascii="Courier New" w:hAnsi="Courier New"/>
          <w:b/>
          <w:sz w:val="32"/>
        </w:rPr>
        <w:t>Рассмотрение и утверждение закона о федеральном бюджете</w:t>
      </w:r>
    </w:p>
    <w:p w:rsidR="001124F2" w:rsidRDefault="001124F2">
      <w:pPr>
        <w:shd w:val="clear" w:color="auto" w:fill="FFFFFF"/>
        <w:spacing w:line="360" w:lineRule="auto"/>
        <w:ind w:right="19" w:firstLine="567"/>
        <w:jc w:val="both"/>
        <w:rPr>
          <w:rFonts w:ascii="Courier New" w:hAnsi="Courier New"/>
          <w:sz w:val="28"/>
        </w:rPr>
      </w:pPr>
      <w:r>
        <w:rPr>
          <w:rFonts w:ascii="Courier New" w:hAnsi="Courier New"/>
          <w:color w:val="000000"/>
          <w:sz w:val="28"/>
        </w:rPr>
        <w:t>В соответствии с Бюджетным кодексом принятые правительством проект бюджета и другие документы и материалы вносятся им на рассмотрение и утверждение в Государственную Думу не позднее 15 августа. Одновременно они представляются также президенту Российской Федерации.</w:t>
      </w:r>
    </w:p>
    <w:p w:rsidR="001124F2" w:rsidRDefault="001124F2">
      <w:pPr>
        <w:shd w:val="clear" w:color="auto" w:fill="FFFFFF"/>
        <w:spacing w:line="360" w:lineRule="auto"/>
        <w:ind w:firstLine="567"/>
        <w:jc w:val="both"/>
        <w:rPr>
          <w:rFonts w:ascii="Courier New" w:hAnsi="Courier New"/>
          <w:sz w:val="28"/>
        </w:rPr>
      </w:pPr>
      <w:r>
        <w:rPr>
          <w:rFonts w:ascii="Courier New" w:hAnsi="Courier New"/>
          <w:color w:val="000000"/>
          <w:sz w:val="28"/>
        </w:rPr>
        <w:t>Основными документами и материалами, представляемыми одновременно с проектом федерального бюджета, являются следующие: предварительные итоги социально-экономического развития за истекший период текущего года, прогноз социально-экономического развития на очередной год, основные направления бюджетной и налоговой политики на очередной год, план развития государственного и муниципального сектора экономики, проекты федеральных целевых программ, прогноз сводного финансового баланса, прогноз консолидированного бюджета Российской Федерации, основные принципы и расчеты по взаимоотношениям федерального бюджета с консолидированными бюджетами субъектов Федерации, проект программы государственных внутренних и внешних заимствований, проект структуры государственного внутреннего и внешнего долга.</w:t>
      </w:r>
    </w:p>
    <w:p w:rsidR="001124F2" w:rsidRDefault="001124F2">
      <w:pPr>
        <w:shd w:val="clear" w:color="auto" w:fill="FFFFFF"/>
        <w:spacing w:line="360" w:lineRule="auto"/>
        <w:ind w:right="10" w:firstLine="567"/>
        <w:jc w:val="both"/>
        <w:rPr>
          <w:rFonts w:ascii="Courier New" w:hAnsi="Courier New"/>
          <w:sz w:val="28"/>
        </w:rPr>
      </w:pPr>
      <w:r>
        <w:rPr>
          <w:rFonts w:ascii="Courier New" w:hAnsi="Courier New"/>
          <w:color w:val="000000"/>
          <w:sz w:val="28"/>
        </w:rPr>
        <w:t>Проект федерального бюджета и другие документы, полученные Государственной Думой, направляются в ее комитеты по бюджету, налогам, банкам, финансам, а также другим комитетам для рассмотрения, подготовки предложений и заключения.</w:t>
      </w:r>
    </w:p>
    <w:p w:rsidR="001124F2" w:rsidRDefault="001124F2">
      <w:pPr>
        <w:shd w:val="clear" w:color="auto" w:fill="FFFFFF"/>
        <w:spacing w:line="360" w:lineRule="auto"/>
        <w:ind w:right="5" w:firstLine="567"/>
        <w:jc w:val="both"/>
        <w:rPr>
          <w:rFonts w:ascii="Courier New" w:hAnsi="Courier New"/>
          <w:sz w:val="28"/>
        </w:rPr>
      </w:pPr>
      <w:r>
        <w:rPr>
          <w:rFonts w:ascii="Courier New" w:hAnsi="Courier New"/>
          <w:color w:val="000000"/>
          <w:sz w:val="28"/>
        </w:rPr>
        <w:t>Не позднее 1 октября правительство вносит дополнительно в Государственную Думу оценку ожидаемого исполнения федерального бюджета на текущий год и консолидированного бюджета Российской Федерации за отчетный год, поквартальное распределение доходов и расходов федерального бюджета и ряд других материалов. Банк России в эти же сроки представляет проект основных направлений единой государственной денежно-кредитной политики на планируемый финансовый год.</w:t>
      </w:r>
    </w:p>
    <w:p w:rsidR="001124F2" w:rsidRDefault="001124F2">
      <w:pPr>
        <w:shd w:val="clear" w:color="auto" w:fill="FFFFFF"/>
        <w:spacing w:line="360" w:lineRule="auto"/>
        <w:ind w:right="5" w:firstLine="567"/>
        <w:jc w:val="both"/>
        <w:rPr>
          <w:rFonts w:ascii="Courier New" w:hAnsi="Courier New"/>
          <w:i/>
          <w:sz w:val="28"/>
        </w:rPr>
      </w:pPr>
      <w:r>
        <w:rPr>
          <w:rFonts w:ascii="Courier New" w:hAnsi="Courier New"/>
          <w:i/>
          <w:color w:val="000000"/>
          <w:sz w:val="28"/>
        </w:rPr>
        <w:t>Государственная Дума рассматривает и принимает проект бюджета в четырех чтениях.</w:t>
      </w:r>
    </w:p>
    <w:p w:rsidR="001124F2" w:rsidRDefault="001124F2">
      <w:pPr>
        <w:shd w:val="clear" w:color="auto" w:fill="FFFFFF"/>
        <w:spacing w:line="360" w:lineRule="auto"/>
        <w:ind w:firstLine="567"/>
        <w:jc w:val="both"/>
        <w:rPr>
          <w:rFonts w:ascii="Courier New" w:hAnsi="Courier New"/>
          <w:sz w:val="28"/>
        </w:rPr>
      </w:pPr>
      <w:r>
        <w:rPr>
          <w:rFonts w:ascii="Courier New" w:hAnsi="Courier New"/>
          <w:color w:val="000000"/>
          <w:sz w:val="28"/>
        </w:rPr>
        <w:t xml:space="preserve">В </w:t>
      </w:r>
      <w:r>
        <w:rPr>
          <w:rFonts w:ascii="Courier New" w:hAnsi="Courier New"/>
          <w:i/>
          <w:color w:val="000000"/>
          <w:sz w:val="28"/>
        </w:rPr>
        <w:t>первом чтении</w:t>
      </w:r>
      <w:r>
        <w:rPr>
          <w:rFonts w:ascii="Courier New" w:hAnsi="Courier New"/>
          <w:color w:val="000000"/>
          <w:sz w:val="28"/>
        </w:rPr>
        <w:t xml:space="preserve"> обсуждаются концепция бюджета, прогноз социально-экономического развития, основные направления бюджетной и налоговой политики, основные принципы и расчеты во взаимоотношениях федерального бюджета и бюджетов субъектов Федерации, проект программы государственных внешних заимствований, связанных с финансированием дефицита федерального бюджета. Одновременно рассматриваются основные характеристики федерального бюджета:</w:t>
      </w:r>
    </w:p>
    <w:p w:rsidR="001124F2" w:rsidRDefault="001124F2" w:rsidP="001124F2">
      <w:pPr>
        <w:numPr>
          <w:ilvl w:val="0"/>
          <w:numId w:val="4"/>
        </w:numPr>
        <w:shd w:val="clear" w:color="auto" w:fill="FFFFFF"/>
        <w:tabs>
          <w:tab w:val="clear" w:pos="360"/>
          <w:tab w:val="num" w:pos="927"/>
        </w:tabs>
        <w:spacing w:line="360" w:lineRule="auto"/>
        <w:ind w:left="927"/>
        <w:jc w:val="both"/>
        <w:rPr>
          <w:rFonts w:ascii="Courier New" w:hAnsi="Courier New"/>
          <w:sz w:val="28"/>
        </w:rPr>
      </w:pPr>
      <w:r>
        <w:rPr>
          <w:rFonts w:ascii="Courier New" w:hAnsi="Courier New"/>
          <w:color w:val="000000"/>
          <w:sz w:val="28"/>
        </w:rPr>
        <w:t>доходы федерального бюджета по группам, подгруппам и статьям классификации бюджета;</w:t>
      </w:r>
    </w:p>
    <w:p w:rsidR="001124F2" w:rsidRDefault="001124F2" w:rsidP="001124F2">
      <w:pPr>
        <w:numPr>
          <w:ilvl w:val="0"/>
          <w:numId w:val="4"/>
        </w:numPr>
        <w:shd w:val="clear" w:color="auto" w:fill="FFFFFF"/>
        <w:tabs>
          <w:tab w:val="clear" w:pos="360"/>
          <w:tab w:val="num" w:pos="927"/>
        </w:tabs>
        <w:spacing w:line="360" w:lineRule="auto"/>
        <w:ind w:left="927"/>
        <w:jc w:val="both"/>
        <w:rPr>
          <w:rFonts w:ascii="Courier New" w:hAnsi="Courier New"/>
          <w:sz w:val="28"/>
        </w:rPr>
      </w:pPr>
      <w:r>
        <w:rPr>
          <w:rFonts w:ascii="Courier New" w:hAnsi="Courier New"/>
          <w:color w:val="000000"/>
          <w:sz w:val="28"/>
        </w:rPr>
        <w:t>распределение доходов от федеральных налогов и сборов между федеральным бюджетом и бюджетами субъектов Федерации;</w:t>
      </w:r>
    </w:p>
    <w:p w:rsidR="001124F2" w:rsidRDefault="001124F2" w:rsidP="001124F2">
      <w:pPr>
        <w:numPr>
          <w:ilvl w:val="0"/>
          <w:numId w:val="4"/>
        </w:numPr>
        <w:shd w:val="clear" w:color="auto" w:fill="FFFFFF"/>
        <w:tabs>
          <w:tab w:val="clear" w:pos="360"/>
          <w:tab w:val="num" w:pos="927"/>
        </w:tabs>
        <w:spacing w:line="360" w:lineRule="auto"/>
        <w:ind w:left="927"/>
        <w:jc w:val="both"/>
        <w:rPr>
          <w:rFonts w:ascii="Courier New" w:hAnsi="Courier New"/>
          <w:sz w:val="28"/>
        </w:rPr>
      </w:pPr>
      <w:r>
        <w:rPr>
          <w:rFonts w:ascii="Courier New" w:hAnsi="Courier New"/>
          <w:color w:val="000000"/>
          <w:sz w:val="28"/>
        </w:rPr>
        <w:t>общий объем расходов федерального бюджета;</w:t>
      </w:r>
    </w:p>
    <w:p w:rsidR="001124F2" w:rsidRDefault="001124F2" w:rsidP="001124F2">
      <w:pPr>
        <w:numPr>
          <w:ilvl w:val="0"/>
          <w:numId w:val="4"/>
        </w:numPr>
        <w:shd w:val="clear" w:color="auto" w:fill="FFFFFF"/>
        <w:tabs>
          <w:tab w:val="clear" w:pos="360"/>
          <w:tab w:val="num" w:pos="927"/>
        </w:tabs>
        <w:spacing w:line="360" w:lineRule="auto"/>
        <w:ind w:left="927"/>
        <w:jc w:val="both"/>
        <w:rPr>
          <w:rFonts w:ascii="Courier New" w:hAnsi="Courier New"/>
          <w:sz w:val="28"/>
        </w:rPr>
      </w:pPr>
      <w:r>
        <w:rPr>
          <w:rFonts w:ascii="Courier New" w:hAnsi="Courier New"/>
          <w:color w:val="000000"/>
          <w:sz w:val="28"/>
        </w:rPr>
        <w:t>дефицит федерального бюджета и источники его финансирования.</w:t>
      </w:r>
    </w:p>
    <w:p w:rsidR="001124F2" w:rsidRDefault="001124F2">
      <w:pPr>
        <w:shd w:val="clear" w:color="auto" w:fill="FFFFFF"/>
        <w:spacing w:line="360" w:lineRule="auto"/>
        <w:ind w:firstLine="567"/>
        <w:jc w:val="both"/>
        <w:rPr>
          <w:rFonts w:ascii="Courier New" w:hAnsi="Courier New"/>
          <w:sz w:val="28"/>
        </w:rPr>
      </w:pPr>
      <w:r>
        <w:rPr>
          <w:rFonts w:ascii="Courier New" w:hAnsi="Courier New"/>
          <w:color w:val="000000"/>
          <w:sz w:val="28"/>
        </w:rPr>
        <w:t>При этом до утверждения основных характеристик бюджета в первом чтении должны быть приняты федеральные законы о внесении дополнений и изменений в федеральные законы о тарифах страховых взносов в государственные внебюджетные фонды.</w:t>
      </w:r>
    </w:p>
    <w:p w:rsidR="001124F2" w:rsidRDefault="001124F2">
      <w:pPr>
        <w:shd w:val="clear" w:color="auto" w:fill="FFFFFF"/>
        <w:spacing w:line="360" w:lineRule="auto"/>
        <w:ind w:right="5" w:firstLine="567"/>
        <w:jc w:val="both"/>
        <w:rPr>
          <w:rFonts w:ascii="Courier New" w:hAnsi="Courier New"/>
          <w:sz w:val="28"/>
        </w:rPr>
      </w:pPr>
      <w:r>
        <w:rPr>
          <w:rFonts w:ascii="Courier New" w:hAnsi="Courier New"/>
          <w:color w:val="000000"/>
          <w:sz w:val="28"/>
        </w:rPr>
        <w:t xml:space="preserve">В случае отклонения бюджета в </w:t>
      </w:r>
      <w:r>
        <w:rPr>
          <w:rFonts w:ascii="Courier New" w:hAnsi="Courier New"/>
          <w:i/>
          <w:color w:val="000000"/>
          <w:sz w:val="28"/>
        </w:rPr>
        <w:t xml:space="preserve">первом чтении </w:t>
      </w:r>
      <w:r>
        <w:rPr>
          <w:rFonts w:ascii="Courier New" w:hAnsi="Courier New"/>
          <w:color w:val="000000"/>
          <w:sz w:val="28"/>
        </w:rPr>
        <w:t>он может быть передан для рассмотрения в согласительную комиссию, состоящую из представителей Государственной Думы, Совета Федерации и правительства для разработки согласованного варианта основных характеристик бюджета или возвращен в правительство на доработку. Может быть также поставлен вопрос о доверии правительству. В случае отставки правительства вновь образованное правительство вносит новый вариант проекта бюджета в течение 30 дней после сформирования. При повторном отклонении бюджета в первом чтении после работы согласительной комиссии Государственная Дума ставит вопрос о доверии правительству.</w:t>
      </w:r>
    </w:p>
    <w:p w:rsidR="001124F2" w:rsidRDefault="001124F2">
      <w:pPr>
        <w:shd w:val="clear" w:color="auto" w:fill="FFFFFF"/>
        <w:spacing w:line="360" w:lineRule="auto"/>
        <w:ind w:right="14" w:firstLine="567"/>
        <w:jc w:val="both"/>
        <w:rPr>
          <w:rFonts w:ascii="Courier New" w:hAnsi="Courier New"/>
          <w:sz w:val="28"/>
        </w:rPr>
      </w:pPr>
      <w:r>
        <w:rPr>
          <w:rFonts w:ascii="Courier New" w:hAnsi="Courier New"/>
          <w:color w:val="000000"/>
          <w:sz w:val="28"/>
        </w:rPr>
        <w:t xml:space="preserve">При рассмотрении бюджета во </w:t>
      </w:r>
      <w:r>
        <w:rPr>
          <w:rFonts w:ascii="Courier New" w:hAnsi="Courier New"/>
          <w:i/>
          <w:color w:val="000000"/>
          <w:sz w:val="28"/>
        </w:rPr>
        <w:t xml:space="preserve">втором чтении </w:t>
      </w:r>
      <w:r>
        <w:rPr>
          <w:rFonts w:ascii="Courier New" w:hAnsi="Courier New"/>
          <w:color w:val="000000"/>
          <w:sz w:val="28"/>
        </w:rPr>
        <w:t>утверждаются расходы бюджета по разделам функциональной классификации в пределах утвержденной в первом чтении общей суммы расходов и размер фонда финансовой поддержки субъектов Российской Федерации.</w:t>
      </w:r>
    </w:p>
    <w:p w:rsidR="001124F2" w:rsidRDefault="001124F2">
      <w:pPr>
        <w:shd w:val="clear" w:color="auto" w:fill="FFFFFF"/>
        <w:spacing w:line="360" w:lineRule="auto"/>
        <w:ind w:right="10" w:firstLine="567"/>
        <w:jc w:val="both"/>
        <w:rPr>
          <w:rFonts w:ascii="Courier New" w:hAnsi="Courier New"/>
          <w:sz w:val="28"/>
        </w:rPr>
      </w:pPr>
      <w:r>
        <w:rPr>
          <w:rFonts w:ascii="Courier New" w:hAnsi="Courier New"/>
          <w:color w:val="000000"/>
          <w:sz w:val="28"/>
        </w:rPr>
        <w:t xml:space="preserve">При рассмотрении бюджета в </w:t>
      </w:r>
      <w:r>
        <w:rPr>
          <w:rFonts w:ascii="Courier New" w:hAnsi="Courier New"/>
          <w:i/>
          <w:color w:val="000000"/>
          <w:sz w:val="28"/>
        </w:rPr>
        <w:t xml:space="preserve">третьем чтении </w:t>
      </w:r>
      <w:r>
        <w:rPr>
          <w:rFonts w:ascii="Courier New" w:hAnsi="Courier New"/>
          <w:color w:val="000000"/>
          <w:sz w:val="28"/>
        </w:rPr>
        <w:t>утверждаются расходы бюджета по подразделам функциональной бюджетной классификации расходов и главным распорядителям расходов по всем четырем уровням функциональной классификации расходов, распределение средств федерального фонда финансовой поддержки субъектов Российской Федерации по субъектам Федерации, расходы на финансирование федеральных целевых программ, федеральной адресной инвестиционной программы, программы предоставления гарантий правительства, программы предоставления средств федерального бюджета на возвратной основе по каждому виду расходов, программа государственных внешних заимствований на очередной финансовый год.</w:t>
      </w:r>
    </w:p>
    <w:p w:rsidR="001124F2" w:rsidRDefault="001124F2">
      <w:pPr>
        <w:shd w:val="clear" w:color="auto" w:fill="FFFFFF"/>
        <w:spacing w:line="360" w:lineRule="auto"/>
        <w:ind w:right="96" w:firstLine="567"/>
        <w:jc w:val="both"/>
        <w:rPr>
          <w:rFonts w:ascii="Courier New" w:hAnsi="Courier New"/>
          <w:sz w:val="28"/>
        </w:rPr>
      </w:pPr>
      <w:r>
        <w:rPr>
          <w:rFonts w:ascii="Courier New" w:hAnsi="Courier New"/>
          <w:color w:val="000000"/>
          <w:sz w:val="28"/>
        </w:rPr>
        <w:t xml:space="preserve">В </w:t>
      </w:r>
      <w:r>
        <w:rPr>
          <w:rFonts w:ascii="Courier New" w:hAnsi="Courier New"/>
          <w:i/>
          <w:color w:val="000000"/>
          <w:sz w:val="28"/>
        </w:rPr>
        <w:t xml:space="preserve">четвертом чтении </w:t>
      </w:r>
      <w:r>
        <w:rPr>
          <w:rFonts w:ascii="Courier New" w:hAnsi="Courier New"/>
          <w:color w:val="000000"/>
          <w:sz w:val="28"/>
        </w:rPr>
        <w:t>утверждается бюджет в целом. Внесение в него поправок не допускается. Принятый Государственной Думой бюджет направляется на рассмотрение в Совет Федерации.</w:t>
      </w:r>
    </w:p>
    <w:p w:rsidR="001124F2" w:rsidRDefault="001124F2">
      <w:pPr>
        <w:shd w:val="clear" w:color="auto" w:fill="FFFFFF"/>
        <w:spacing w:line="360" w:lineRule="auto"/>
        <w:ind w:right="96" w:firstLine="567"/>
        <w:jc w:val="both"/>
        <w:rPr>
          <w:rFonts w:ascii="Courier New" w:hAnsi="Courier New"/>
          <w:sz w:val="28"/>
        </w:rPr>
      </w:pPr>
      <w:r>
        <w:rPr>
          <w:rFonts w:ascii="Courier New" w:hAnsi="Courier New"/>
          <w:color w:val="000000"/>
          <w:sz w:val="28"/>
        </w:rPr>
        <w:t>Совет Федерации рассматривает проект бюджета в целом. Одобренный Советом Федерации проект бюджета направляется президенту Российской Федерации для подписания и обнародования.</w:t>
      </w:r>
    </w:p>
    <w:p w:rsidR="001124F2" w:rsidRDefault="001124F2">
      <w:pPr>
        <w:shd w:val="clear" w:color="auto" w:fill="FFFFFF"/>
        <w:spacing w:line="360" w:lineRule="auto"/>
        <w:ind w:right="82" w:firstLine="567"/>
        <w:jc w:val="both"/>
        <w:rPr>
          <w:rFonts w:ascii="Courier New" w:hAnsi="Courier New"/>
          <w:sz w:val="28"/>
        </w:rPr>
      </w:pPr>
      <w:r>
        <w:rPr>
          <w:rFonts w:ascii="Courier New" w:hAnsi="Courier New"/>
          <w:color w:val="000000"/>
          <w:sz w:val="28"/>
        </w:rPr>
        <w:t>В случае отклонения бюджета Советом Федерации он направляется в согласительную комиссию. Согласованный проект бюджета вторично рассматривается Государственной Думой в одном чтении. В случае несогласия Государственной Думы с Советом Федерации бюджет считается принятым, если за него проголосовало не менее 2/3 общего числа депутатов Государственной Думы.</w:t>
      </w:r>
    </w:p>
    <w:p w:rsidR="001124F2" w:rsidRDefault="001124F2">
      <w:pPr>
        <w:shd w:val="clear" w:color="auto" w:fill="FFFFFF"/>
        <w:spacing w:line="360" w:lineRule="auto"/>
        <w:ind w:right="67" w:firstLine="567"/>
        <w:jc w:val="both"/>
        <w:rPr>
          <w:rFonts w:ascii="Courier New" w:hAnsi="Courier New"/>
          <w:sz w:val="28"/>
        </w:rPr>
      </w:pPr>
      <w:r>
        <w:rPr>
          <w:rFonts w:ascii="Courier New" w:hAnsi="Courier New"/>
          <w:color w:val="000000"/>
          <w:sz w:val="28"/>
        </w:rPr>
        <w:t>В случае несогласия президента с бюджетом он направляется в согласительную комиссию с участием представителя президента и после согласования вновь рассматривается Советом Федерации и Государственной Думой. При несогласии Государственной Думы с предложениями президента бюджет может быть принят Государственной Думой 2/3 голосов.</w:t>
      </w:r>
    </w:p>
    <w:p w:rsidR="001124F2" w:rsidRDefault="001124F2">
      <w:pPr>
        <w:shd w:val="clear" w:color="auto" w:fill="FFFFFF"/>
        <w:spacing w:line="360" w:lineRule="auto"/>
        <w:ind w:right="62" w:firstLine="567"/>
        <w:jc w:val="both"/>
        <w:rPr>
          <w:rFonts w:ascii="Courier New" w:hAnsi="Courier New"/>
          <w:sz w:val="28"/>
        </w:rPr>
      </w:pPr>
      <w:r>
        <w:rPr>
          <w:rFonts w:ascii="Courier New" w:hAnsi="Courier New"/>
          <w:color w:val="000000"/>
          <w:sz w:val="28"/>
        </w:rPr>
        <w:t xml:space="preserve">Федеральный закон о бюджете не вступает в силу до начала очередного финансового года, если он не принят Государственной Думой до 1 декабря текущего года, а также в случае не вступления его в силу до 1 января очередного года по другим причинам. В этих случаях Государственная Дума может принять закон о финансировании расходов из федерального бюджета в </w:t>
      </w:r>
      <w:r>
        <w:rPr>
          <w:rFonts w:ascii="Courier New" w:hAnsi="Courier New"/>
          <w:color w:val="000000"/>
          <w:sz w:val="28"/>
          <w:lang w:val="en-US"/>
        </w:rPr>
        <w:t>I</w:t>
      </w:r>
      <w:r>
        <w:rPr>
          <w:rFonts w:ascii="Courier New" w:hAnsi="Courier New"/>
          <w:color w:val="000000"/>
          <w:sz w:val="28"/>
        </w:rPr>
        <w:t xml:space="preserve"> квартале очередного финансового года.</w:t>
      </w:r>
    </w:p>
    <w:p w:rsidR="001124F2" w:rsidRDefault="001124F2">
      <w:pPr>
        <w:pStyle w:val="1"/>
        <w:jc w:val="center"/>
      </w:pPr>
      <w:r>
        <w:rPr>
          <w:color w:val="000000"/>
        </w:rPr>
        <w:br w:type="page"/>
        <w:t xml:space="preserve">4. </w:t>
      </w:r>
      <w:r>
        <w:t>Поступления в бюджет</w:t>
      </w:r>
    </w:p>
    <w:p w:rsidR="001124F2" w:rsidRDefault="001124F2">
      <w:pPr>
        <w:pStyle w:val="30"/>
        <w:widowControl/>
        <w:autoSpaceDE/>
        <w:autoSpaceDN/>
        <w:adjustRightInd/>
        <w:spacing w:line="360" w:lineRule="auto"/>
        <w:rPr>
          <w:rFonts w:ascii="Courier New" w:hAnsi="Courier New"/>
        </w:rPr>
      </w:pPr>
      <w:r>
        <w:rPr>
          <w:rFonts w:ascii="Courier New" w:hAnsi="Courier New"/>
        </w:rPr>
        <w:t>Доходные операции обеспечивают основу для удовлетворения потребностей в расходах и предоставления государственных кредитов за счет имеющихся ресурсов без привлечения заемных средств или средств, накопленных за предыдущие периоды. Доходы являются невозвратными поступлениями в бюджет независимо от того, относятся ли они к возмездным или безвозмездным.</w:t>
      </w:r>
    </w:p>
    <w:p w:rsidR="001124F2" w:rsidRDefault="001124F2">
      <w:pPr>
        <w:shd w:val="clear" w:color="auto" w:fill="FFFFFF"/>
        <w:tabs>
          <w:tab w:val="left" w:pos="1910"/>
        </w:tabs>
        <w:spacing w:line="360" w:lineRule="auto"/>
        <w:ind w:firstLine="567"/>
        <w:jc w:val="both"/>
        <w:rPr>
          <w:rFonts w:ascii="Courier New" w:hAnsi="Courier New"/>
          <w:sz w:val="28"/>
        </w:rPr>
      </w:pPr>
      <w:r>
        <w:rPr>
          <w:rFonts w:ascii="Courier New" w:hAnsi="Courier New"/>
          <w:sz w:val="28"/>
        </w:rPr>
        <w:t xml:space="preserve">В соответствии с рекомендациями МВФ средства зачисляются в доходы бюджета по моменту их фактического поступления (по кассовому методу). </w:t>
      </w:r>
    </w:p>
    <w:p w:rsidR="001124F2" w:rsidRDefault="001124F2">
      <w:pPr>
        <w:shd w:val="clear" w:color="auto" w:fill="FFFFFF"/>
        <w:tabs>
          <w:tab w:val="left" w:pos="1910"/>
        </w:tabs>
        <w:spacing w:line="360" w:lineRule="auto"/>
        <w:ind w:firstLine="567"/>
        <w:jc w:val="both"/>
        <w:rPr>
          <w:rFonts w:ascii="Courier New" w:hAnsi="Courier New"/>
          <w:i/>
          <w:sz w:val="28"/>
        </w:rPr>
      </w:pPr>
      <w:r>
        <w:rPr>
          <w:rFonts w:ascii="Courier New" w:hAnsi="Courier New"/>
          <w:sz w:val="28"/>
        </w:rPr>
        <w:t xml:space="preserve">В России порядок зачисления определен ст. 40 Бюджетного кодекса Российской Федерации, согласно которой </w:t>
      </w:r>
      <w:r>
        <w:rPr>
          <w:rFonts w:ascii="Courier New" w:hAnsi="Courier New"/>
          <w:i/>
          <w:sz w:val="28"/>
        </w:rPr>
        <w:t>"денежные средства считаются зачисленными в доход соответствующего бюджета, бюджета государственного внебюджетного фонда с момента совершения Банком России или кредитной организацией операции по зачислению (учету) денежных средств на счет органа, исполняющего бюджет, бюджет государственного бюджетного фонда".</w:t>
      </w:r>
    </w:p>
    <w:p w:rsidR="001124F2" w:rsidRDefault="001124F2">
      <w:pPr>
        <w:pStyle w:val="1"/>
        <w:spacing w:line="360" w:lineRule="auto"/>
        <w:jc w:val="center"/>
      </w:pPr>
      <w:r>
        <w:rPr>
          <w:rFonts w:ascii="Courier New" w:hAnsi="Courier New"/>
          <w:i/>
        </w:rPr>
        <w:br w:type="page"/>
      </w:r>
      <w:r>
        <w:rPr>
          <w:i/>
        </w:rPr>
        <w:t>5</w:t>
      </w:r>
      <w:r>
        <w:t>. Классификация доходов бюджетов Российской Федерации</w:t>
      </w:r>
    </w:p>
    <w:p w:rsidR="001124F2" w:rsidRDefault="001124F2">
      <w:pPr>
        <w:pStyle w:val="30"/>
        <w:widowControl/>
        <w:autoSpaceDE/>
        <w:autoSpaceDN/>
        <w:adjustRightInd/>
        <w:spacing w:before="0" w:line="360" w:lineRule="auto"/>
        <w:rPr>
          <w:rFonts w:ascii="Courier New" w:hAnsi="Courier New"/>
        </w:rPr>
      </w:pPr>
      <w:r>
        <w:rPr>
          <w:rFonts w:ascii="Courier New" w:hAnsi="Courier New"/>
        </w:rPr>
        <w:t xml:space="preserve"> Данная классификация является общей группировкой доходов всех уровней бюджетной системы. Она основывается на законодательных актах, определяющих источники доходов.</w:t>
      </w:r>
    </w:p>
    <w:p w:rsidR="001124F2" w:rsidRDefault="001124F2">
      <w:pPr>
        <w:pStyle w:val="30"/>
        <w:widowControl/>
        <w:autoSpaceDE/>
        <w:autoSpaceDN/>
        <w:adjustRightInd/>
        <w:spacing w:before="0" w:line="360" w:lineRule="auto"/>
        <w:rPr>
          <w:rFonts w:ascii="Courier New" w:hAnsi="Courier New"/>
        </w:rPr>
      </w:pPr>
      <w:r>
        <w:rPr>
          <w:rFonts w:ascii="Courier New" w:hAnsi="Courier New"/>
        </w:rPr>
        <w:t>Согласно классификации доходов бюджетов Российской Федерации, доходы подразделяются на:</w:t>
      </w:r>
    </w:p>
    <w:p w:rsidR="001124F2" w:rsidRDefault="001124F2">
      <w:pPr>
        <w:shd w:val="clear" w:color="auto" w:fill="FFFFFF"/>
        <w:spacing w:line="360" w:lineRule="auto"/>
        <w:ind w:firstLine="567"/>
        <w:jc w:val="both"/>
        <w:rPr>
          <w:rFonts w:ascii="Courier New" w:hAnsi="Courier New"/>
          <w:sz w:val="28"/>
        </w:rPr>
      </w:pPr>
      <w:r>
        <w:rPr>
          <w:rFonts w:ascii="Courier New" w:hAnsi="Courier New"/>
          <w:b/>
          <w:color w:val="000000"/>
          <w:sz w:val="28"/>
        </w:rPr>
        <w:t xml:space="preserve">Общие доходы </w:t>
      </w:r>
      <w:r>
        <w:rPr>
          <w:rFonts w:ascii="Courier New" w:hAnsi="Courier New"/>
          <w:color w:val="000000"/>
          <w:sz w:val="28"/>
        </w:rPr>
        <w:t>состоят из текущих доходов и доходов от операций с капиталом.</w:t>
      </w:r>
    </w:p>
    <w:p w:rsidR="001124F2" w:rsidRDefault="001124F2">
      <w:pPr>
        <w:shd w:val="clear" w:color="auto" w:fill="FFFFFF"/>
        <w:spacing w:line="360" w:lineRule="auto"/>
        <w:ind w:firstLine="567"/>
        <w:jc w:val="both"/>
        <w:rPr>
          <w:rFonts w:ascii="Courier New" w:hAnsi="Courier New"/>
          <w:sz w:val="28"/>
        </w:rPr>
      </w:pPr>
      <w:r>
        <w:rPr>
          <w:rFonts w:ascii="Courier New" w:hAnsi="Courier New"/>
          <w:b/>
          <w:color w:val="000000"/>
          <w:sz w:val="28"/>
        </w:rPr>
        <w:t xml:space="preserve">Текущие доходы </w:t>
      </w:r>
      <w:r>
        <w:rPr>
          <w:rFonts w:ascii="Courier New" w:hAnsi="Courier New"/>
          <w:color w:val="000000"/>
          <w:sz w:val="28"/>
        </w:rPr>
        <w:t>образуются за счет налогов и текущих неналоговых поступлений.</w:t>
      </w:r>
    </w:p>
    <w:p w:rsidR="001124F2" w:rsidRDefault="001124F2">
      <w:pPr>
        <w:shd w:val="clear" w:color="auto" w:fill="FFFFFF"/>
        <w:spacing w:line="360" w:lineRule="auto"/>
        <w:ind w:firstLine="567"/>
        <w:jc w:val="both"/>
        <w:rPr>
          <w:rFonts w:ascii="Courier New" w:hAnsi="Courier New"/>
          <w:color w:val="000000"/>
          <w:sz w:val="28"/>
        </w:rPr>
      </w:pPr>
      <w:r>
        <w:rPr>
          <w:rFonts w:ascii="Courier New" w:hAnsi="Courier New"/>
          <w:b/>
          <w:color w:val="000000"/>
          <w:sz w:val="28"/>
        </w:rPr>
        <w:t xml:space="preserve">Налоги </w:t>
      </w:r>
      <w:r>
        <w:rPr>
          <w:rFonts w:ascii="Courier New" w:hAnsi="Courier New"/>
          <w:color w:val="000000"/>
          <w:sz w:val="28"/>
        </w:rPr>
        <w:t>являются наиболее существенным источником доходов бюджета. С их помощью мобилизуются средства предприятий, населения и других налогоплательщиков.</w:t>
      </w:r>
    </w:p>
    <w:p w:rsidR="001124F2" w:rsidRDefault="001124F2">
      <w:pPr>
        <w:pStyle w:val="ac"/>
        <w:spacing w:line="360" w:lineRule="auto"/>
        <w:ind w:firstLine="567"/>
        <w:jc w:val="both"/>
        <w:rPr>
          <w:rFonts w:ascii="Courier New" w:hAnsi="Courier New"/>
          <w:sz w:val="28"/>
        </w:rPr>
      </w:pPr>
      <w:r>
        <w:rPr>
          <w:rFonts w:ascii="Courier New" w:hAnsi="Courier New"/>
          <w:sz w:val="28"/>
        </w:rPr>
        <w:t xml:space="preserve">Налоговые поступления представляют собой обязательные, безвозмездные, невозвратные платежи субъектов хозяйствования и населения органам государственного управления, поступающие в установленных законом размерах и в определенные сроки. Их доля в центральных бюджетах развитых стран составляет 80-90%. В России по федеральному бюджету, утвержденному на </w:t>
      </w:r>
      <w:r>
        <w:rPr>
          <w:rFonts w:ascii="Courier New" w:hAnsi="Courier New"/>
          <w:color w:val="FF0000"/>
          <w:sz w:val="28"/>
        </w:rPr>
        <w:t>2002 г.,</w:t>
      </w:r>
      <w:r>
        <w:rPr>
          <w:rFonts w:ascii="Courier New" w:hAnsi="Courier New"/>
          <w:sz w:val="28"/>
        </w:rPr>
        <w:t xml:space="preserve"> сумма налоговых поступлений составляет </w:t>
      </w:r>
      <w:r>
        <w:rPr>
          <w:rFonts w:ascii="Courier New" w:hAnsi="Courier New"/>
          <w:color w:val="FF0000"/>
          <w:sz w:val="28"/>
        </w:rPr>
        <w:t>93,4</w:t>
      </w:r>
      <w:r>
        <w:rPr>
          <w:rFonts w:ascii="Courier New" w:hAnsi="Courier New"/>
          <w:sz w:val="28"/>
        </w:rPr>
        <w:t xml:space="preserve"> </w:t>
      </w:r>
      <w:r>
        <w:rPr>
          <w:rFonts w:ascii="Courier New" w:hAnsi="Courier New"/>
          <w:color w:val="FF0000"/>
          <w:sz w:val="28"/>
        </w:rPr>
        <w:t>%</w:t>
      </w:r>
      <w:r>
        <w:rPr>
          <w:rFonts w:ascii="Courier New" w:hAnsi="Courier New"/>
          <w:sz w:val="28"/>
        </w:rPr>
        <w:t xml:space="preserve"> общих доходов бюджета. Соответственно, неналоговые доходы в составе доходных источников занимают невысокий удельный вес — 5,6%.</w:t>
      </w:r>
    </w:p>
    <w:p w:rsidR="001124F2" w:rsidRDefault="001124F2">
      <w:pPr>
        <w:pStyle w:val="30"/>
        <w:widowControl/>
        <w:autoSpaceDE/>
        <w:autoSpaceDN/>
        <w:adjustRightInd/>
        <w:spacing w:before="0" w:line="360" w:lineRule="auto"/>
        <w:rPr>
          <w:rFonts w:ascii="Courier New" w:hAnsi="Courier New"/>
        </w:rPr>
      </w:pPr>
      <w:r>
        <w:rPr>
          <w:rFonts w:ascii="Courier New" w:hAnsi="Courier New"/>
        </w:rPr>
        <w:t>Наряду с указанной фискальной функцией налоги выполняют также регулирующую функцию, с помощью которой государство оказывает воздействие на производство. Регулирующая функция проявляется в том, что размеры налогообложения и различия в тяжести налогов по отдельным секторам экономики и отраслям оказывают влияние на производство ВВП, реальный сектор экономики, платежеспособный спрос и капиталообразование. Налоговая система не должна ослаблять стимулы к экономической деятельности, а в лучшем случае способствовать ей.</w:t>
      </w:r>
    </w:p>
    <w:p w:rsidR="001124F2" w:rsidRDefault="001124F2">
      <w:pPr>
        <w:pStyle w:val="ac"/>
        <w:rPr>
          <w:rFonts w:ascii="Courier New" w:hAnsi="Courier New"/>
          <w:b/>
          <w:sz w:val="28"/>
        </w:rPr>
      </w:pPr>
    </w:p>
    <w:p w:rsidR="001124F2" w:rsidRDefault="001124F2">
      <w:pPr>
        <w:pStyle w:val="ac"/>
        <w:spacing w:line="360" w:lineRule="auto"/>
        <w:rPr>
          <w:rFonts w:ascii="Courier New" w:hAnsi="Courier New"/>
          <w:b/>
          <w:sz w:val="28"/>
        </w:rPr>
      </w:pPr>
      <w:r>
        <w:rPr>
          <w:rFonts w:ascii="Courier New" w:hAnsi="Courier New"/>
          <w:b/>
          <w:sz w:val="28"/>
        </w:rPr>
        <w:t>Основными налоговыми поступлениями являются следующие:</w:t>
      </w:r>
    </w:p>
    <w:p w:rsidR="001124F2" w:rsidRDefault="001124F2">
      <w:pPr>
        <w:pStyle w:val="30"/>
        <w:widowControl/>
        <w:autoSpaceDE/>
        <w:autoSpaceDN/>
        <w:adjustRightInd/>
        <w:spacing w:line="360" w:lineRule="auto"/>
        <w:rPr>
          <w:rFonts w:ascii="Courier New" w:hAnsi="Courier New"/>
        </w:rPr>
      </w:pPr>
      <w:r>
        <w:rPr>
          <w:rFonts w:ascii="Courier New" w:hAnsi="Courier New"/>
        </w:rPr>
        <w:t>1) подоходные налоги, налоги на прибыль и на увеличение рыночной стоимости капитала. В эту группу налогов включаются налоги, взимаемые с чистого дохода отдельных лиц, с прибыли предприятий, организаций, банков, а также на прирост стоимости капитала, например, за счет операций с ценными бумагами и другими активами или продажи земли;</w:t>
      </w:r>
    </w:p>
    <w:p w:rsidR="001124F2" w:rsidRDefault="001124F2">
      <w:pPr>
        <w:shd w:val="clear" w:color="auto" w:fill="FFFFFF"/>
        <w:spacing w:line="360" w:lineRule="auto"/>
        <w:ind w:firstLine="567"/>
        <w:jc w:val="both"/>
        <w:rPr>
          <w:rFonts w:ascii="Courier New" w:hAnsi="Courier New"/>
          <w:color w:val="000000"/>
          <w:sz w:val="28"/>
        </w:rPr>
      </w:pPr>
      <w:r>
        <w:rPr>
          <w:rFonts w:ascii="Courier New" w:hAnsi="Courier New"/>
          <w:color w:val="000000"/>
          <w:sz w:val="28"/>
        </w:rPr>
        <w:t xml:space="preserve">2) отчисления работодателей и работников в государственные социальные фонды - пенсионный, социального страхования, медицинского страхования. Отчисления в социальные внебюджетные фонды рассматриваются вместе с налогами, а не как страховые взносы в силу их обязательности. </w:t>
      </w:r>
    </w:p>
    <w:p w:rsidR="001124F2" w:rsidRDefault="001124F2">
      <w:pPr>
        <w:shd w:val="clear" w:color="auto" w:fill="FFFFFF"/>
        <w:spacing w:line="360" w:lineRule="auto"/>
        <w:ind w:firstLine="567"/>
        <w:jc w:val="both"/>
        <w:rPr>
          <w:rFonts w:ascii="Courier New" w:hAnsi="Courier New"/>
          <w:sz w:val="28"/>
        </w:rPr>
      </w:pPr>
      <w:r>
        <w:rPr>
          <w:rFonts w:ascii="Courier New" w:hAnsi="Courier New"/>
          <w:color w:val="000000"/>
          <w:sz w:val="28"/>
        </w:rPr>
        <w:t>Обязательность обусловлена тем, что в противном случае значительное число людей может не позаботиться о сбережениях для обеспечения приемлемого уровня доходов после выхода на пенсию или в случае наступления нетрудоспособности. В странах с развитой рыночной экономикой существуют включаемые в бюджет отчисления на социальные нужды государственных служащих и отчисления в различные частные социальные фонды. В российской практике отдельные социальные фонды для государственных служащих не формируются, а сохраняется исторически сложившееся формирование внебюджетных социальных фондов для всех категорий населения. Отчисления в эти фонды, как видно из их названия, не включаются в бюджет, а образуют источники поступлений в эти самостоятельные фонды.</w:t>
      </w:r>
    </w:p>
    <w:p w:rsidR="001124F2" w:rsidRDefault="001124F2">
      <w:pPr>
        <w:shd w:val="clear" w:color="auto" w:fill="FFFFFF"/>
        <w:spacing w:line="360" w:lineRule="auto"/>
        <w:ind w:firstLine="567"/>
        <w:jc w:val="both"/>
        <w:rPr>
          <w:rFonts w:ascii="Courier New" w:hAnsi="Courier New"/>
          <w:sz w:val="28"/>
        </w:rPr>
      </w:pPr>
      <w:r>
        <w:rPr>
          <w:rFonts w:ascii="Courier New" w:hAnsi="Courier New"/>
          <w:color w:val="000000"/>
          <w:sz w:val="28"/>
        </w:rPr>
        <w:t>Включение этих отчислений в схему обусловлено необходимостью получения консолидированных данных в целом по всем государственным финансам, включающим доходы, как бюджетов, так и внебюджетных фондов;</w:t>
      </w:r>
    </w:p>
    <w:p w:rsidR="001124F2" w:rsidRDefault="001124F2">
      <w:pPr>
        <w:shd w:val="clear" w:color="auto" w:fill="FFFFFF"/>
        <w:spacing w:line="360" w:lineRule="auto"/>
        <w:ind w:firstLine="567"/>
        <w:jc w:val="both"/>
        <w:rPr>
          <w:rFonts w:ascii="Courier New" w:hAnsi="Courier New"/>
          <w:sz w:val="28"/>
        </w:rPr>
      </w:pPr>
      <w:r>
        <w:rPr>
          <w:rFonts w:ascii="Courier New" w:hAnsi="Courier New"/>
          <w:color w:val="000000"/>
          <w:sz w:val="28"/>
        </w:rPr>
        <w:t>3) налоги, взимаемые в зависимости от фонда оплаты труда (кроме отчислений в социальные фонды), например, транспортный налог, целевые сборы с граждан и предприятий на содержание милиции, благоустройство территории, содержание общеобразовательных учреждений;</w:t>
      </w:r>
    </w:p>
    <w:p w:rsidR="001124F2" w:rsidRDefault="001124F2">
      <w:pPr>
        <w:shd w:val="clear" w:color="auto" w:fill="FFFFFF"/>
        <w:spacing w:line="360" w:lineRule="auto"/>
        <w:ind w:firstLine="567"/>
        <w:jc w:val="both"/>
        <w:rPr>
          <w:rFonts w:ascii="Courier New" w:hAnsi="Courier New"/>
          <w:sz w:val="28"/>
        </w:rPr>
      </w:pPr>
      <w:r>
        <w:rPr>
          <w:rFonts w:ascii="Courier New" w:hAnsi="Courier New"/>
          <w:color w:val="000000"/>
          <w:sz w:val="28"/>
        </w:rPr>
        <w:t>4) налоги на собственность. В эту группу входят налоги на имущество юридических и физических лиц, имущество, переходящее в порядке наследования и дарения, земельный налог, налог с владельцев транспортных средств;</w:t>
      </w:r>
    </w:p>
    <w:p w:rsidR="001124F2" w:rsidRDefault="001124F2">
      <w:pPr>
        <w:shd w:val="clear" w:color="auto" w:fill="FFFFFF"/>
        <w:spacing w:line="360" w:lineRule="auto"/>
        <w:ind w:firstLine="567"/>
        <w:jc w:val="both"/>
        <w:rPr>
          <w:rFonts w:ascii="Courier New" w:hAnsi="Courier New"/>
          <w:sz w:val="28"/>
        </w:rPr>
      </w:pPr>
      <w:r>
        <w:rPr>
          <w:rFonts w:ascii="Courier New" w:hAnsi="Courier New"/>
          <w:color w:val="000000"/>
          <w:sz w:val="28"/>
        </w:rPr>
        <w:t>5) внутренние налоги на товары и услуги. К ним относятся налог на добавленную стоимость, акцизы, налоги на пользователей автомобильных дорог, на приобретение транспортных средств, содержание жилищного фонда, сбор со сделок, совершаемых на биржах, лицензионные сборы за право производства и торговли спиртными напитками. Налог на добавленную стоимость взимается на каждой стадии производства от суммы добавленной стоимости, определяемой как разность между ценой продажи и расходами на покупку факторов производства. Если сложить налоги, уплаченные на каждой стадии производства, то итоговая сумма практически является налогом на розничную торговлю, взимаемым по общей ставке со всех продаваемых товаров. НДС практикуется в европейских странах. В США вместо него взимается налог на розничную торговлю - налог с продаж;</w:t>
      </w:r>
    </w:p>
    <w:p w:rsidR="001124F2" w:rsidRDefault="001124F2">
      <w:pPr>
        <w:shd w:val="clear" w:color="auto" w:fill="FFFFFF"/>
        <w:spacing w:line="360" w:lineRule="auto"/>
        <w:ind w:firstLine="567"/>
        <w:jc w:val="both"/>
        <w:rPr>
          <w:rFonts w:ascii="Courier New" w:hAnsi="Courier New"/>
          <w:sz w:val="28"/>
        </w:rPr>
      </w:pPr>
      <w:r>
        <w:rPr>
          <w:rFonts w:ascii="Courier New" w:hAnsi="Courier New"/>
          <w:color w:val="000000"/>
          <w:sz w:val="28"/>
        </w:rPr>
        <w:t>6) налоги на внешнюю торговлю и внешнеэкономические операции. Основными налогами этой группы являются импортные и экспортные пошлины;</w:t>
      </w:r>
    </w:p>
    <w:p w:rsidR="001124F2" w:rsidRDefault="001124F2">
      <w:pPr>
        <w:shd w:val="clear" w:color="auto" w:fill="FFFFFF"/>
        <w:spacing w:line="360" w:lineRule="auto"/>
        <w:ind w:firstLine="567"/>
        <w:rPr>
          <w:rFonts w:ascii="Courier New" w:hAnsi="Courier New"/>
          <w:sz w:val="28"/>
        </w:rPr>
      </w:pPr>
      <w:r>
        <w:rPr>
          <w:rFonts w:ascii="Courier New" w:hAnsi="Courier New"/>
          <w:color w:val="000000"/>
          <w:sz w:val="28"/>
        </w:rPr>
        <w:t>7) прочие налоги, сборы и пошлины.</w:t>
      </w:r>
    </w:p>
    <w:p w:rsidR="001124F2" w:rsidRDefault="001124F2">
      <w:pPr>
        <w:shd w:val="clear" w:color="auto" w:fill="FFFFFF"/>
        <w:spacing w:line="360" w:lineRule="auto"/>
        <w:ind w:firstLine="567"/>
        <w:jc w:val="both"/>
        <w:rPr>
          <w:rFonts w:ascii="Courier New" w:hAnsi="Courier New"/>
          <w:color w:val="000000"/>
          <w:sz w:val="28"/>
        </w:rPr>
      </w:pPr>
      <w:r>
        <w:rPr>
          <w:rFonts w:ascii="Courier New" w:hAnsi="Courier New"/>
          <w:color w:val="000000"/>
          <w:sz w:val="28"/>
        </w:rPr>
        <w:t>Наиболее значимыми налоговыми доходами являются налог на прибыль, индивидуальный подоходный налог и косвенные налоги - налог на добавленную стоимость, налог с продаж, налог с оборота, акцизы, таможенные пошлины.</w:t>
      </w:r>
    </w:p>
    <w:p w:rsidR="001124F2" w:rsidRDefault="001124F2">
      <w:pPr>
        <w:shd w:val="clear" w:color="auto" w:fill="FFFFFF"/>
        <w:spacing w:line="360" w:lineRule="auto"/>
        <w:ind w:firstLine="567"/>
        <w:jc w:val="both"/>
        <w:rPr>
          <w:rFonts w:ascii="Courier New" w:hAnsi="Courier New"/>
          <w:color w:val="000000"/>
          <w:sz w:val="28"/>
        </w:rPr>
      </w:pPr>
      <w:r>
        <w:rPr>
          <w:rFonts w:ascii="Courier New" w:hAnsi="Courier New"/>
          <w:b/>
          <w:color w:val="000000"/>
          <w:sz w:val="28"/>
        </w:rPr>
        <w:t xml:space="preserve">Текущие неналоговые поступления. </w:t>
      </w:r>
      <w:r>
        <w:rPr>
          <w:rFonts w:ascii="Courier New" w:hAnsi="Courier New"/>
          <w:color w:val="000000"/>
          <w:sz w:val="28"/>
        </w:rPr>
        <w:t xml:space="preserve">В состав текущих неналоговых поступлений включаются все возмездные, невозвратные поступления, за исключением доходов от продажи капитала. </w:t>
      </w:r>
    </w:p>
    <w:p w:rsidR="001124F2" w:rsidRDefault="001124F2">
      <w:pPr>
        <w:shd w:val="clear" w:color="auto" w:fill="FFFFFF"/>
        <w:spacing w:line="360" w:lineRule="auto"/>
        <w:ind w:firstLine="567"/>
        <w:jc w:val="both"/>
        <w:rPr>
          <w:rFonts w:ascii="Courier New" w:hAnsi="Courier New"/>
          <w:sz w:val="28"/>
        </w:rPr>
      </w:pPr>
      <w:r>
        <w:rPr>
          <w:rFonts w:ascii="Courier New" w:hAnsi="Courier New"/>
          <w:color w:val="000000"/>
          <w:sz w:val="28"/>
        </w:rPr>
        <w:t>Соответственно в состав неналоговых поступлений входят: доходы от государственной собственности и предпринимательской деятельности, административные сборы и платежи и доходы от продаж, поступления по штрафам и санкциям, кроме штрафов за просрочку уплаты налогов, и все добровольные, безвозмездные, невозвратные текущие поступления из негосударственных источников. Данная категория не включает доходы, получаемые государственными органами от налогов, официальные трансферты, заимствования, платежи в счет предоставленных в прошлом государственных кредитов, доходы от реализации основного капитала, запасов товаров, земли и нематериальных активов, а также поступления безвозмездных средств из негосударственных источников, предназначенных для капитальных целей.</w:t>
      </w:r>
    </w:p>
    <w:p w:rsidR="001124F2" w:rsidRDefault="001124F2">
      <w:pPr>
        <w:shd w:val="clear" w:color="auto" w:fill="FFFFFF"/>
        <w:spacing w:line="360" w:lineRule="auto"/>
        <w:ind w:firstLine="567"/>
        <w:jc w:val="both"/>
        <w:rPr>
          <w:rFonts w:ascii="Courier New" w:hAnsi="Courier New"/>
          <w:color w:val="000000"/>
          <w:sz w:val="28"/>
        </w:rPr>
      </w:pPr>
      <w:r>
        <w:rPr>
          <w:rFonts w:ascii="Courier New" w:hAnsi="Courier New"/>
          <w:b/>
          <w:color w:val="000000"/>
          <w:sz w:val="28"/>
        </w:rPr>
        <w:t xml:space="preserve">К доходам от собственности и предпринимательской деятельности </w:t>
      </w:r>
      <w:r>
        <w:rPr>
          <w:rFonts w:ascii="Courier New" w:hAnsi="Courier New"/>
          <w:color w:val="000000"/>
          <w:sz w:val="28"/>
        </w:rPr>
        <w:t xml:space="preserve">относятся все государственные доходы, поступление которых связано с владением собственностью, предприятиями, финансовыми активами или нематериальными активами, а также кассовая (фактическая) прибыль ведомственных предприятий, полученная ими в результате реализации товаров и услуг за пределы сектора государственного управления. </w:t>
      </w:r>
    </w:p>
    <w:p w:rsidR="001124F2" w:rsidRDefault="001124F2">
      <w:pPr>
        <w:shd w:val="clear" w:color="auto" w:fill="FFFFFF"/>
        <w:spacing w:line="360" w:lineRule="auto"/>
        <w:ind w:firstLine="567"/>
        <w:jc w:val="both"/>
        <w:rPr>
          <w:rFonts w:ascii="Courier New" w:hAnsi="Courier New"/>
          <w:color w:val="000000"/>
          <w:sz w:val="28"/>
        </w:rPr>
      </w:pPr>
      <w:r>
        <w:rPr>
          <w:rFonts w:ascii="Courier New" w:hAnsi="Courier New"/>
          <w:b/>
          <w:color w:val="000000"/>
          <w:sz w:val="28"/>
        </w:rPr>
        <w:t xml:space="preserve">Административные сборы и платежи. </w:t>
      </w:r>
      <w:r>
        <w:rPr>
          <w:rFonts w:ascii="Courier New" w:hAnsi="Courier New"/>
          <w:color w:val="000000"/>
          <w:sz w:val="28"/>
        </w:rPr>
        <w:t xml:space="preserve">Данная группа охватывает сборы и платежи, полученные в обмен на товары непроизводственного назначения и предоставление услуг некоммерческого характера, а также выручку от продаж, осуществляемых ведомственными предприятиями, издержки производства которых не могут быть определены отдельно. Эта категория включает как оплату товаров и услуг, характер которых не связан с государственным регулированием, так и обязательные платежи за услуги, связанные с таким регулированием (например, выдача водительских прав, паспортов, судебные сборы). </w:t>
      </w:r>
    </w:p>
    <w:p w:rsidR="001124F2" w:rsidRDefault="001124F2">
      <w:pPr>
        <w:shd w:val="clear" w:color="auto" w:fill="FFFFFF"/>
        <w:spacing w:line="360" w:lineRule="auto"/>
        <w:ind w:firstLine="567"/>
        <w:jc w:val="both"/>
        <w:rPr>
          <w:rFonts w:ascii="Courier New" w:hAnsi="Courier New"/>
          <w:sz w:val="28"/>
        </w:rPr>
      </w:pPr>
      <w:r>
        <w:rPr>
          <w:rFonts w:ascii="Courier New" w:hAnsi="Courier New"/>
          <w:b/>
          <w:color w:val="000000"/>
          <w:sz w:val="28"/>
        </w:rPr>
        <w:t xml:space="preserve">Поступления по штрафам и санкциям </w:t>
      </w:r>
      <w:r>
        <w:rPr>
          <w:rFonts w:ascii="Courier New" w:hAnsi="Courier New"/>
          <w:color w:val="000000"/>
          <w:sz w:val="28"/>
        </w:rPr>
        <w:t>включают поступления от уплаты штрафов и применения конфискационных мер, которые не имеют отношения к нарушению налогового режима. В данную категорию включаются все пени и штрафы, которые невозможно идентифицировать отдельно и отнести к нарушениям налогового законодательства либо связать с какими-либо причинами.</w:t>
      </w:r>
    </w:p>
    <w:p w:rsidR="001124F2" w:rsidRDefault="001124F2">
      <w:pPr>
        <w:shd w:val="clear" w:color="auto" w:fill="FFFFFF"/>
        <w:spacing w:line="360" w:lineRule="auto"/>
        <w:ind w:firstLine="567"/>
        <w:jc w:val="both"/>
        <w:rPr>
          <w:rFonts w:ascii="Courier New" w:hAnsi="Courier New"/>
          <w:sz w:val="28"/>
        </w:rPr>
      </w:pPr>
      <w:r>
        <w:rPr>
          <w:rFonts w:ascii="Courier New" w:hAnsi="Courier New"/>
          <w:b/>
          <w:color w:val="000000"/>
          <w:sz w:val="28"/>
        </w:rPr>
        <w:t xml:space="preserve">Доходы от операций с капиталом. </w:t>
      </w:r>
      <w:r>
        <w:rPr>
          <w:rFonts w:ascii="Courier New" w:hAnsi="Courier New"/>
          <w:color w:val="000000"/>
          <w:sz w:val="28"/>
        </w:rPr>
        <w:t>В данную категорию включаются: продажа государством основного капитала, доходы от реализации государственных запасов, земли и нематериальных активов, а также поступления трансфертов из негосударственных источников. В российской практике доходы от операций с капиталом объединяются с общим объемом налоговых поступлений и выделяются отдельно в их составе.</w:t>
      </w:r>
    </w:p>
    <w:p w:rsidR="001124F2" w:rsidRDefault="001124F2">
      <w:pPr>
        <w:shd w:val="clear" w:color="auto" w:fill="FFFFFF"/>
        <w:spacing w:before="10" w:line="360" w:lineRule="auto"/>
        <w:ind w:firstLine="567"/>
        <w:jc w:val="both"/>
        <w:rPr>
          <w:rFonts w:ascii="Courier New" w:hAnsi="Courier New"/>
          <w:sz w:val="28"/>
        </w:rPr>
      </w:pPr>
      <w:r>
        <w:rPr>
          <w:rFonts w:ascii="Courier New" w:hAnsi="Courier New"/>
          <w:b/>
          <w:color w:val="000000"/>
          <w:sz w:val="28"/>
        </w:rPr>
        <w:t xml:space="preserve">В объем продажи основного капитала </w:t>
      </w:r>
      <w:r>
        <w:rPr>
          <w:rFonts w:ascii="Courier New" w:hAnsi="Courier New"/>
          <w:color w:val="000000"/>
          <w:sz w:val="28"/>
        </w:rPr>
        <w:t xml:space="preserve">включаются реализованные здания и другие сооружения, транспортное оборудование, машины и прочее оборудование. Эта категория включает только основные фонды, которыми владеют государственные органы управления. </w:t>
      </w:r>
    </w:p>
    <w:p w:rsidR="001124F2" w:rsidRDefault="001124F2">
      <w:pPr>
        <w:shd w:val="clear" w:color="auto" w:fill="FFFFFF"/>
        <w:spacing w:line="360" w:lineRule="auto"/>
        <w:ind w:firstLine="567"/>
        <w:jc w:val="both"/>
        <w:rPr>
          <w:rFonts w:ascii="Courier New" w:hAnsi="Courier New"/>
          <w:color w:val="000000"/>
          <w:sz w:val="28"/>
        </w:rPr>
      </w:pPr>
      <w:r>
        <w:rPr>
          <w:rFonts w:ascii="Courier New" w:hAnsi="Courier New"/>
          <w:b/>
          <w:color w:val="000000"/>
          <w:sz w:val="28"/>
        </w:rPr>
        <w:t xml:space="preserve">Доходы от реализации государственных запасов </w:t>
      </w:r>
      <w:r>
        <w:rPr>
          <w:rFonts w:ascii="Courier New" w:hAnsi="Courier New"/>
          <w:color w:val="000000"/>
          <w:sz w:val="28"/>
        </w:rPr>
        <w:t>формируются в результате продажи органами государственного управления запасов стратегических материалов, чрезвычайных и стабилизационных запасов товаров, осуществляемой государственными организациями, регулирующими рынок (т.е. некорпоративными единицами, не занимающимися реализацией товаров и услуг в значительных масштабах), а также продажи запасов зерна и других товаров, которые имеют особо важное значение для государства. В особых случаях сюда могут включаться доходы от реализации большого количества товарных излишков других видов.</w:t>
      </w:r>
    </w:p>
    <w:p w:rsidR="001124F2" w:rsidRDefault="001124F2">
      <w:pPr>
        <w:shd w:val="clear" w:color="auto" w:fill="FFFFFF"/>
        <w:spacing w:line="360" w:lineRule="auto"/>
        <w:ind w:firstLine="567"/>
        <w:jc w:val="both"/>
        <w:rPr>
          <w:rFonts w:ascii="Courier New" w:hAnsi="Courier New"/>
          <w:sz w:val="28"/>
        </w:rPr>
      </w:pPr>
      <w:r>
        <w:rPr>
          <w:rFonts w:ascii="Courier New" w:hAnsi="Courier New"/>
          <w:b/>
          <w:color w:val="000000"/>
          <w:sz w:val="28"/>
        </w:rPr>
        <w:t xml:space="preserve">Доходы от продажи земли и нематериальных активов. </w:t>
      </w:r>
      <w:r>
        <w:rPr>
          <w:rFonts w:ascii="Courier New" w:hAnsi="Courier New"/>
          <w:color w:val="000000"/>
          <w:sz w:val="28"/>
        </w:rPr>
        <w:t>К объектам продажи относятся земля, леса, внутренние водоемы и месторождения за исключением расположенных на них сооружений или строительных объектов. Если стоимость земли невозможно отделить от стоимости реализованного сооружения, общая стоимость сделки должна показываться на основе преобладающего компонента. К нематериальным активам относятся права на разработку месторождений полезных ископаемых и занятие рыбной ловлей, другие концессии и арендные договоры, касающиеся земли, патентов, авторских прав и товарных знаков.</w:t>
      </w:r>
    </w:p>
    <w:p w:rsidR="001124F2" w:rsidRDefault="001124F2">
      <w:pPr>
        <w:shd w:val="clear" w:color="auto" w:fill="FFFFFF"/>
        <w:spacing w:line="360" w:lineRule="auto"/>
        <w:ind w:firstLine="567"/>
        <w:jc w:val="both"/>
        <w:rPr>
          <w:rFonts w:ascii="Courier New" w:hAnsi="Courier New"/>
          <w:sz w:val="28"/>
        </w:rPr>
      </w:pPr>
      <w:r>
        <w:rPr>
          <w:rFonts w:ascii="Courier New" w:hAnsi="Courier New"/>
          <w:b/>
          <w:color w:val="000000"/>
          <w:sz w:val="28"/>
        </w:rPr>
        <w:t xml:space="preserve">Поступления капитальных трансфертов из негосударственных источников. </w:t>
      </w:r>
      <w:r>
        <w:rPr>
          <w:rFonts w:ascii="Courier New" w:hAnsi="Courier New"/>
          <w:color w:val="000000"/>
          <w:sz w:val="28"/>
        </w:rPr>
        <w:t>Под ними понимаются поступления добровольных, безвозмездных, невозвратных платежей на капитальные нужды, полученных государственными органами из негосударственных источников. В отличие от безвозмездных текущих трансфертов капитальные трансферты из негосударственных источников в основном осуществляются за счет накопленного богатства прежних лет. Их целью является финансирование процесса капиталообразования, расходов, предстоящих в долгосрочной перспективе, или приобретения материальных ценностей. Сюда относятся капитальные трансферты на строительство или покупку больниц, школ, музеев, театров, культурных центров или других государственных сооружений и оборудования. Также включаются капитальные трансферты в денежной форме, полученные от частных лиц, частных некоммерческих учреждений, негосударственных организаций, корпоративных и частных квазикорпоративных предприятий и других источников, за исключением средств, полученных от других органов государственного управления и международных организаций.</w:t>
      </w:r>
    </w:p>
    <w:p w:rsidR="001124F2" w:rsidRDefault="001124F2">
      <w:pPr>
        <w:shd w:val="clear" w:color="auto" w:fill="FFFFFF"/>
        <w:spacing w:line="360" w:lineRule="auto"/>
        <w:ind w:firstLine="567"/>
        <w:jc w:val="both"/>
        <w:rPr>
          <w:rFonts w:ascii="Courier New" w:hAnsi="Courier New"/>
          <w:sz w:val="28"/>
        </w:rPr>
      </w:pPr>
      <w:r>
        <w:rPr>
          <w:rFonts w:ascii="Courier New" w:hAnsi="Courier New"/>
          <w:b/>
          <w:color w:val="000000"/>
          <w:sz w:val="28"/>
        </w:rPr>
        <w:t xml:space="preserve">Полученные официальные трансферты. </w:t>
      </w:r>
      <w:r>
        <w:rPr>
          <w:rFonts w:ascii="Courier New" w:hAnsi="Courier New"/>
          <w:color w:val="000000"/>
          <w:sz w:val="28"/>
        </w:rPr>
        <w:t>В данную категорию входят все невозвратные, безвозмездные платежи, полученные от других органов государственного управления или международных организаций. Это репарации, дарения, средства, предназначенные для осуществления особых проектов или программ, поддержки основного бюджета или другой цели.</w:t>
      </w:r>
    </w:p>
    <w:p w:rsidR="001124F2" w:rsidRDefault="001124F2">
      <w:pPr>
        <w:shd w:val="clear" w:color="auto" w:fill="FFFFFF"/>
        <w:spacing w:line="360" w:lineRule="auto"/>
        <w:ind w:firstLine="567"/>
        <w:jc w:val="both"/>
        <w:rPr>
          <w:rFonts w:ascii="Courier New" w:hAnsi="Courier New"/>
          <w:sz w:val="28"/>
        </w:rPr>
      </w:pPr>
      <w:r>
        <w:rPr>
          <w:rFonts w:ascii="Courier New" w:hAnsi="Courier New"/>
          <w:color w:val="000000"/>
          <w:sz w:val="28"/>
        </w:rPr>
        <w:t>К трансфертам от других уровней управления относятся невозвратные безвозмездные платежи, поступающие от одних уровней управления другим уровням. В российской практике они имеют форму финансовой поддержки субъектов Федерации в виде дотаций, субвенций, субсидий либо иной безвозвратной и безвозмездной передачи средств.</w:t>
      </w:r>
    </w:p>
    <w:p w:rsidR="001124F2" w:rsidRDefault="001124F2">
      <w:pPr>
        <w:shd w:val="clear" w:color="auto" w:fill="FFFFFF"/>
        <w:spacing w:line="360" w:lineRule="auto"/>
        <w:ind w:firstLine="567"/>
        <w:jc w:val="both"/>
      </w:pPr>
      <w:r>
        <w:rPr>
          <w:rFonts w:ascii="Courier New" w:hAnsi="Courier New"/>
          <w:color w:val="000000"/>
          <w:sz w:val="28"/>
        </w:rPr>
        <w:t>Различают собственные и регулирующие доходы бюджета. К собственным относятся виды доходов, закрепленные на постоянной основе за соответствующими бюджетами законодательством. К регулирующим относятся федеральные и региональные налоги и иные платежи, по которым устанавливаются нормативы отчислений в бюджеты субъектов Федерации или местные бюджеты</w:t>
      </w:r>
      <w:r>
        <w:t>.</w:t>
      </w:r>
    </w:p>
    <w:p w:rsidR="001124F2" w:rsidRDefault="001124F2">
      <w:pPr>
        <w:pStyle w:val="1"/>
        <w:jc w:val="center"/>
      </w:pPr>
      <w:r>
        <w:br w:type="page"/>
        <w:t>6. Доходы проекта федерального бюджета</w:t>
      </w:r>
    </w:p>
    <w:p w:rsidR="001124F2" w:rsidRDefault="001124F2">
      <w:pPr>
        <w:pStyle w:val="aa"/>
        <w:spacing w:line="360" w:lineRule="auto"/>
        <w:ind w:firstLine="720"/>
        <w:rPr>
          <w:rFonts w:ascii="Courier New" w:hAnsi="Courier New"/>
          <w:color w:val="auto"/>
        </w:rPr>
      </w:pPr>
      <w:r>
        <w:rPr>
          <w:rFonts w:ascii="Courier New" w:hAnsi="Courier New"/>
          <w:color w:val="auto"/>
        </w:rPr>
        <w:t xml:space="preserve">В предлагаемом федеральном законе "О федеральном бюджете на 2002 год" </w:t>
      </w:r>
      <w:r>
        <w:rPr>
          <w:rFonts w:ascii="Courier New" w:hAnsi="Courier New"/>
          <w:b/>
          <w:color w:val="auto"/>
        </w:rPr>
        <w:t>доходы федерального бюджета</w:t>
      </w:r>
      <w:r>
        <w:rPr>
          <w:rFonts w:ascii="Courier New" w:hAnsi="Courier New"/>
          <w:color w:val="auto"/>
        </w:rPr>
        <w:t xml:space="preserve"> рассчитаны, исходя из оптимистичного макроэкономического прогноза, и составят </w:t>
      </w:r>
      <w:r>
        <w:rPr>
          <w:rFonts w:ascii="Courier New" w:hAnsi="Courier New"/>
          <w:b/>
          <w:color w:val="auto"/>
        </w:rPr>
        <w:t>1998,4 млрд. рублей</w:t>
      </w:r>
      <w:r>
        <w:rPr>
          <w:rFonts w:ascii="Courier New" w:hAnsi="Courier New"/>
          <w:color w:val="auto"/>
        </w:rPr>
        <w:t>, или 18,85% к прогнозируемому объему ВВП. Доходы федерального бюджета без учета поступлений от взимания единого социального налога составят</w:t>
      </w:r>
      <w:r>
        <w:rPr>
          <w:rFonts w:ascii="Courier New" w:hAnsi="Courier New"/>
          <w:b/>
          <w:color w:val="auto"/>
        </w:rPr>
        <w:t xml:space="preserve"> 1740,9 млрд. рублей</w:t>
      </w:r>
      <w:r>
        <w:rPr>
          <w:rFonts w:ascii="Courier New" w:hAnsi="Courier New"/>
          <w:color w:val="auto"/>
        </w:rPr>
        <w:t>, или 16,42% к прогнозируемому объему ВВП (15,4% к ВВП в соответствии с федеральным бюджетом на 2001 год и 16,74% к ВВП, исходя из ожидаемой его оценки в 2001 году).</w:t>
      </w:r>
    </w:p>
    <w:p w:rsidR="001124F2" w:rsidRDefault="001124F2">
      <w:pPr>
        <w:pStyle w:val="aa"/>
        <w:spacing w:line="360" w:lineRule="auto"/>
        <w:ind w:firstLine="720"/>
        <w:jc w:val="center"/>
        <w:rPr>
          <w:rFonts w:ascii="Courier New" w:hAnsi="Courier New"/>
          <w:color w:val="auto"/>
          <w:sz w:val="32"/>
        </w:rPr>
      </w:pPr>
      <w:r>
        <w:rPr>
          <w:rFonts w:ascii="Courier New" w:hAnsi="Courier New"/>
          <w:b/>
          <w:color w:val="auto"/>
          <w:sz w:val="32"/>
        </w:rPr>
        <w:t>Налоговые доходы</w:t>
      </w:r>
    </w:p>
    <w:p w:rsidR="001124F2" w:rsidRDefault="001124F2">
      <w:pPr>
        <w:pStyle w:val="aa"/>
        <w:spacing w:line="360" w:lineRule="auto"/>
        <w:ind w:firstLine="720"/>
        <w:rPr>
          <w:rFonts w:ascii="Courier New" w:hAnsi="Courier New"/>
          <w:color w:val="auto"/>
        </w:rPr>
      </w:pPr>
      <w:r>
        <w:rPr>
          <w:rFonts w:ascii="Courier New" w:hAnsi="Courier New"/>
          <w:color w:val="auto"/>
        </w:rPr>
        <w:t xml:space="preserve">- в соответствии с законом, составят 1626,3 млрд. рублей, или 15,34% к ВВП, что выше уровня, установленного на 2001 год, на 0,95 процентных пункта. Удельный вес налоговых доходов в общем объеме доходов составит 93,4%. Практически весь номинальный прирост доходов федерального бюджета в размере 547,38 млрд. рублей достигается за счет прироста налоговых поступлений - 510,95 млрд. рублей (93,3%). </w:t>
      </w:r>
    </w:p>
    <w:p w:rsidR="001124F2" w:rsidRDefault="001124F2">
      <w:pPr>
        <w:pStyle w:val="aa"/>
        <w:spacing w:line="360" w:lineRule="auto"/>
        <w:ind w:firstLine="720"/>
        <w:jc w:val="center"/>
        <w:rPr>
          <w:rFonts w:ascii="Courier New" w:hAnsi="Courier New"/>
          <w:b/>
          <w:color w:val="auto"/>
          <w:sz w:val="32"/>
        </w:rPr>
      </w:pPr>
      <w:r>
        <w:rPr>
          <w:rFonts w:ascii="Courier New" w:hAnsi="Courier New"/>
          <w:b/>
          <w:color w:val="auto"/>
          <w:sz w:val="32"/>
        </w:rPr>
        <w:t>Неналоговые доходы</w:t>
      </w:r>
    </w:p>
    <w:p w:rsidR="001124F2" w:rsidRDefault="001124F2">
      <w:pPr>
        <w:pStyle w:val="aa"/>
        <w:spacing w:line="360" w:lineRule="auto"/>
        <w:ind w:firstLine="720"/>
        <w:rPr>
          <w:rFonts w:ascii="Courier New" w:hAnsi="Courier New"/>
          <w:color w:val="auto"/>
        </w:rPr>
      </w:pPr>
      <w:r>
        <w:rPr>
          <w:rFonts w:ascii="Courier New" w:hAnsi="Courier New"/>
          <w:color w:val="auto"/>
        </w:rPr>
        <w:t xml:space="preserve">- составят 100,7 млрд. рублей, или 0,95% к ВВП, что выше уровня, установленного на 2001 год, на 0,12% к ВВП и практически на уровне ожидаемой их оценки текущего финансового года. </w:t>
      </w:r>
    </w:p>
    <w:p w:rsidR="001124F2" w:rsidRDefault="001124F2">
      <w:pPr>
        <w:pStyle w:val="21"/>
        <w:tabs>
          <w:tab w:val="left" w:pos="142"/>
        </w:tabs>
        <w:rPr>
          <w:b w:val="0"/>
          <w:sz w:val="28"/>
          <w:lang w:val="en-US"/>
        </w:rPr>
      </w:pPr>
      <w:r>
        <w:rPr>
          <w:b w:val="0"/>
          <w:sz w:val="28"/>
        </w:rPr>
        <w:t>Динамика доходов федерального бюджета представлена на графике 1:</w:t>
      </w:r>
    </w:p>
    <w:p w:rsidR="001124F2" w:rsidRDefault="001124F2">
      <w:pPr>
        <w:pStyle w:val="21"/>
        <w:tabs>
          <w:tab w:val="left" w:pos="142"/>
        </w:tabs>
        <w:jc w:val="right"/>
        <w:rPr>
          <w:i/>
          <w:sz w:val="28"/>
        </w:rPr>
      </w:pPr>
      <w:r>
        <w:rPr>
          <w:i/>
          <w:sz w:val="28"/>
        </w:rPr>
        <w:t>График №1</w:t>
      </w:r>
    </w:p>
    <w:p w:rsidR="001124F2" w:rsidRDefault="00901A89">
      <w:pPr>
        <w:pStyle w:val="21"/>
        <w:tabs>
          <w:tab w:val="left" w:pos="142"/>
        </w:tabs>
        <w:jc w:val="right"/>
        <w:rPr>
          <w:i/>
          <w:sz w:val="28"/>
        </w:rPr>
      </w:pPr>
      <w:r>
        <w:rPr>
          <w:i/>
          <w:noProof/>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9" type="#_x0000_t75" style="position:absolute;left:0;text-align:left;margin-left:8.1pt;margin-top:19.9pt;width:478.5pt;height:287pt;z-index:251658240" o:allowincell="f">
            <v:imagedata r:id="rId9" o:title=""/>
            <w10:wrap type="topAndBottom"/>
          </v:shape>
        </w:pict>
      </w:r>
    </w:p>
    <w:p w:rsidR="001124F2" w:rsidRDefault="001124F2">
      <w:pPr>
        <w:pStyle w:val="21"/>
        <w:tabs>
          <w:tab w:val="left" w:pos="142"/>
        </w:tabs>
        <w:rPr>
          <w:b w:val="0"/>
          <w:sz w:val="28"/>
        </w:rPr>
      </w:pPr>
      <w:r>
        <w:rPr>
          <w:b w:val="0"/>
          <w:sz w:val="28"/>
        </w:rPr>
        <w:t xml:space="preserve">Анализ отклонений фактических объемов налоговых и неналоговых доходов от утверждаемых в федеральных законах о федеральном бюджете за ряд лет свидетельствует о недостаточно глубокой проработке их расчетов, что видно из данных следующей таблицы №1. </w:t>
      </w:r>
    </w:p>
    <w:p w:rsidR="001124F2" w:rsidRDefault="001124F2">
      <w:pPr>
        <w:pStyle w:val="21"/>
        <w:tabs>
          <w:tab w:val="left" w:pos="142"/>
        </w:tabs>
        <w:spacing w:line="240" w:lineRule="auto"/>
        <w:jc w:val="right"/>
        <w:rPr>
          <w:sz w:val="28"/>
        </w:rPr>
      </w:pPr>
      <w:r>
        <w:rPr>
          <w:b w:val="0"/>
          <w:sz w:val="28"/>
        </w:rPr>
        <w:br w:type="page"/>
      </w:r>
      <w:r>
        <w:rPr>
          <w:sz w:val="28"/>
        </w:rPr>
        <w:t>Таблица №1</w:t>
      </w:r>
    </w:p>
    <w:p w:rsidR="001124F2" w:rsidRDefault="001124F2">
      <w:pPr>
        <w:tabs>
          <w:tab w:val="left" w:pos="4826"/>
          <w:tab w:val="left" w:pos="5678"/>
          <w:tab w:val="left" w:pos="6530"/>
          <w:tab w:val="left" w:pos="7382"/>
          <w:tab w:val="left" w:pos="8234"/>
          <w:tab w:val="left" w:pos="9086"/>
          <w:tab w:val="left" w:pos="10790"/>
          <w:tab w:val="left" w:pos="11642"/>
        </w:tabs>
        <w:jc w:val="right"/>
        <w:rPr>
          <w:rFonts w:ascii="Courier New" w:hAnsi="Courier New"/>
          <w:snapToGrid w:val="0"/>
          <w:color w:val="000000"/>
          <w:sz w:val="24"/>
        </w:rPr>
      </w:pPr>
      <w:r>
        <w:rPr>
          <w:rFonts w:ascii="Courier New" w:hAnsi="Courier New"/>
          <w:snapToGrid w:val="0"/>
          <w:color w:val="000000"/>
          <w:sz w:val="24"/>
        </w:rPr>
        <w:t>млрд. рублей</w:t>
      </w:r>
    </w:p>
    <w:tbl>
      <w:tblPr>
        <w:tblW w:w="0" w:type="auto"/>
        <w:tblInd w:w="-590" w:type="dxa"/>
        <w:tblLayout w:type="fixed"/>
        <w:tblCellMar>
          <w:left w:w="30" w:type="dxa"/>
          <w:right w:w="30" w:type="dxa"/>
        </w:tblCellMar>
        <w:tblLook w:val="0000" w:firstRow="0" w:lastRow="0" w:firstColumn="0" w:lastColumn="0" w:noHBand="0" w:noVBand="0"/>
      </w:tblPr>
      <w:tblGrid>
        <w:gridCol w:w="3118"/>
        <w:gridCol w:w="851"/>
        <w:gridCol w:w="680"/>
        <w:gridCol w:w="1"/>
        <w:gridCol w:w="737"/>
        <w:gridCol w:w="680"/>
        <w:gridCol w:w="2"/>
        <w:gridCol w:w="678"/>
        <w:gridCol w:w="680"/>
        <w:gridCol w:w="3"/>
        <w:gridCol w:w="677"/>
        <w:gridCol w:w="598"/>
        <w:gridCol w:w="762"/>
        <w:gridCol w:w="797"/>
      </w:tblGrid>
      <w:tr w:rsidR="001124F2">
        <w:trPr>
          <w:cantSplit/>
          <w:tblHeader/>
        </w:trPr>
        <w:tc>
          <w:tcPr>
            <w:tcW w:w="3118" w:type="dxa"/>
            <w:vMerge w:val="restart"/>
            <w:tcBorders>
              <w:top w:val="threeDEmboss" w:sz="6" w:space="0" w:color="auto"/>
              <w:left w:val="threeDEmboss" w:sz="6" w:space="0" w:color="auto"/>
              <w:right w:val="threeDEmboss" w:sz="6" w:space="0" w:color="auto"/>
            </w:tcBorders>
          </w:tcPr>
          <w:p w:rsidR="001124F2" w:rsidRDefault="001124F2">
            <w:pPr>
              <w:jc w:val="center"/>
              <w:rPr>
                <w:snapToGrid w:val="0"/>
                <w:color w:val="000000"/>
              </w:rPr>
            </w:pPr>
            <w:r>
              <w:rPr>
                <w:snapToGrid w:val="0"/>
                <w:color w:val="000000"/>
              </w:rPr>
              <w:t>Наименования показателей</w:t>
            </w:r>
          </w:p>
          <w:p w:rsidR="001124F2" w:rsidRDefault="001124F2">
            <w:pPr>
              <w:jc w:val="center"/>
              <w:rPr>
                <w:snapToGrid w:val="0"/>
                <w:color w:val="000000"/>
              </w:rPr>
            </w:pPr>
          </w:p>
        </w:tc>
        <w:tc>
          <w:tcPr>
            <w:tcW w:w="7146" w:type="dxa"/>
            <w:gridSpan w:val="13"/>
            <w:tcBorders>
              <w:top w:val="threeDEmboss" w:sz="6" w:space="0" w:color="auto"/>
              <w:left w:val="threeDEmboss" w:sz="6" w:space="0" w:color="auto"/>
              <w:bottom w:val="single" w:sz="6" w:space="0" w:color="auto"/>
              <w:right w:val="threeDEmboss" w:sz="6" w:space="0" w:color="auto"/>
            </w:tcBorders>
          </w:tcPr>
          <w:p w:rsidR="001124F2" w:rsidRDefault="001124F2">
            <w:pPr>
              <w:jc w:val="center"/>
              <w:rPr>
                <w:snapToGrid w:val="0"/>
                <w:color w:val="000000"/>
              </w:rPr>
            </w:pPr>
            <w:r>
              <w:rPr>
                <w:snapToGrid w:val="0"/>
                <w:color w:val="000000"/>
              </w:rPr>
              <w:t>Отклонение фактического исполнения от утвержденных показателей на год</w:t>
            </w:r>
          </w:p>
        </w:tc>
      </w:tr>
      <w:tr w:rsidR="001124F2">
        <w:trPr>
          <w:cantSplit/>
          <w:tblHeader/>
        </w:trPr>
        <w:tc>
          <w:tcPr>
            <w:tcW w:w="3118" w:type="dxa"/>
            <w:vMerge/>
            <w:tcBorders>
              <w:left w:val="threeDEmboss" w:sz="6" w:space="0" w:color="auto"/>
              <w:right w:val="threeDEmboss" w:sz="6" w:space="0" w:color="auto"/>
            </w:tcBorders>
          </w:tcPr>
          <w:p w:rsidR="001124F2" w:rsidRDefault="001124F2">
            <w:pPr>
              <w:jc w:val="both"/>
              <w:rPr>
                <w:snapToGrid w:val="0"/>
                <w:color w:val="000000"/>
              </w:rPr>
            </w:pPr>
          </w:p>
        </w:tc>
        <w:tc>
          <w:tcPr>
            <w:tcW w:w="1532" w:type="dxa"/>
            <w:gridSpan w:val="3"/>
            <w:tcBorders>
              <w:left w:val="threeDEmboss" w:sz="6" w:space="0" w:color="auto"/>
              <w:bottom w:val="single" w:sz="4" w:space="0" w:color="auto"/>
              <w:right w:val="threeDEmboss" w:sz="6" w:space="0" w:color="auto"/>
            </w:tcBorders>
          </w:tcPr>
          <w:p w:rsidR="001124F2" w:rsidRDefault="001124F2">
            <w:pPr>
              <w:jc w:val="center"/>
              <w:rPr>
                <w:snapToGrid w:val="0"/>
                <w:color w:val="000000"/>
              </w:rPr>
            </w:pPr>
            <w:r>
              <w:rPr>
                <w:snapToGrid w:val="0"/>
                <w:color w:val="000000"/>
              </w:rPr>
              <w:t>1997 год</w:t>
            </w:r>
          </w:p>
        </w:tc>
        <w:tc>
          <w:tcPr>
            <w:tcW w:w="1419" w:type="dxa"/>
            <w:gridSpan w:val="3"/>
            <w:tcBorders>
              <w:top w:val="single" w:sz="6" w:space="0" w:color="auto"/>
              <w:left w:val="threeDEmboss" w:sz="6" w:space="0" w:color="auto"/>
              <w:bottom w:val="single" w:sz="6" w:space="0" w:color="auto"/>
              <w:right w:val="threeDEmboss" w:sz="6" w:space="0" w:color="auto"/>
            </w:tcBorders>
          </w:tcPr>
          <w:p w:rsidR="001124F2" w:rsidRDefault="001124F2">
            <w:pPr>
              <w:jc w:val="center"/>
              <w:rPr>
                <w:snapToGrid w:val="0"/>
                <w:color w:val="000000"/>
              </w:rPr>
            </w:pPr>
            <w:r>
              <w:rPr>
                <w:snapToGrid w:val="0"/>
                <w:color w:val="000000"/>
              </w:rPr>
              <w:t xml:space="preserve">1998 год </w:t>
            </w:r>
          </w:p>
        </w:tc>
        <w:tc>
          <w:tcPr>
            <w:tcW w:w="1361" w:type="dxa"/>
            <w:gridSpan w:val="3"/>
            <w:tcBorders>
              <w:top w:val="single" w:sz="6" w:space="0" w:color="auto"/>
              <w:left w:val="threeDEmboss" w:sz="6" w:space="0" w:color="auto"/>
              <w:bottom w:val="single" w:sz="6" w:space="0" w:color="auto"/>
              <w:right w:val="threeDEmboss" w:sz="6" w:space="0" w:color="auto"/>
            </w:tcBorders>
          </w:tcPr>
          <w:p w:rsidR="001124F2" w:rsidRDefault="001124F2">
            <w:pPr>
              <w:jc w:val="center"/>
              <w:rPr>
                <w:snapToGrid w:val="0"/>
                <w:color w:val="000000"/>
              </w:rPr>
            </w:pPr>
            <w:r>
              <w:rPr>
                <w:snapToGrid w:val="0"/>
                <w:color w:val="000000"/>
              </w:rPr>
              <w:t>1999 год</w:t>
            </w:r>
          </w:p>
        </w:tc>
        <w:tc>
          <w:tcPr>
            <w:tcW w:w="1275" w:type="dxa"/>
            <w:gridSpan w:val="2"/>
            <w:tcBorders>
              <w:top w:val="single" w:sz="6" w:space="0" w:color="auto"/>
              <w:left w:val="threeDEmboss" w:sz="6" w:space="0" w:color="auto"/>
              <w:bottom w:val="single" w:sz="6" w:space="0" w:color="auto"/>
              <w:right w:val="threeDEmboss" w:sz="6" w:space="0" w:color="auto"/>
            </w:tcBorders>
          </w:tcPr>
          <w:p w:rsidR="001124F2" w:rsidRDefault="001124F2">
            <w:pPr>
              <w:jc w:val="center"/>
              <w:rPr>
                <w:snapToGrid w:val="0"/>
                <w:color w:val="000000"/>
              </w:rPr>
            </w:pPr>
            <w:r>
              <w:rPr>
                <w:snapToGrid w:val="0"/>
                <w:color w:val="000000"/>
              </w:rPr>
              <w:t>2000 год</w:t>
            </w:r>
          </w:p>
        </w:tc>
        <w:tc>
          <w:tcPr>
            <w:tcW w:w="1559" w:type="dxa"/>
            <w:gridSpan w:val="2"/>
            <w:tcBorders>
              <w:top w:val="single" w:sz="4" w:space="0" w:color="auto"/>
              <w:left w:val="threeDEmboss" w:sz="6" w:space="0" w:color="auto"/>
              <w:bottom w:val="single" w:sz="4" w:space="0" w:color="auto"/>
              <w:right w:val="threeDEmboss" w:sz="6" w:space="0" w:color="auto"/>
            </w:tcBorders>
          </w:tcPr>
          <w:p w:rsidR="001124F2" w:rsidRDefault="001124F2">
            <w:pPr>
              <w:jc w:val="center"/>
              <w:rPr>
                <w:snapToGrid w:val="0"/>
                <w:color w:val="000000"/>
              </w:rPr>
            </w:pPr>
            <w:r>
              <w:rPr>
                <w:snapToGrid w:val="0"/>
                <w:color w:val="000000"/>
                <w:lang w:val="en-US"/>
              </w:rPr>
              <w:t xml:space="preserve">1 </w:t>
            </w:r>
            <w:r>
              <w:rPr>
                <w:snapToGrid w:val="0"/>
                <w:color w:val="000000"/>
              </w:rPr>
              <w:t>п/г 2001 года</w:t>
            </w:r>
            <w:r>
              <w:rPr>
                <w:rStyle w:val="a8"/>
                <w:snapToGrid w:val="0"/>
                <w:color w:val="000000"/>
              </w:rPr>
              <w:footnoteReference w:customMarkFollows="1" w:id="1"/>
              <w:sym w:font="Symbol" w:char="F02A"/>
            </w:r>
          </w:p>
        </w:tc>
      </w:tr>
      <w:tr w:rsidR="001124F2">
        <w:trPr>
          <w:cantSplit/>
          <w:tblHeader/>
        </w:trPr>
        <w:tc>
          <w:tcPr>
            <w:tcW w:w="3118" w:type="dxa"/>
            <w:vMerge/>
            <w:tcBorders>
              <w:left w:val="threeDEmboss" w:sz="6" w:space="0" w:color="auto"/>
              <w:right w:val="threeDEmboss" w:sz="6" w:space="0" w:color="auto"/>
            </w:tcBorders>
          </w:tcPr>
          <w:p w:rsidR="001124F2" w:rsidRDefault="001124F2">
            <w:pPr>
              <w:jc w:val="both"/>
              <w:rPr>
                <w:snapToGrid w:val="0"/>
                <w:color w:val="000000"/>
              </w:rPr>
            </w:pPr>
          </w:p>
        </w:tc>
        <w:tc>
          <w:tcPr>
            <w:tcW w:w="851" w:type="dxa"/>
            <w:tcBorders>
              <w:left w:val="threeDEmboss" w:sz="6" w:space="0" w:color="auto"/>
              <w:right w:val="threeDEmboss" w:sz="6" w:space="0" w:color="auto"/>
            </w:tcBorders>
          </w:tcPr>
          <w:p w:rsidR="001124F2" w:rsidRDefault="001124F2">
            <w:pPr>
              <w:jc w:val="center"/>
              <w:rPr>
                <w:snapToGrid w:val="0"/>
                <w:color w:val="000000"/>
              </w:rPr>
            </w:pPr>
            <w:r>
              <w:rPr>
                <w:snapToGrid w:val="0"/>
                <w:color w:val="000000"/>
              </w:rPr>
              <w:t>сумма</w:t>
            </w:r>
          </w:p>
        </w:tc>
        <w:tc>
          <w:tcPr>
            <w:tcW w:w="680" w:type="dxa"/>
            <w:tcBorders>
              <w:left w:val="threeDEmboss" w:sz="6" w:space="0" w:color="auto"/>
              <w:right w:val="threeDEmboss" w:sz="6" w:space="0" w:color="auto"/>
            </w:tcBorders>
          </w:tcPr>
          <w:p w:rsidR="001124F2" w:rsidRDefault="001124F2">
            <w:pPr>
              <w:jc w:val="center"/>
              <w:rPr>
                <w:snapToGrid w:val="0"/>
                <w:color w:val="000000"/>
              </w:rPr>
            </w:pPr>
            <w:r>
              <w:rPr>
                <w:snapToGrid w:val="0"/>
                <w:color w:val="000000"/>
              </w:rPr>
              <w:t>%</w:t>
            </w:r>
          </w:p>
        </w:tc>
        <w:tc>
          <w:tcPr>
            <w:tcW w:w="738" w:type="dxa"/>
            <w:gridSpan w:val="2"/>
            <w:tcBorders>
              <w:top w:val="single" w:sz="6" w:space="0" w:color="auto"/>
              <w:left w:val="threeDEmboss" w:sz="6" w:space="0" w:color="auto"/>
              <w:right w:val="threeDEmboss" w:sz="6" w:space="0" w:color="auto"/>
            </w:tcBorders>
          </w:tcPr>
          <w:p w:rsidR="001124F2" w:rsidRDefault="001124F2">
            <w:pPr>
              <w:jc w:val="center"/>
              <w:rPr>
                <w:snapToGrid w:val="0"/>
                <w:color w:val="000000"/>
              </w:rPr>
            </w:pPr>
            <w:r>
              <w:rPr>
                <w:snapToGrid w:val="0"/>
                <w:color w:val="000000"/>
              </w:rPr>
              <w:t>Сумма</w:t>
            </w:r>
          </w:p>
        </w:tc>
        <w:tc>
          <w:tcPr>
            <w:tcW w:w="680" w:type="dxa"/>
            <w:tcBorders>
              <w:top w:val="single" w:sz="6" w:space="0" w:color="auto"/>
              <w:left w:val="threeDEmboss" w:sz="6" w:space="0" w:color="auto"/>
              <w:right w:val="threeDEmboss" w:sz="6" w:space="0" w:color="auto"/>
            </w:tcBorders>
          </w:tcPr>
          <w:p w:rsidR="001124F2" w:rsidRDefault="001124F2">
            <w:pPr>
              <w:jc w:val="center"/>
              <w:rPr>
                <w:snapToGrid w:val="0"/>
                <w:color w:val="000000"/>
              </w:rPr>
            </w:pPr>
            <w:r>
              <w:rPr>
                <w:snapToGrid w:val="0"/>
                <w:color w:val="000000"/>
              </w:rPr>
              <w:t>%</w:t>
            </w:r>
          </w:p>
        </w:tc>
        <w:tc>
          <w:tcPr>
            <w:tcW w:w="680" w:type="dxa"/>
            <w:gridSpan w:val="2"/>
            <w:tcBorders>
              <w:top w:val="single" w:sz="6" w:space="0" w:color="auto"/>
              <w:left w:val="threeDEmboss" w:sz="6" w:space="0" w:color="auto"/>
              <w:right w:val="threeDEmboss" w:sz="6" w:space="0" w:color="auto"/>
            </w:tcBorders>
          </w:tcPr>
          <w:p w:rsidR="001124F2" w:rsidRDefault="001124F2">
            <w:pPr>
              <w:jc w:val="center"/>
              <w:rPr>
                <w:snapToGrid w:val="0"/>
                <w:color w:val="000000"/>
              </w:rPr>
            </w:pPr>
            <w:r>
              <w:rPr>
                <w:snapToGrid w:val="0"/>
                <w:color w:val="000000"/>
              </w:rPr>
              <w:t>сумма</w:t>
            </w:r>
          </w:p>
        </w:tc>
        <w:tc>
          <w:tcPr>
            <w:tcW w:w="680" w:type="dxa"/>
            <w:tcBorders>
              <w:top w:val="single" w:sz="6" w:space="0" w:color="auto"/>
              <w:left w:val="threeDEmboss" w:sz="6" w:space="0" w:color="auto"/>
              <w:right w:val="threeDEmboss" w:sz="6" w:space="0" w:color="auto"/>
            </w:tcBorders>
          </w:tcPr>
          <w:p w:rsidR="001124F2" w:rsidRDefault="001124F2">
            <w:pPr>
              <w:jc w:val="center"/>
              <w:rPr>
                <w:snapToGrid w:val="0"/>
                <w:color w:val="000000"/>
              </w:rPr>
            </w:pPr>
            <w:r>
              <w:rPr>
                <w:snapToGrid w:val="0"/>
                <w:color w:val="000000"/>
              </w:rPr>
              <w:t>%</w:t>
            </w:r>
          </w:p>
        </w:tc>
        <w:tc>
          <w:tcPr>
            <w:tcW w:w="680" w:type="dxa"/>
            <w:gridSpan w:val="2"/>
            <w:tcBorders>
              <w:top w:val="single" w:sz="6" w:space="0" w:color="auto"/>
              <w:left w:val="threeDEmboss" w:sz="6" w:space="0" w:color="auto"/>
              <w:right w:val="threeDEmboss" w:sz="6" w:space="0" w:color="auto"/>
            </w:tcBorders>
          </w:tcPr>
          <w:p w:rsidR="001124F2" w:rsidRDefault="001124F2">
            <w:pPr>
              <w:jc w:val="center"/>
              <w:rPr>
                <w:snapToGrid w:val="0"/>
                <w:color w:val="000000"/>
              </w:rPr>
            </w:pPr>
            <w:r>
              <w:rPr>
                <w:snapToGrid w:val="0"/>
                <w:color w:val="000000"/>
              </w:rPr>
              <w:t>сумма</w:t>
            </w:r>
          </w:p>
        </w:tc>
        <w:tc>
          <w:tcPr>
            <w:tcW w:w="598" w:type="dxa"/>
            <w:tcBorders>
              <w:top w:val="single" w:sz="6" w:space="0" w:color="auto"/>
              <w:left w:val="threeDEmboss" w:sz="6" w:space="0" w:color="auto"/>
              <w:right w:val="threeDEmboss" w:sz="6" w:space="0" w:color="auto"/>
            </w:tcBorders>
          </w:tcPr>
          <w:p w:rsidR="001124F2" w:rsidRDefault="001124F2">
            <w:pPr>
              <w:jc w:val="center"/>
              <w:rPr>
                <w:snapToGrid w:val="0"/>
                <w:color w:val="000000"/>
              </w:rPr>
            </w:pPr>
            <w:r>
              <w:rPr>
                <w:snapToGrid w:val="0"/>
                <w:color w:val="000000"/>
              </w:rPr>
              <w:t>%</w:t>
            </w:r>
          </w:p>
        </w:tc>
        <w:tc>
          <w:tcPr>
            <w:tcW w:w="762" w:type="dxa"/>
            <w:tcBorders>
              <w:top w:val="single" w:sz="6" w:space="0" w:color="auto"/>
              <w:left w:val="threeDEmboss" w:sz="6" w:space="0" w:color="auto"/>
              <w:right w:val="threeDEmboss" w:sz="6" w:space="0" w:color="auto"/>
            </w:tcBorders>
          </w:tcPr>
          <w:p w:rsidR="001124F2" w:rsidRDefault="001124F2">
            <w:pPr>
              <w:jc w:val="center"/>
              <w:rPr>
                <w:snapToGrid w:val="0"/>
                <w:color w:val="000000"/>
              </w:rPr>
            </w:pPr>
            <w:r>
              <w:rPr>
                <w:snapToGrid w:val="0"/>
                <w:color w:val="000000"/>
              </w:rPr>
              <w:t>сумма</w:t>
            </w:r>
          </w:p>
        </w:tc>
        <w:tc>
          <w:tcPr>
            <w:tcW w:w="797" w:type="dxa"/>
            <w:tcBorders>
              <w:top w:val="single" w:sz="6" w:space="0" w:color="auto"/>
              <w:left w:val="threeDEmboss" w:sz="6" w:space="0" w:color="auto"/>
              <w:right w:val="threeDEmboss" w:sz="6" w:space="0" w:color="auto"/>
            </w:tcBorders>
          </w:tcPr>
          <w:p w:rsidR="001124F2" w:rsidRDefault="001124F2">
            <w:pPr>
              <w:jc w:val="center"/>
              <w:rPr>
                <w:snapToGrid w:val="0"/>
                <w:color w:val="000000"/>
              </w:rPr>
            </w:pPr>
            <w:r>
              <w:rPr>
                <w:snapToGrid w:val="0"/>
                <w:color w:val="000000"/>
              </w:rPr>
              <w:t>%</w:t>
            </w:r>
          </w:p>
        </w:tc>
      </w:tr>
      <w:tr w:rsidR="001124F2">
        <w:trPr>
          <w:trHeight w:val="329"/>
        </w:trPr>
        <w:tc>
          <w:tcPr>
            <w:tcW w:w="3118" w:type="dxa"/>
            <w:tcBorders>
              <w:top w:val="threeDEmboss" w:sz="6" w:space="0" w:color="auto"/>
              <w:left w:val="threeDEmboss" w:sz="6" w:space="0" w:color="auto"/>
              <w:bottom w:val="dotted" w:sz="4" w:space="0" w:color="auto"/>
              <w:right w:val="dotted" w:sz="4" w:space="0" w:color="auto"/>
            </w:tcBorders>
            <w:vAlign w:val="center"/>
          </w:tcPr>
          <w:p w:rsidR="001124F2" w:rsidRDefault="001124F2">
            <w:pPr>
              <w:jc w:val="both"/>
              <w:rPr>
                <w:rFonts w:ascii="Times New Roman" w:hAnsi="Times New Roman"/>
                <w:snapToGrid w:val="0"/>
                <w:color w:val="000000"/>
              </w:rPr>
            </w:pPr>
            <w:r>
              <w:rPr>
                <w:rFonts w:ascii="Times New Roman" w:hAnsi="Times New Roman"/>
                <w:snapToGrid w:val="0"/>
                <w:color w:val="000000"/>
              </w:rPr>
              <w:t>НАЛОГОВЫЕ ДОХОДЫ</w:t>
            </w:r>
          </w:p>
        </w:tc>
        <w:tc>
          <w:tcPr>
            <w:tcW w:w="851" w:type="dxa"/>
            <w:tcBorders>
              <w:top w:val="threeDEmboss" w:sz="6" w:space="0" w:color="auto"/>
              <w:left w:val="dotted" w:sz="4" w:space="0" w:color="auto"/>
              <w:bottom w:val="dotted" w:sz="4" w:space="0" w:color="auto"/>
              <w:right w:val="dotted" w:sz="4" w:space="0" w:color="auto"/>
            </w:tcBorders>
            <w:vAlign w:val="center"/>
          </w:tcPr>
          <w:p w:rsidR="001124F2" w:rsidRDefault="001124F2">
            <w:pPr>
              <w:jc w:val="right"/>
              <w:rPr>
                <w:rFonts w:ascii="Times New Roman" w:hAnsi="Times New Roman"/>
                <w:snapToGrid w:val="0"/>
                <w:color w:val="000000"/>
                <w:sz w:val="18"/>
              </w:rPr>
            </w:pPr>
            <w:r>
              <w:rPr>
                <w:rFonts w:ascii="Times New Roman" w:hAnsi="Times New Roman"/>
                <w:snapToGrid w:val="0"/>
                <w:color w:val="000000"/>
                <w:sz w:val="18"/>
              </w:rPr>
              <w:t>-112,25</w:t>
            </w:r>
          </w:p>
        </w:tc>
        <w:tc>
          <w:tcPr>
            <w:tcW w:w="680" w:type="dxa"/>
            <w:tcBorders>
              <w:top w:val="threeDEmboss" w:sz="6" w:space="0" w:color="auto"/>
              <w:left w:val="dotted" w:sz="4" w:space="0" w:color="auto"/>
              <w:bottom w:val="dotted" w:sz="4" w:space="0" w:color="auto"/>
              <w:right w:val="dotted" w:sz="4" w:space="0" w:color="auto"/>
            </w:tcBorders>
            <w:vAlign w:val="center"/>
          </w:tcPr>
          <w:p w:rsidR="001124F2" w:rsidRDefault="001124F2">
            <w:pPr>
              <w:jc w:val="right"/>
              <w:rPr>
                <w:rFonts w:ascii="Times New Roman" w:hAnsi="Times New Roman"/>
                <w:snapToGrid w:val="0"/>
                <w:color w:val="000000"/>
                <w:sz w:val="18"/>
              </w:rPr>
            </w:pPr>
            <w:r>
              <w:rPr>
                <w:rFonts w:ascii="Times New Roman" w:hAnsi="Times New Roman"/>
                <w:snapToGrid w:val="0"/>
                <w:color w:val="000000"/>
                <w:sz w:val="18"/>
              </w:rPr>
              <w:t>-30,15</w:t>
            </w:r>
          </w:p>
        </w:tc>
        <w:tc>
          <w:tcPr>
            <w:tcW w:w="738" w:type="dxa"/>
            <w:gridSpan w:val="2"/>
            <w:tcBorders>
              <w:top w:val="threeDEmboss" w:sz="6" w:space="0" w:color="auto"/>
              <w:left w:val="dotted" w:sz="4" w:space="0" w:color="auto"/>
              <w:bottom w:val="dotted" w:sz="4" w:space="0" w:color="auto"/>
              <w:right w:val="dotted" w:sz="4" w:space="0" w:color="auto"/>
            </w:tcBorders>
            <w:vAlign w:val="center"/>
          </w:tcPr>
          <w:p w:rsidR="001124F2" w:rsidRDefault="001124F2">
            <w:pPr>
              <w:jc w:val="right"/>
              <w:rPr>
                <w:rFonts w:ascii="Times New Roman" w:hAnsi="Times New Roman"/>
                <w:snapToGrid w:val="0"/>
                <w:color w:val="000000"/>
                <w:sz w:val="18"/>
              </w:rPr>
            </w:pPr>
            <w:r>
              <w:rPr>
                <w:rFonts w:ascii="Times New Roman" w:hAnsi="Times New Roman"/>
                <w:snapToGrid w:val="0"/>
                <w:color w:val="000000"/>
                <w:sz w:val="18"/>
              </w:rPr>
              <w:t>-53,71</w:t>
            </w:r>
          </w:p>
        </w:tc>
        <w:tc>
          <w:tcPr>
            <w:tcW w:w="680" w:type="dxa"/>
            <w:tcBorders>
              <w:top w:val="threeDEmboss" w:sz="6" w:space="0" w:color="auto"/>
              <w:left w:val="dotted" w:sz="4" w:space="0" w:color="auto"/>
              <w:bottom w:val="dotted" w:sz="4" w:space="0" w:color="auto"/>
              <w:right w:val="dotted" w:sz="4" w:space="0" w:color="auto"/>
            </w:tcBorders>
            <w:vAlign w:val="center"/>
          </w:tcPr>
          <w:p w:rsidR="001124F2" w:rsidRDefault="001124F2">
            <w:pPr>
              <w:jc w:val="right"/>
              <w:rPr>
                <w:rFonts w:ascii="Times New Roman" w:hAnsi="Times New Roman"/>
                <w:snapToGrid w:val="0"/>
                <w:color w:val="000000"/>
                <w:sz w:val="18"/>
              </w:rPr>
            </w:pPr>
            <w:r>
              <w:rPr>
                <w:rFonts w:ascii="Times New Roman" w:hAnsi="Times New Roman"/>
                <w:snapToGrid w:val="0"/>
                <w:color w:val="000000"/>
                <w:sz w:val="18"/>
              </w:rPr>
              <w:t>-17,50</w:t>
            </w:r>
          </w:p>
        </w:tc>
        <w:tc>
          <w:tcPr>
            <w:tcW w:w="680" w:type="dxa"/>
            <w:gridSpan w:val="2"/>
            <w:tcBorders>
              <w:top w:val="threeDEmboss" w:sz="6" w:space="0" w:color="auto"/>
              <w:left w:val="dotted" w:sz="4" w:space="0" w:color="auto"/>
              <w:bottom w:val="dotted" w:sz="4" w:space="0" w:color="auto"/>
              <w:right w:val="dotted" w:sz="4" w:space="0" w:color="auto"/>
            </w:tcBorders>
            <w:vAlign w:val="center"/>
          </w:tcPr>
          <w:p w:rsidR="001124F2" w:rsidRDefault="001124F2">
            <w:pPr>
              <w:jc w:val="right"/>
              <w:rPr>
                <w:rFonts w:ascii="Times New Roman" w:hAnsi="Times New Roman"/>
                <w:snapToGrid w:val="0"/>
                <w:color w:val="000000"/>
                <w:sz w:val="18"/>
              </w:rPr>
            </w:pPr>
            <w:r>
              <w:rPr>
                <w:rFonts w:ascii="Times New Roman" w:hAnsi="Times New Roman"/>
                <w:snapToGrid w:val="0"/>
                <w:color w:val="000000"/>
                <w:sz w:val="18"/>
              </w:rPr>
              <w:t>+110,2</w:t>
            </w:r>
          </w:p>
        </w:tc>
        <w:tc>
          <w:tcPr>
            <w:tcW w:w="680" w:type="dxa"/>
            <w:tcBorders>
              <w:top w:val="threeDEmboss" w:sz="6" w:space="0" w:color="auto"/>
              <w:left w:val="dotted" w:sz="4" w:space="0" w:color="auto"/>
              <w:bottom w:val="dotted" w:sz="4" w:space="0" w:color="auto"/>
              <w:right w:val="dotted" w:sz="4" w:space="0" w:color="auto"/>
            </w:tcBorders>
            <w:vAlign w:val="center"/>
          </w:tcPr>
          <w:p w:rsidR="001124F2" w:rsidRDefault="001124F2">
            <w:pPr>
              <w:jc w:val="right"/>
              <w:rPr>
                <w:rFonts w:ascii="Times New Roman" w:hAnsi="Times New Roman"/>
                <w:snapToGrid w:val="0"/>
                <w:color w:val="000000"/>
                <w:sz w:val="18"/>
              </w:rPr>
            </w:pPr>
            <w:r>
              <w:rPr>
                <w:rFonts w:ascii="Times New Roman" w:hAnsi="Times New Roman"/>
                <w:snapToGrid w:val="0"/>
                <w:color w:val="000000"/>
                <w:sz w:val="18"/>
              </w:rPr>
              <w:t>+27,58</w:t>
            </w:r>
          </w:p>
        </w:tc>
        <w:tc>
          <w:tcPr>
            <w:tcW w:w="680" w:type="dxa"/>
            <w:gridSpan w:val="2"/>
            <w:tcBorders>
              <w:top w:val="threeDEmboss" w:sz="6" w:space="0" w:color="auto"/>
              <w:left w:val="dotted" w:sz="4" w:space="0" w:color="auto"/>
              <w:bottom w:val="dotted" w:sz="4" w:space="0" w:color="auto"/>
              <w:right w:val="dotted" w:sz="4" w:space="0" w:color="auto"/>
            </w:tcBorders>
            <w:vAlign w:val="center"/>
          </w:tcPr>
          <w:p w:rsidR="001124F2" w:rsidRDefault="001124F2">
            <w:pPr>
              <w:jc w:val="right"/>
              <w:rPr>
                <w:rFonts w:ascii="Times New Roman" w:hAnsi="Times New Roman"/>
                <w:snapToGrid w:val="0"/>
                <w:color w:val="000000"/>
                <w:sz w:val="18"/>
              </w:rPr>
            </w:pPr>
            <w:r>
              <w:rPr>
                <w:rFonts w:ascii="Times New Roman" w:hAnsi="Times New Roman"/>
                <w:snapToGrid w:val="0"/>
                <w:color w:val="000000"/>
                <w:sz w:val="18"/>
              </w:rPr>
              <w:t>+14,87</w:t>
            </w:r>
          </w:p>
        </w:tc>
        <w:tc>
          <w:tcPr>
            <w:tcW w:w="598" w:type="dxa"/>
            <w:tcBorders>
              <w:top w:val="threeDEmboss" w:sz="6" w:space="0" w:color="auto"/>
              <w:left w:val="dotted" w:sz="4" w:space="0" w:color="auto"/>
              <w:bottom w:val="dotted" w:sz="4" w:space="0" w:color="auto"/>
              <w:right w:val="dotted" w:sz="4" w:space="0" w:color="auto"/>
            </w:tcBorders>
            <w:vAlign w:val="center"/>
          </w:tcPr>
          <w:p w:rsidR="001124F2" w:rsidRDefault="001124F2">
            <w:pPr>
              <w:jc w:val="right"/>
              <w:rPr>
                <w:rFonts w:ascii="Times New Roman" w:hAnsi="Times New Roman"/>
                <w:snapToGrid w:val="0"/>
                <w:color w:val="000000"/>
                <w:sz w:val="18"/>
                <w:lang w:val="en-US"/>
              </w:rPr>
            </w:pPr>
            <w:r>
              <w:rPr>
                <w:rFonts w:ascii="Times New Roman" w:hAnsi="Times New Roman"/>
                <w:snapToGrid w:val="0"/>
                <w:color w:val="000000"/>
                <w:sz w:val="18"/>
                <w:lang w:val="en-US"/>
              </w:rPr>
              <w:t>+1,56</w:t>
            </w:r>
          </w:p>
        </w:tc>
        <w:tc>
          <w:tcPr>
            <w:tcW w:w="762" w:type="dxa"/>
            <w:tcBorders>
              <w:top w:val="threeDEmboss" w:sz="6" w:space="0" w:color="auto"/>
              <w:left w:val="dotted" w:sz="4" w:space="0" w:color="auto"/>
              <w:bottom w:val="dotted" w:sz="4" w:space="0" w:color="auto"/>
              <w:right w:val="dotted" w:sz="4" w:space="0" w:color="auto"/>
            </w:tcBorders>
            <w:vAlign w:val="center"/>
          </w:tcPr>
          <w:p w:rsidR="001124F2" w:rsidRDefault="001124F2">
            <w:pPr>
              <w:jc w:val="right"/>
              <w:rPr>
                <w:rFonts w:ascii="Times New Roman" w:hAnsi="Times New Roman"/>
                <w:snapToGrid w:val="0"/>
                <w:color w:val="000000"/>
                <w:sz w:val="18"/>
                <w:lang w:val="en-US"/>
              </w:rPr>
            </w:pPr>
            <w:r>
              <w:rPr>
                <w:rFonts w:ascii="Times New Roman" w:hAnsi="Times New Roman"/>
                <w:snapToGrid w:val="0"/>
                <w:color w:val="000000"/>
                <w:sz w:val="18"/>
                <w:lang w:val="en-US"/>
              </w:rPr>
              <w:t>+40,89</w:t>
            </w:r>
          </w:p>
        </w:tc>
        <w:tc>
          <w:tcPr>
            <w:tcW w:w="797" w:type="dxa"/>
            <w:tcBorders>
              <w:top w:val="threeDEmboss" w:sz="6" w:space="0" w:color="auto"/>
              <w:left w:val="dotted" w:sz="4" w:space="0" w:color="auto"/>
              <w:bottom w:val="dotted" w:sz="4" w:space="0" w:color="auto"/>
              <w:right w:val="threeDEmboss" w:sz="6" w:space="0" w:color="auto"/>
            </w:tcBorders>
            <w:vAlign w:val="center"/>
          </w:tcPr>
          <w:p w:rsidR="001124F2" w:rsidRDefault="001124F2">
            <w:pPr>
              <w:jc w:val="right"/>
              <w:rPr>
                <w:rFonts w:ascii="Times New Roman" w:hAnsi="Times New Roman"/>
                <w:snapToGrid w:val="0"/>
                <w:color w:val="000000"/>
                <w:sz w:val="18"/>
                <w:lang w:val="en-US"/>
              </w:rPr>
            </w:pPr>
            <w:r>
              <w:rPr>
                <w:rFonts w:ascii="Times New Roman" w:hAnsi="Times New Roman"/>
                <w:snapToGrid w:val="0"/>
                <w:color w:val="000000"/>
                <w:sz w:val="18"/>
                <w:lang w:val="en-US"/>
              </w:rPr>
              <w:t>+6,59</w:t>
            </w:r>
          </w:p>
        </w:tc>
      </w:tr>
      <w:tr w:rsidR="001124F2">
        <w:trPr>
          <w:trHeight w:val="329"/>
        </w:trPr>
        <w:tc>
          <w:tcPr>
            <w:tcW w:w="3118" w:type="dxa"/>
            <w:tcBorders>
              <w:top w:val="dotted" w:sz="4" w:space="0" w:color="auto"/>
              <w:left w:val="threeDEmboss" w:sz="6" w:space="0" w:color="auto"/>
              <w:bottom w:val="dotted" w:sz="4" w:space="0" w:color="auto"/>
              <w:right w:val="dotted" w:sz="4" w:space="0" w:color="auto"/>
            </w:tcBorders>
            <w:vAlign w:val="center"/>
          </w:tcPr>
          <w:p w:rsidR="001124F2" w:rsidRDefault="001124F2">
            <w:pPr>
              <w:jc w:val="both"/>
              <w:rPr>
                <w:rFonts w:ascii="Times New Roman" w:hAnsi="Times New Roman"/>
                <w:snapToGrid w:val="0"/>
                <w:color w:val="000000"/>
              </w:rPr>
            </w:pPr>
            <w:r>
              <w:rPr>
                <w:rFonts w:ascii="Times New Roman" w:hAnsi="Times New Roman"/>
                <w:snapToGrid w:val="0"/>
                <w:color w:val="000000"/>
              </w:rPr>
              <w:t>Налог на прибыль (доход) предприятий и организаций</w:t>
            </w:r>
          </w:p>
        </w:tc>
        <w:tc>
          <w:tcPr>
            <w:tcW w:w="851" w:type="dxa"/>
            <w:tcBorders>
              <w:top w:val="dotted" w:sz="4" w:space="0" w:color="auto"/>
              <w:left w:val="dotted" w:sz="4" w:space="0" w:color="auto"/>
              <w:bottom w:val="dotted" w:sz="4" w:space="0" w:color="auto"/>
              <w:right w:val="dotted" w:sz="4" w:space="0" w:color="auto"/>
            </w:tcBorders>
            <w:vAlign w:val="center"/>
          </w:tcPr>
          <w:p w:rsidR="001124F2" w:rsidRDefault="001124F2">
            <w:pPr>
              <w:jc w:val="right"/>
              <w:rPr>
                <w:rFonts w:ascii="Times New Roman" w:hAnsi="Times New Roman"/>
                <w:snapToGrid w:val="0"/>
                <w:color w:val="000000"/>
                <w:sz w:val="18"/>
              </w:rPr>
            </w:pPr>
            <w:r>
              <w:rPr>
                <w:rFonts w:ascii="Times New Roman" w:hAnsi="Times New Roman"/>
                <w:snapToGrid w:val="0"/>
                <w:color w:val="000000"/>
                <w:sz w:val="18"/>
              </w:rPr>
              <w:t>-40,07</w:t>
            </w:r>
          </w:p>
        </w:tc>
        <w:tc>
          <w:tcPr>
            <w:tcW w:w="680" w:type="dxa"/>
            <w:tcBorders>
              <w:top w:val="dotted" w:sz="4" w:space="0" w:color="auto"/>
              <w:left w:val="dotted" w:sz="4" w:space="0" w:color="auto"/>
              <w:bottom w:val="dotted" w:sz="4" w:space="0" w:color="auto"/>
              <w:right w:val="dotted" w:sz="4" w:space="0" w:color="auto"/>
            </w:tcBorders>
            <w:vAlign w:val="center"/>
          </w:tcPr>
          <w:p w:rsidR="001124F2" w:rsidRDefault="001124F2">
            <w:pPr>
              <w:jc w:val="right"/>
              <w:rPr>
                <w:rFonts w:ascii="Times New Roman" w:hAnsi="Times New Roman"/>
                <w:snapToGrid w:val="0"/>
                <w:color w:val="000000"/>
                <w:sz w:val="18"/>
              </w:rPr>
            </w:pPr>
            <w:r>
              <w:rPr>
                <w:rFonts w:ascii="Times New Roman" w:hAnsi="Times New Roman"/>
                <w:snapToGrid w:val="0"/>
                <w:color w:val="000000"/>
                <w:sz w:val="18"/>
              </w:rPr>
              <w:t>-52,38</w:t>
            </w:r>
          </w:p>
        </w:tc>
        <w:tc>
          <w:tcPr>
            <w:tcW w:w="738" w:type="dxa"/>
            <w:gridSpan w:val="2"/>
            <w:tcBorders>
              <w:top w:val="dotted" w:sz="4" w:space="0" w:color="auto"/>
              <w:left w:val="dotted" w:sz="4" w:space="0" w:color="auto"/>
              <w:bottom w:val="dotted" w:sz="4" w:space="0" w:color="auto"/>
              <w:right w:val="dotted" w:sz="4" w:space="0" w:color="auto"/>
            </w:tcBorders>
            <w:vAlign w:val="center"/>
          </w:tcPr>
          <w:p w:rsidR="001124F2" w:rsidRDefault="001124F2">
            <w:pPr>
              <w:jc w:val="right"/>
              <w:rPr>
                <w:rFonts w:ascii="Times New Roman" w:hAnsi="Times New Roman"/>
                <w:snapToGrid w:val="0"/>
                <w:color w:val="000000"/>
                <w:sz w:val="18"/>
              </w:rPr>
            </w:pPr>
            <w:r>
              <w:rPr>
                <w:rFonts w:ascii="Times New Roman" w:hAnsi="Times New Roman"/>
                <w:snapToGrid w:val="0"/>
                <w:color w:val="000000"/>
                <w:sz w:val="18"/>
              </w:rPr>
              <w:t>-11,08</w:t>
            </w:r>
          </w:p>
        </w:tc>
        <w:tc>
          <w:tcPr>
            <w:tcW w:w="680" w:type="dxa"/>
            <w:tcBorders>
              <w:top w:val="dotted" w:sz="4" w:space="0" w:color="auto"/>
              <w:left w:val="dotted" w:sz="4" w:space="0" w:color="auto"/>
              <w:bottom w:val="dotted" w:sz="4" w:space="0" w:color="auto"/>
              <w:right w:val="dotted" w:sz="4" w:space="0" w:color="auto"/>
            </w:tcBorders>
            <w:vAlign w:val="center"/>
          </w:tcPr>
          <w:p w:rsidR="001124F2" w:rsidRDefault="001124F2">
            <w:pPr>
              <w:jc w:val="right"/>
              <w:rPr>
                <w:rFonts w:ascii="Times New Roman" w:hAnsi="Times New Roman"/>
                <w:snapToGrid w:val="0"/>
                <w:color w:val="000000"/>
                <w:sz w:val="18"/>
              </w:rPr>
            </w:pPr>
            <w:r>
              <w:rPr>
                <w:rFonts w:ascii="Times New Roman" w:hAnsi="Times New Roman"/>
                <w:snapToGrid w:val="0"/>
                <w:color w:val="000000"/>
                <w:sz w:val="18"/>
              </w:rPr>
              <w:t>-23,02</w:t>
            </w:r>
          </w:p>
        </w:tc>
        <w:tc>
          <w:tcPr>
            <w:tcW w:w="680" w:type="dxa"/>
            <w:gridSpan w:val="2"/>
            <w:tcBorders>
              <w:top w:val="dotted" w:sz="4" w:space="0" w:color="auto"/>
              <w:left w:val="dotted" w:sz="4" w:space="0" w:color="auto"/>
              <w:bottom w:val="dotted" w:sz="4" w:space="0" w:color="auto"/>
              <w:right w:val="dotted" w:sz="4" w:space="0" w:color="auto"/>
            </w:tcBorders>
            <w:vAlign w:val="center"/>
          </w:tcPr>
          <w:p w:rsidR="001124F2" w:rsidRDefault="001124F2">
            <w:pPr>
              <w:jc w:val="right"/>
              <w:rPr>
                <w:rFonts w:ascii="Times New Roman" w:hAnsi="Times New Roman"/>
                <w:snapToGrid w:val="0"/>
                <w:color w:val="000000"/>
                <w:sz w:val="18"/>
              </w:rPr>
            </w:pPr>
            <w:r>
              <w:rPr>
                <w:rFonts w:ascii="Times New Roman" w:hAnsi="Times New Roman"/>
                <w:snapToGrid w:val="0"/>
                <w:color w:val="000000"/>
                <w:sz w:val="18"/>
              </w:rPr>
              <w:t>+45,11</w:t>
            </w:r>
          </w:p>
        </w:tc>
        <w:tc>
          <w:tcPr>
            <w:tcW w:w="680" w:type="dxa"/>
            <w:tcBorders>
              <w:top w:val="dotted" w:sz="4" w:space="0" w:color="auto"/>
              <w:left w:val="dotted" w:sz="4" w:space="0" w:color="auto"/>
              <w:bottom w:val="dotted" w:sz="4" w:space="0" w:color="auto"/>
              <w:right w:val="dotted" w:sz="4" w:space="0" w:color="auto"/>
            </w:tcBorders>
            <w:vAlign w:val="center"/>
          </w:tcPr>
          <w:p w:rsidR="001124F2" w:rsidRDefault="001124F2">
            <w:pPr>
              <w:jc w:val="right"/>
              <w:rPr>
                <w:rFonts w:ascii="Times New Roman" w:hAnsi="Times New Roman"/>
                <w:snapToGrid w:val="0"/>
                <w:color w:val="000000"/>
                <w:sz w:val="18"/>
              </w:rPr>
            </w:pPr>
            <w:r>
              <w:rPr>
                <w:rFonts w:ascii="Times New Roman" w:hAnsi="Times New Roman"/>
                <w:snapToGrid w:val="0"/>
                <w:color w:val="000000"/>
                <w:sz w:val="18"/>
              </w:rPr>
              <w:t>+125,2</w:t>
            </w:r>
          </w:p>
        </w:tc>
        <w:tc>
          <w:tcPr>
            <w:tcW w:w="680" w:type="dxa"/>
            <w:gridSpan w:val="2"/>
            <w:tcBorders>
              <w:top w:val="dotted" w:sz="4" w:space="0" w:color="auto"/>
              <w:left w:val="dotted" w:sz="4" w:space="0" w:color="auto"/>
              <w:bottom w:val="dotted" w:sz="4" w:space="0" w:color="auto"/>
              <w:right w:val="dotted" w:sz="4" w:space="0" w:color="auto"/>
            </w:tcBorders>
            <w:vAlign w:val="center"/>
          </w:tcPr>
          <w:p w:rsidR="001124F2" w:rsidRDefault="001124F2">
            <w:pPr>
              <w:jc w:val="right"/>
              <w:rPr>
                <w:rFonts w:ascii="Times New Roman" w:hAnsi="Times New Roman"/>
                <w:snapToGrid w:val="0"/>
                <w:color w:val="000000"/>
                <w:sz w:val="18"/>
              </w:rPr>
            </w:pPr>
            <w:r>
              <w:rPr>
                <w:rFonts w:ascii="Times New Roman" w:hAnsi="Times New Roman"/>
                <w:snapToGrid w:val="0"/>
                <w:color w:val="000000"/>
                <w:sz w:val="18"/>
              </w:rPr>
              <w:t>+6,94</w:t>
            </w:r>
          </w:p>
        </w:tc>
        <w:tc>
          <w:tcPr>
            <w:tcW w:w="598" w:type="dxa"/>
            <w:tcBorders>
              <w:top w:val="dotted" w:sz="4" w:space="0" w:color="auto"/>
              <w:left w:val="dotted" w:sz="4" w:space="0" w:color="auto"/>
              <w:bottom w:val="dotted" w:sz="4" w:space="0" w:color="auto"/>
              <w:right w:val="dotted" w:sz="4" w:space="0" w:color="auto"/>
            </w:tcBorders>
            <w:vAlign w:val="center"/>
          </w:tcPr>
          <w:p w:rsidR="001124F2" w:rsidRDefault="001124F2">
            <w:pPr>
              <w:jc w:val="right"/>
              <w:rPr>
                <w:rFonts w:ascii="Times New Roman" w:hAnsi="Times New Roman"/>
                <w:snapToGrid w:val="0"/>
                <w:color w:val="000000"/>
                <w:sz w:val="18"/>
                <w:lang w:val="en-US"/>
              </w:rPr>
            </w:pPr>
            <w:r>
              <w:rPr>
                <w:rFonts w:ascii="Times New Roman" w:hAnsi="Times New Roman"/>
                <w:snapToGrid w:val="0"/>
                <w:color w:val="000000"/>
                <w:sz w:val="18"/>
                <w:lang w:val="en-US"/>
              </w:rPr>
              <w:t>+4,06</w:t>
            </w:r>
          </w:p>
        </w:tc>
        <w:tc>
          <w:tcPr>
            <w:tcW w:w="762" w:type="dxa"/>
            <w:tcBorders>
              <w:top w:val="dotted" w:sz="4" w:space="0" w:color="auto"/>
              <w:left w:val="dotted" w:sz="4" w:space="0" w:color="auto"/>
              <w:bottom w:val="dotted" w:sz="4" w:space="0" w:color="auto"/>
              <w:right w:val="dotted" w:sz="4" w:space="0" w:color="auto"/>
            </w:tcBorders>
            <w:vAlign w:val="center"/>
          </w:tcPr>
          <w:p w:rsidR="001124F2" w:rsidRDefault="001124F2">
            <w:pPr>
              <w:jc w:val="right"/>
              <w:rPr>
                <w:rFonts w:ascii="Times New Roman" w:hAnsi="Times New Roman"/>
                <w:snapToGrid w:val="0"/>
                <w:color w:val="000000"/>
                <w:sz w:val="18"/>
                <w:lang w:val="en-US"/>
              </w:rPr>
            </w:pPr>
            <w:r>
              <w:rPr>
                <w:rFonts w:ascii="Times New Roman" w:hAnsi="Times New Roman"/>
                <w:snapToGrid w:val="0"/>
                <w:color w:val="000000"/>
                <w:sz w:val="18"/>
                <w:lang w:val="en-US"/>
              </w:rPr>
              <w:t>+5,44</w:t>
            </w:r>
          </w:p>
        </w:tc>
        <w:tc>
          <w:tcPr>
            <w:tcW w:w="797" w:type="dxa"/>
            <w:tcBorders>
              <w:top w:val="dotted" w:sz="4" w:space="0" w:color="auto"/>
              <w:left w:val="dotted" w:sz="4" w:space="0" w:color="auto"/>
              <w:bottom w:val="dotted" w:sz="4" w:space="0" w:color="auto"/>
              <w:right w:val="threeDEmboss" w:sz="6" w:space="0" w:color="auto"/>
            </w:tcBorders>
            <w:vAlign w:val="center"/>
          </w:tcPr>
          <w:p w:rsidR="001124F2" w:rsidRDefault="001124F2">
            <w:pPr>
              <w:jc w:val="right"/>
              <w:rPr>
                <w:rFonts w:ascii="Times New Roman" w:hAnsi="Times New Roman"/>
                <w:snapToGrid w:val="0"/>
                <w:color w:val="000000"/>
                <w:sz w:val="18"/>
                <w:lang w:val="en-US"/>
              </w:rPr>
            </w:pPr>
            <w:r>
              <w:rPr>
                <w:rFonts w:ascii="Times New Roman" w:hAnsi="Times New Roman"/>
                <w:snapToGrid w:val="0"/>
                <w:color w:val="000000"/>
                <w:sz w:val="18"/>
                <w:lang w:val="en-US"/>
              </w:rPr>
              <w:t>+5,59</w:t>
            </w:r>
          </w:p>
        </w:tc>
      </w:tr>
      <w:tr w:rsidR="001124F2">
        <w:trPr>
          <w:trHeight w:val="329"/>
        </w:trPr>
        <w:tc>
          <w:tcPr>
            <w:tcW w:w="3118" w:type="dxa"/>
            <w:tcBorders>
              <w:top w:val="dotted" w:sz="4" w:space="0" w:color="auto"/>
              <w:left w:val="threeDEmboss" w:sz="6" w:space="0" w:color="auto"/>
              <w:bottom w:val="dotted" w:sz="4" w:space="0" w:color="auto"/>
              <w:right w:val="dotted" w:sz="4" w:space="0" w:color="auto"/>
            </w:tcBorders>
            <w:vAlign w:val="center"/>
          </w:tcPr>
          <w:p w:rsidR="001124F2" w:rsidRDefault="001124F2">
            <w:pPr>
              <w:jc w:val="both"/>
              <w:rPr>
                <w:rFonts w:ascii="Times New Roman" w:hAnsi="Times New Roman"/>
                <w:snapToGrid w:val="0"/>
                <w:color w:val="000000"/>
              </w:rPr>
            </w:pPr>
            <w:r>
              <w:rPr>
                <w:rFonts w:ascii="Times New Roman" w:hAnsi="Times New Roman"/>
                <w:snapToGrid w:val="0"/>
                <w:color w:val="000000"/>
              </w:rPr>
              <w:t>Налог на добавленную стоимость</w:t>
            </w:r>
          </w:p>
        </w:tc>
        <w:tc>
          <w:tcPr>
            <w:tcW w:w="851" w:type="dxa"/>
            <w:tcBorders>
              <w:top w:val="dotted" w:sz="4" w:space="0" w:color="auto"/>
              <w:left w:val="dotted" w:sz="4" w:space="0" w:color="auto"/>
              <w:bottom w:val="dotted" w:sz="4" w:space="0" w:color="auto"/>
              <w:right w:val="dotted" w:sz="4" w:space="0" w:color="auto"/>
            </w:tcBorders>
            <w:vAlign w:val="center"/>
          </w:tcPr>
          <w:p w:rsidR="001124F2" w:rsidRDefault="001124F2">
            <w:pPr>
              <w:jc w:val="right"/>
              <w:rPr>
                <w:rFonts w:ascii="Times New Roman" w:hAnsi="Times New Roman"/>
                <w:snapToGrid w:val="0"/>
                <w:color w:val="000000"/>
                <w:sz w:val="18"/>
              </w:rPr>
            </w:pPr>
            <w:r>
              <w:rPr>
                <w:rFonts w:ascii="Times New Roman" w:hAnsi="Times New Roman"/>
                <w:snapToGrid w:val="0"/>
                <w:color w:val="000000"/>
                <w:sz w:val="18"/>
              </w:rPr>
              <w:t>-45,25</w:t>
            </w:r>
          </w:p>
        </w:tc>
        <w:tc>
          <w:tcPr>
            <w:tcW w:w="680" w:type="dxa"/>
            <w:tcBorders>
              <w:top w:val="dotted" w:sz="4" w:space="0" w:color="auto"/>
              <w:left w:val="dotted" w:sz="4" w:space="0" w:color="auto"/>
              <w:bottom w:val="dotted" w:sz="4" w:space="0" w:color="auto"/>
              <w:right w:val="dotted" w:sz="4" w:space="0" w:color="auto"/>
            </w:tcBorders>
            <w:vAlign w:val="center"/>
          </w:tcPr>
          <w:p w:rsidR="001124F2" w:rsidRDefault="001124F2">
            <w:pPr>
              <w:jc w:val="right"/>
              <w:rPr>
                <w:rFonts w:ascii="Times New Roman" w:hAnsi="Times New Roman"/>
                <w:snapToGrid w:val="0"/>
                <w:color w:val="000000"/>
                <w:sz w:val="18"/>
              </w:rPr>
            </w:pPr>
            <w:r>
              <w:rPr>
                <w:rFonts w:ascii="Times New Roman" w:hAnsi="Times New Roman"/>
                <w:snapToGrid w:val="0"/>
                <w:color w:val="000000"/>
                <w:sz w:val="18"/>
              </w:rPr>
              <w:t>-26,01</w:t>
            </w:r>
          </w:p>
        </w:tc>
        <w:tc>
          <w:tcPr>
            <w:tcW w:w="738" w:type="dxa"/>
            <w:gridSpan w:val="2"/>
            <w:tcBorders>
              <w:top w:val="dotted" w:sz="4" w:space="0" w:color="auto"/>
              <w:left w:val="dotted" w:sz="4" w:space="0" w:color="auto"/>
              <w:bottom w:val="dotted" w:sz="4" w:space="0" w:color="auto"/>
              <w:right w:val="dotted" w:sz="4" w:space="0" w:color="auto"/>
            </w:tcBorders>
            <w:vAlign w:val="center"/>
          </w:tcPr>
          <w:p w:rsidR="001124F2" w:rsidRDefault="001124F2">
            <w:pPr>
              <w:jc w:val="right"/>
              <w:rPr>
                <w:rFonts w:ascii="Times New Roman" w:hAnsi="Times New Roman"/>
                <w:snapToGrid w:val="0"/>
                <w:color w:val="000000"/>
                <w:sz w:val="18"/>
              </w:rPr>
            </w:pPr>
            <w:r>
              <w:rPr>
                <w:rFonts w:ascii="Times New Roman" w:hAnsi="Times New Roman"/>
                <w:snapToGrid w:val="0"/>
                <w:color w:val="000000"/>
                <w:sz w:val="18"/>
              </w:rPr>
              <w:t>-23,90</w:t>
            </w:r>
          </w:p>
        </w:tc>
        <w:tc>
          <w:tcPr>
            <w:tcW w:w="680" w:type="dxa"/>
            <w:tcBorders>
              <w:top w:val="dotted" w:sz="4" w:space="0" w:color="auto"/>
              <w:left w:val="dotted" w:sz="4" w:space="0" w:color="auto"/>
              <w:bottom w:val="dotted" w:sz="4" w:space="0" w:color="auto"/>
              <w:right w:val="dotted" w:sz="4" w:space="0" w:color="auto"/>
            </w:tcBorders>
            <w:vAlign w:val="center"/>
          </w:tcPr>
          <w:p w:rsidR="001124F2" w:rsidRDefault="001124F2">
            <w:pPr>
              <w:jc w:val="right"/>
              <w:rPr>
                <w:rFonts w:ascii="Times New Roman" w:hAnsi="Times New Roman"/>
                <w:snapToGrid w:val="0"/>
                <w:color w:val="000000"/>
                <w:sz w:val="18"/>
              </w:rPr>
            </w:pPr>
            <w:r>
              <w:rPr>
                <w:rFonts w:ascii="Times New Roman" w:hAnsi="Times New Roman"/>
                <w:snapToGrid w:val="0"/>
                <w:color w:val="000000"/>
                <w:sz w:val="18"/>
              </w:rPr>
              <w:t>-16,92</w:t>
            </w:r>
          </w:p>
        </w:tc>
        <w:tc>
          <w:tcPr>
            <w:tcW w:w="680" w:type="dxa"/>
            <w:gridSpan w:val="2"/>
            <w:tcBorders>
              <w:top w:val="dotted" w:sz="4" w:space="0" w:color="auto"/>
              <w:left w:val="dotted" w:sz="4" w:space="0" w:color="auto"/>
              <w:bottom w:val="dotted" w:sz="4" w:space="0" w:color="auto"/>
              <w:right w:val="dotted" w:sz="4" w:space="0" w:color="auto"/>
            </w:tcBorders>
            <w:vAlign w:val="center"/>
          </w:tcPr>
          <w:p w:rsidR="001124F2" w:rsidRDefault="001124F2">
            <w:pPr>
              <w:jc w:val="right"/>
              <w:rPr>
                <w:rFonts w:ascii="Times New Roman" w:hAnsi="Times New Roman"/>
                <w:snapToGrid w:val="0"/>
                <w:color w:val="000000"/>
                <w:sz w:val="18"/>
              </w:rPr>
            </w:pPr>
            <w:r>
              <w:rPr>
                <w:rFonts w:ascii="Times New Roman" w:hAnsi="Times New Roman"/>
                <w:snapToGrid w:val="0"/>
                <w:color w:val="000000"/>
                <w:sz w:val="18"/>
              </w:rPr>
              <w:t>+77,34</w:t>
            </w:r>
          </w:p>
        </w:tc>
        <w:tc>
          <w:tcPr>
            <w:tcW w:w="680" w:type="dxa"/>
            <w:tcBorders>
              <w:top w:val="dotted" w:sz="4" w:space="0" w:color="auto"/>
              <w:left w:val="dotted" w:sz="4" w:space="0" w:color="auto"/>
              <w:bottom w:val="dotted" w:sz="4" w:space="0" w:color="auto"/>
              <w:right w:val="dotted" w:sz="4" w:space="0" w:color="auto"/>
            </w:tcBorders>
            <w:vAlign w:val="center"/>
          </w:tcPr>
          <w:p w:rsidR="001124F2" w:rsidRDefault="001124F2">
            <w:pPr>
              <w:jc w:val="right"/>
              <w:rPr>
                <w:rFonts w:ascii="Times New Roman" w:hAnsi="Times New Roman"/>
                <w:snapToGrid w:val="0"/>
                <w:color w:val="000000"/>
                <w:sz w:val="18"/>
              </w:rPr>
            </w:pPr>
            <w:r>
              <w:rPr>
                <w:rFonts w:ascii="Times New Roman" w:hAnsi="Times New Roman"/>
                <w:snapToGrid w:val="0"/>
                <w:color w:val="000000"/>
                <w:sz w:val="18"/>
              </w:rPr>
              <w:t>+53,81</w:t>
            </w:r>
          </w:p>
        </w:tc>
        <w:tc>
          <w:tcPr>
            <w:tcW w:w="680" w:type="dxa"/>
            <w:gridSpan w:val="2"/>
            <w:tcBorders>
              <w:top w:val="dotted" w:sz="4" w:space="0" w:color="auto"/>
              <w:left w:val="dotted" w:sz="4" w:space="0" w:color="auto"/>
              <w:bottom w:val="dotted" w:sz="4" w:space="0" w:color="auto"/>
              <w:right w:val="dotted" w:sz="4" w:space="0" w:color="auto"/>
            </w:tcBorders>
            <w:vAlign w:val="center"/>
          </w:tcPr>
          <w:p w:rsidR="001124F2" w:rsidRDefault="001124F2">
            <w:pPr>
              <w:jc w:val="right"/>
              <w:rPr>
                <w:rFonts w:ascii="Times New Roman" w:hAnsi="Times New Roman"/>
                <w:snapToGrid w:val="0"/>
                <w:color w:val="000000"/>
                <w:sz w:val="18"/>
              </w:rPr>
            </w:pPr>
            <w:r>
              <w:rPr>
                <w:rFonts w:ascii="Times New Roman" w:hAnsi="Times New Roman"/>
                <w:snapToGrid w:val="0"/>
                <w:color w:val="000000"/>
                <w:sz w:val="18"/>
              </w:rPr>
              <w:t>+4,76</w:t>
            </w:r>
          </w:p>
        </w:tc>
        <w:tc>
          <w:tcPr>
            <w:tcW w:w="598" w:type="dxa"/>
            <w:tcBorders>
              <w:top w:val="dotted" w:sz="4" w:space="0" w:color="auto"/>
              <w:left w:val="dotted" w:sz="4" w:space="0" w:color="auto"/>
              <w:bottom w:val="dotted" w:sz="4" w:space="0" w:color="auto"/>
              <w:right w:val="dotted" w:sz="4" w:space="0" w:color="auto"/>
            </w:tcBorders>
            <w:vAlign w:val="center"/>
          </w:tcPr>
          <w:p w:rsidR="001124F2" w:rsidRDefault="001124F2">
            <w:pPr>
              <w:jc w:val="right"/>
              <w:rPr>
                <w:rFonts w:ascii="Times New Roman" w:hAnsi="Times New Roman"/>
                <w:snapToGrid w:val="0"/>
                <w:color w:val="000000"/>
                <w:sz w:val="18"/>
                <w:lang w:val="en-US"/>
              </w:rPr>
            </w:pPr>
            <w:r>
              <w:rPr>
                <w:rFonts w:ascii="Times New Roman" w:hAnsi="Times New Roman"/>
                <w:snapToGrid w:val="0"/>
                <w:color w:val="000000"/>
                <w:sz w:val="18"/>
                <w:lang w:val="en-US"/>
              </w:rPr>
              <w:t>+1,3</w:t>
            </w:r>
          </w:p>
        </w:tc>
        <w:tc>
          <w:tcPr>
            <w:tcW w:w="762" w:type="dxa"/>
            <w:tcBorders>
              <w:top w:val="dotted" w:sz="4" w:space="0" w:color="auto"/>
              <w:left w:val="dotted" w:sz="4" w:space="0" w:color="auto"/>
              <w:bottom w:val="dotted" w:sz="4" w:space="0" w:color="auto"/>
              <w:right w:val="dotted" w:sz="4" w:space="0" w:color="auto"/>
            </w:tcBorders>
            <w:vAlign w:val="center"/>
          </w:tcPr>
          <w:p w:rsidR="001124F2" w:rsidRDefault="001124F2">
            <w:pPr>
              <w:jc w:val="right"/>
              <w:rPr>
                <w:rFonts w:ascii="Times New Roman" w:hAnsi="Times New Roman"/>
                <w:snapToGrid w:val="0"/>
                <w:color w:val="000000"/>
                <w:sz w:val="18"/>
                <w:lang w:val="en-US"/>
              </w:rPr>
            </w:pPr>
            <w:r>
              <w:rPr>
                <w:rFonts w:ascii="Times New Roman" w:hAnsi="Times New Roman"/>
                <w:snapToGrid w:val="0"/>
                <w:color w:val="000000"/>
                <w:sz w:val="18"/>
                <w:lang w:val="en-US"/>
              </w:rPr>
              <w:t>+16,05</w:t>
            </w:r>
          </w:p>
        </w:tc>
        <w:tc>
          <w:tcPr>
            <w:tcW w:w="797" w:type="dxa"/>
            <w:tcBorders>
              <w:top w:val="dotted" w:sz="4" w:space="0" w:color="auto"/>
              <w:left w:val="dotted" w:sz="4" w:space="0" w:color="auto"/>
              <w:bottom w:val="dotted" w:sz="4" w:space="0" w:color="auto"/>
              <w:right w:val="threeDEmboss" w:sz="6" w:space="0" w:color="auto"/>
            </w:tcBorders>
            <w:vAlign w:val="center"/>
          </w:tcPr>
          <w:p w:rsidR="001124F2" w:rsidRDefault="001124F2">
            <w:pPr>
              <w:jc w:val="right"/>
              <w:rPr>
                <w:rFonts w:ascii="Times New Roman" w:hAnsi="Times New Roman"/>
                <w:snapToGrid w:val="0"/>
                <w:color w:val="000000"/>
                <w:sz w:val="18"/>
                <w:lang w:val="en-US"/>
              </w:rPr>
            </w:pPr>
            <w:r>
              <w:rPr>
                <w:rFonts w:ascii="Times New Roman" w:hAnsi="Times New Roman"/>
                <w:snapToGrid w:val="0"/>
                <w:color w:val="000000"/>
                <w:sz w:val="18"/>
                <w:lang w:val="en-US"/>
              </w:rPr>
              <w:t>+6,35</w:t>
            </w:r>
          </w:p>
        </w:tc>
      </w:tr>
      <w:tr w:rsidR="001124F2">
        <w:trPr>
          <w:trHeight w:val="329"/>
        </w:trPr>
        <w:tc>
          <w:tcPr>
            <w:tcW w:w="3118" w:type="dxa"/>
            <w:tcBorders>
              <w:top w:val="dotted" w:sz="4" w:space="0" w:color="auto"/>
              <w:left w:val="threeDEmboss" w:sz="6" w:space="0" w:color="auto"/>
              <w:bottom w:val="dotted" w:sz="4" w:space="0" w:color="auto"/>
              <w:right w:val="dotted" w:sz="4" w:space="0" w:color="auto"/>
            </w:tcBorders>
            <w:vAlign w:val="center"/>
          </w:tcPr>
          <w:p w:rsidR="001124F2" w:rsidRDefault="001124F2">
            <w:pPr>
              <w:jc w:val="both"/>
              <w:rPr>
                <w:rFonts w:ascii="Times New Roman" w:hAnsi="Times New Roman"/>
                <w:snapToGrid w:val="0"/>
                <w:color w:val="000000"/>
              </w:rPr>
            </w:pPr>
            <w:r>
              <w:rPr>
                <w:rFonts w:ascii="Times New Roman" w:hAnsi="Times New Roman"/>
                <w:snapToGrid w:val="0"/>
                <w:color w:val="000000"/>
              </w:rPr>
              <w:t>Акцизы</w:t>
            </w:r>
          </w:p>
        </w:tc>
        <w:tc>
          <w:tcPr>
            <w:tcW w:w="851" w:type="dxa"/>
            <w:tcBorders>
              <w:top w:val="dotted" w:sz="4" w:space="0" w:color="auto"/>
              <w:left w:val="dotted" w:sz="4" w:space="0" w:color="auto"/>
              <w:bottom w:val="dotted" w:sz="4" w:space="0" w:color="auto"/>
              <w:right w:val="dotted" w:sz="4" w:space="0" w:color="auto"/>
            </w:tcBorders>
            <w:vAlign w:val="center"/>
          </w:tcPr>
          <w:p w:rsidR="001124F2" w:rsidRDefault="001124F2">
            <w:pPr>
              <w:jc w:val="right"/>
              <w:rPr>
                <w:rFonts w:ascii="Times New Roman" w:hAnsi="Times New Roman"/>
                <w:snapToGrid w:val="0"/>
                <w:color w:val="000000"/>
                <w:sz w:val="18"/>
              </w:rPr>
            </w:pPr>
            <w:r>
              <w:rPr>
                <w:rFonts w:ascii="Times New Roman" w:hAnsi="Times New Roman"/>
                <w:snapToGrid w:val="0"/>
                <w:color w:val="000000"/>
                <w:sz w:val="18"/>
              </w:rPr>
              <w:t>-20,33</w:t>
            </w:r>
          </w:p>
        </w:tc>
        <w:tc>
          <w:tcPr>
            <w:tcW w:w="680" w:type="dxa"/>
            <w:tcBorders>
              <w:top w:val="dotted" w:sz="4" w:space="0" w:color="auto"/>
              <w:left w:val="dotted" w:sz="4" w:space="0" w:color="auto"/>
              <w:bottom w:val="dotted" w:sz="4" w:space="0" w:color="auto"/>
              <w:right w:val="dotted" w:sz="4" w:space="0" w:color="auto"/>
            </w:tcBorders>
            <w:vAlign w:val="center"/>
          </w:tcPr>
          <w:p w:rsidR="001124F2" w:rsidRDefault="001124F2">
            <w:pPr>
              <w:jc w:val="right"/>
              <w:rPr>
                <w:rFonts w:ascii="Times New Roman" w:hAnsi="Times New Roman"/>
                <w:snapToGrid w:val="0"/>
                <w:color w:val="000000"/>
                <w:sz w:val="18"/>
              </w:rPr>
            </w:pPr>
            <w:r>
              <w:rPr>
                <w:rFonts w:ascii="Times New Roman" w:hAnsi="Times New Roman"/>
                <w:snapToGrid w:val="0"/>
                <w:color w:val="000000"/>
                <w:sz w:val="18"/>
              </w:rPr>
              <w:t>-26,8</w:t>
            </w:r>
          </w:p>
        </w:tc>
        <w:tc>
          <w:tcPr>
            <w:tcW w:w="738" w:type="dxa"/>
            <w:gridSpan w:val="2"/>
            <w:tcBorders>
              <w:top w:val="dotted" w:sz="4" w:space="0" w:color="auto"/>
              <w:left w:val="dotted" w:sz="4" w:space="0" w:color="auto"/>
              <w:bottom w:val="dotted" w:sz="4" w:space="0" w:color="auto"/>
              <w:right w:val="dotted" w:sz="4" w:space="0" w:color="auto"/>
            </w:tcBorders>
            <w:vAlign w:val="center"/>
          </w:tcPr>
          <w:p w:rsidR="001124F2" w:rsidRDefault="001124F2">
            <w:pPr>
              <w:jc w:val="right"/>
              <w:rPr>
                <w:rFonts w:ascii="Times New Roman" w:hAnsi="Times New Roman"/>
                <w:snapToGrid w:val="0"/>
                <w:color w:val="000000"/>
                <w:sz w:val="18"/>
              </w:rPr>
            </w:pPr>
            <w:r>
              <w:rPr>
                <w:rFonts w:ascii="Times New Roman" w:hAnsi="Times New Roman"/>
                <w:snapToGrid w:val="0"/>
                <w:color w:val="000000"/>
                <w:sz w:val="18"/>
              </w:rPr>
              <w:t>-22,07</w:t>
            </w:r>
          </w:p>
        </w:tc>
        <w:tc>
          <w:tcPr>
            <w:tcW w:w="680" w:type="dxa"/>
            <w:tcBorders>
              <w:top w:val="dotted" w:sz="4" w:space="0" w:color="auto"/>
              <w:left w:val="dotted" w:sz="4" w:space="0" w:color="auto"/>
              <w:bottom w:val="dotted" w:sz="4" w:space="0" w:color="auto"/>
              <w:right w:val="dotted" w:sz="4" w:space="0" w:color="auto"/>
            </w:tcBorders>
            <w:vAlign w:val="center"/>
          </w:tcPr>
          <w:p w:rsidR="001124F2" w:rsidRDefault="001124F2">
            <w:pPr>
              <w:jc w:val="right"/>
              <w:rPr>
                <w:rFonts w:ascii="Times New Roman" w:hAnsi="Times New Roman"/>
                <w:snapToGrid w:val="0"/>
                <w:color w:val="000000"/>
                <w:sz w:val="18"/>
              </w:rPr>
            </w:pPr>
            <w:r>
              <w:rPr>
                <w:rFonts w:ascii="Times New Roman" w:hAnsi="Times New Roman"/>
                <w:snapToGrid w:val="0"/>
                <w:color w:val="000000"/>
                <w:sz w:val="18"/>
              </w:rPr>
              <w:t>-28,04</w:t>
            </w:r>
          </w:p>
        </w:tc>
        <w:tc>
          <w:tcPr>
            <w:tcW w:w="680" w:type="dxa"/>
            <w:gridSpan w:val="2"/>
            <w:tcBorders>
              <w:top w:val="dotted" w:sz="4" w:space="0" w:color="auto"/>
              <w:left w:val="dotted" w:sz="4" w:space="0" w:color="auto"/>
              <w:bottom w:val="dotted" w:sz="4" w:space="0" w:color="auto"/>
              <w:right w:val="dotted" w:sz="4" w:space="0" w:color="auto"/>
            </w:tcBorders>
            <w:vAlign w:val="center"/>
          </w:tcPr>
          <w:p w:rsidR="001124F2" w:rsidRDefault="001124F2">
            <w:pPr>
              <w:jc w:val="right"/>
              <w:rPr>
                <w:rFonts w:ascii="Times New Roman" w:hAnsi="Times New Roman"/>
                <w:snapToGrid w:val="0"/>
                <w:color w:val="000000"/>
                <w:sz w:val="18"/>
              </w:rPr>
            </w:pPr>
            <w:r>
              <w:rPr>
                <w:rFonts w:ascii="Times New Roman" w:hAnsi="Times New Roman"/>
                <w:snapToGrid w:val="0"/>
                <w:color w:val="000000"/>
                <w:sz w:val="18"/>
              </w:rPr>
              <w:t>-2,91</w:t>
            </w:r>
          </w:p>
        </w:tc>
        <w:tc>
          <w:tcPr>
            <w:tcW w:w="680" w:type="dxa"/>
            <w:tcBorders>
              <w:top w:val="dotted" w:sz="4" w:space="0" w:color="auto"/>
              <w:left w:val="dotted" w:sz="4" w:space="0" w:color="auto"/>
              <w:bottom w:val="dotted" w:sz="4" w:space="0" w:color="auto"/>
              <w:right w:val="dotted" w:sz="4" w:space="0" w:color="auto"/>
            </w:tcBorders>
            <w:vAlign w:val="center"/>
          </w:tcPr>
          <w:p w:rsidR="001124F2" w:rsidRDefault="001124F2">
            <w:pPr>
              <w:jc w:val="right"/>
              <w:rPr>
                <w:rFonts w:ascii="Times New Roman" w:hAnsi="Times New Roman"/>
                <w:snapToGrid w:val="0"/>
                <w:color w:val="000000"/>
                <w:sz w:val="18"/>
              </w:rPr>
            </w:pPr>
            <w:r>
              <w:rPr>
                <w:rFonts w:ascii="Times New Roman" w:hAnsi="Times New Roman"/>
                <w:snapToGrid w:val="0"/>
                <w:color w:val="000000"/>
                <w:sz w:val="18"/>
              </w:rPr>
              <w:t>-3,34</w:t>
            </w:r>
          </w:p>
        </w:tc>
        <w:tc>
          <w:tcPr>
            <w:tcW w:w="680" w:type="dxa"/>
            <w:gridSpan w:val="2"/>
            <w:tcBorders>
              <w:top w:val="dotted" w:sz="4" w:space="0" w:color="auto"/>
              <w:left w:val="dotted" w:sz="4" w:space="0" w:color="auto"/>
              <w:bottom w:val="dotted" w:sz="4" w:space="0" w:color="auto"/>
              <w:right w:val="dotted" w:sz="4" w:space="0" w:color="auto"/>
            </w:tcBorders>
            <w:vAlign w:val="center"/>
          </w:tcPr>
          <w:p w:rsidR="001124F2" w:rsidRDefault="001124F2">
            <w:pPr>
              <w:jc w:val="right"/>
              <w:rPr>
                <w:rFonts w:ascii="Times New Roman" w:hAnsi="Times New Roman"/>
                <w:snapToGrid w:val="0"/>
                <w:color w:val="000000"/>
                <w:sz w:val="18"/>
              </w:rPr>
            </w:pPr>
            <w:r>
              <w:rPr>
                <w:rFonts w:ascii="Times New Roman" w:hAnsi="Times New Roman"/>
                <w:snapToGrid w:val="0"/>
                <w:color w:val="000000"/>
                <w:sz w:val="18"/>
              </w:rPr>
              <w:t>-0,3</w:t>
            </w:r>
          </w:p>
        </w:tc>
        <w:tc>
          <w:tcPr>
            <w:tcW w:w="598" w:type="dxa"/>
            <w:tcBorders>
              <w:top w:val="dotted" w:sz="4" w:space="0" w:color="auto"/>
              <w:left w:val="dotted" w:sz="4" w:space="0" w:color="auto"/>
              <w:bottom w:val="dotted" w:sz="4" w:space="0" w:color="auto"/>
              <w:right w:val="dotted" w:sz="4" w:space="0" w:color="auto"/>
            </w:tcBorders>
            <w:vAlign w:val="center"/>
          </w:tcPr>
          <w:p w:rsidR="001124F2" w:rsidRDefault="001124F2">
            <w:pPr>
              <w:jc w:val="right"/>
              <w:rPr>
                <w:rFonts w:ascii="Times New Roman" w:hAnsi="Times New Roman"/>
                <w:snapToGrid w:val="0"/>
                <w:color w:val="000000"/>
                <w:sz w:val="18"/>
                <w:lang w:val="en-US"/>
              </w:rPr>
            </w:pPr>
            <w:r>
              <w:rPr>
                <w:rFonts w:ascii="Times New Roman" w:hAnsi="Times New Roman"/>
                <w:snapToGrid w:val="0"/>
                <w:color w:val="000000"/>
                <w:sz w:val="18"/>
                <w:lang w:val="en-US"/>
              </w:rPr>
              <w:t>-0,2</w:t>
            </w:r>
          </w:p>
        </w:tc>
        <w:tc>
          <w:tcPr>
            <w:tcW w:w="762" w:type="dxa"/>
            <w:tcBorders>
              <w:top w:val="dotted" w:sz="4" w:space="0" w:color="auto"/>
              <w:left w:val="dotted" w:sz="4" w:space="0" w:color="auto"/>
              <w:bottom w:val="dotted" w:sz="4" w:space="0" w:color="auto"/>
              <w:right w:val="dotted" w:sz="4" w:space="0" w:color="auto"/>
            </w:tcBorders>
            <w:vAlign w:val="center"/>
          </w:tcPr>
          <w:p w:rsidR="001124F2" w:rsidRDefault="001124F2">
            <w:pPr>
              <w:jc w:val="right"/>
              <w:rPr>
                <w:rFonts w:ascii="Times New Roman" w:hAnsi="Times New Roman"/>
                <w:snapToGrid w:val="0"/>
                <w:color w:val="000000"/>
                <w:sz w:val="18"/>
                <w:lang w:val="en-US"/>
              </w:rPr>
            </w:pPr>
            <w:r>
              <w:rPr>
                <w:rFonts w:ascii="Times New Roman" w:hAnsi="Times New Roman"/>
                <w:snapToGrid w:val="0"/>
                <w:color w:val="000000"/>
                <w:sz w:val="18"/>
                <w:lang w:val="en-US"/>
              </w:rPr>
              <w:t>-6,09</w:t>
            </w:r>
          </w:p>
        </w:tc>
        <w:tc>
          <w:tcPr>
            <w:tcW w:w="797" w:type="dxa"/>
            <w:tcBorders>
              <w:top w:val="dotted" w:sz="4" w:space="0" w:color="auto"/>
              <w:left w:val="dotted" w:sz="4" w:space="0" w:color="auto"/>
              <w:bottom w:val="dotted" w:sz="4" w:space="0" w:color="auto"/>
              <w:right w:val="threeDEmboss" w:sz="6" w:space="0" w:color="auto"/>
            </w:tcBorders>
            <w:vAlign w:val="center"/>
          </w:tcPr>
          <w:p w:rsidR="001124F2" w:rsidRDefault="001124F2">
            <w:pPr>
              <w:jc w:val="right"/>
              <w:rPr>
                <w:rFonts w:ascii="Times New Roman" w:hAnsi="Times New Roman"/>
                <w:snapToGrid w:val="0"/>
                <w:color w:val="000000"/>
                <w:sz w:val="18"/>
                <w:lang w:val="en-US"/>
              </w:rPr>
            </w:pPr>
            <w:r>
              <w:rPr>
                <w:rFonts w:ascii="Times New Roman" w:hAnsi="Times New Roman"/>
                <w:snapToGrid w:val="0"/>
                <w:color w:val="000000"/>
                <w:sz w:val="18"/>
                <w:lang w:val="en-US"/>
              </w:rPr>
              <w:t>-5,72</w:t>
            </w:r>
          </w:p>
        </w:tc>
      </w:tr>
      <w:tr w:rsidR="001124F2">
        <w:trPr>
          <w:trHeight w:val="329"/>
        </w:trPr>
        <w:tc>
          <w:tcPr>
            <w:tcW w:w="3118" w:type="dxa"/>
            <w:tcBorders>
              <w:top w:val="dotted" w:sz="4" w:space="0" w:color="auto"/>
              <w:left w:val="threeDEmboss" w:sz="6" w:space="0" w:color="auto"/>
              <w:bottom w:val="dotted" w:sz="4" w:space="0" w:color="auto"/>
              <w:right w:val="dotted" w:sz="4" w:space="0" w:color="auto"/>
            </w:tcBorders>
            <w:vAlign w:val="center"/>
          </w:tcPr>
          <w:p w:rsidR="001124F2" w:rsidRDefault="001124F2">
            <w:pPr>
              <w:jc w:val="both"/>
              <w:rPr>
                <w:rFonts w:ascii="Times New Roman" w:hAnsi="Times New Roman"/>
                <w:snapToGrid w:val="0"/>
                <w:color w:val="000000"/>
              </w:rPr>
            </w:pPr>
            <w:r>
              <w:rPr>
                <w:rFonts w:ascii="Times New Roman" w:hAnsi="Times New Roman"/>
                <w:snapToGrid w:val="0"/>
                <w:color w:val="000000"/>
              </w:rPr>
              <w:t>Таможенные пошлины</w:t>
            </w:r>
          </w:p>
        </w:tc>
        <w:tc>
          <w:tcPr>
            <w:tcW w:w="851" w:type="dxa"/>
            <w:tcBorders>
              <w:top w:val="dotted" w:sz="4" w:space="0" w:color="auto"/>
              <w:left w:val="dotted" w:sz="4" w:space="0" w:color="auto"/>
              <w:bottom w:val="dotted" w:sz="4" w:space="0" w:color="auto"/>
              <w:right w:val="dotted" w:sz="4" w:space="0" w:color="auto"/>
            </w:tcBorders>
            <w:vAlign w:val="center"/>
          </w:tcPr>
          <w:p w:rsidR="001124F2" w:rsidRDefault="001124F2">
            <w:pPr>
              <w:jc w:val="right"/>
              <w:rPr>
                <w:rFonts w:ascii="Times New Roman" w:hAnsi="Times New Roman"/>
                <w:snapToGrid w:val="0"/>
                <w:color w:val="000000"/>
                <w:sz w:val="18"/>
              </w:rPr>
            </w:pPr>
            <w:r>
              <w:rPr>
                <w:rFonts w:ascii="Times New Roman" w:hAnsi="Times New Roman"/>
                <w:snapToGrid w:val="0"/>
                <w:color w:val="000000"/>
                <w:sz w:val="18"/>
              </w:rPr>
              <w:t>+6,84</w:t>
            </w:r>
          </w:p>
        </w:tc>
        <w:tc>
          <w:tcPr>
            <w:tcW w:w="680" w:type="dxa"/>
            <w:tcBorders>
              <w:top w:val="dotted" w:sz="4" w:space="0" w:color="auto"/>
              <w:left w:val="dotted" w:sz="4" w:space="0" w:color="auto"/>
              <w:bottom w:val="dotted" w:sz="4" w:space="0" w:color="auto"/>
              <w:right w:val="dotted" w:sz="4" w:space="0" w:color="auto"/>
            </w:tcBorders>
            <w:vAlign w:val="center"/>
          </w:tcPr>
          <w:p w:rsidR="001124F2" w:rsidRDefault="001124F2">
            <w:pPr>
              <w:jc w:val="right"/>
              <w:rPr>
                <w:rFonts w:ascii="Times New Roman" w:hAnsi="Times New Roman"/>
                <w:snapToGrid w:val="0"/>
                <w:color w:val="000000"/>
                <w:sz w:val="18"/>
              </w:rPr>
            </w:pPr>
            <w:r>
              <w:rPr>
                <w:rFonts w:ascii="Times New Roman" w:hAnsi="Times New Roman"/>
                <w:snapToGrid w:val="0"/>
                <w:color w:val="000000"/>
                <w:sz w:val="18"/>
              </w:rPr>
              <w:t>+23,82</w:t>
            </w:r>
          </w:p>
        </w:tc>
        <w:tc>
          <w:tcPr>
            <w:tcW w:w="738" w:type="dxa"/>
            <w:gridSpan w:val="2"/>
            <w:tcBorders>
              <w:top w:val="dotted" w:sz="4" w:space="0" w:color="auto"/>
              <w:left w:val="dotted" w:sz="4" w:space="0" w:color="auto"/>
              <w:bottom w:val="dotted" w:sz="4" w:space="0" w:color="auto"/>
              <w:right w:val="dotted" w:sz="4" w:space="0" w:color="auto"/>
            </w:tcBorders>
            <w:vAlign w:val="center"/>
          </w:tcPr>
          <w:p w:rsidR="001124F2" w:rsidRDefault="001124F2">
            <w:pPr>
              <w:jc w:val="right"/>
              <w:rPr>
                <w:rFonts w:ascii="Times New Roman" w:hAnsi="Times New Roman"/>
                <w:snapToGrid w:val="0"/>
                <w:color w:val="000000"/>
                <w:sz w:val="18"/>
              </w:rPr>
            </w:pPr>
            <w:r>
              <w:rPr>
                <w:rFonts w:ascii="Times New Roman" w:hAnsi="Times New Roman"/>
                <w:snapToGrid w:val="0"/>
                <w:color w:val="000000"/>
                <w:sz w:val="18"/>
              </w:rPr>
              <w:t>+7,98</w:t>
            </w:r>
          </w:p>
        </w:tc>
        <w:tc>
          <w:tcPr>
            <w:tcW w:w="680" w:type="dxa"/>
            <w:tcBorders>
              <w:top w:val="dotted" w:sz="4" w:space="0" w:color="auto"/>
              <w:left w:val="dotted" w:sz="4" w:space="0" w:color="auto"/>
              <w:bottom w:val="dotted" w:sz="4" w:space="0" w:color="auto"/>
              <w:right w:val="dotted" w:sz="4" w:space="0" w:color="auto"/>
            </w:tcBorders>
            <w:vAlign w:val="center"/>
          </w:tcPr>
          <w:p w:rsidR="001124F2" w:rsidRDefault="001124F2">
            <w:pPr>
              <w:jc w:val="right"/>
              <w:rPr>
                <w:rFonts w:ascii="Times New Roman" w:hAnsi="Times New Roman"/>
                <w:snapToGrid w:val="0"/>
                <w:color w:val="000000"/>
                <w:sz w:val="18"/>
              </w:rPr>
            </w:pPr>
            <w:r>
              <w:rPr>
                <w:rFonts w:ascii="Times New Roman" w:hAnsi="Times New Roman"/>
                <w:snapToGrid w:val="0"/>
                <w:color w:val="000000"/>
                <w:sz w:val="18"/>
              </w:rPr>
              <w:t>+26,51</w:t>
            </w:r>
          </w:p>
        </w:tc>
        <w:tc>
          <w:tcPr>
            <w:tcW w:w="680" w:type="dxa"/>
            <w:gridSpan w:val="2"/>
            <w:tcBorders>
              <w:top w:val="dotted" w:sz="4" w:space="0" w:color="auto"/>
              <w:left w:val="dotted" w:sz="4" w:space="0" w:color="auto"/>
              <w:bottom w:val="dotted" w:sz="4" w:space="0" w:color="auto"/>
              <w:right w:val="dotted" w:sz="4" w:space="0" w:color="auto"/>
            </w:tcBorders>
            <w:vAlign w:val="center"/>
          </w:tcPr>
          <w:p w:rsidR="001124F2" w:rsidRDefault="001124F2">
            <w:pPr>
              <w:jc w:val="right"/>
              <w:rPr>
                <w:rFonts w:ascii="Times New Roman" w:hAnsi="Times New Roman"/>
                <w:snapToGrid w:val="0"/>
                <w:color w:val="000000"/>
                <w:sz w:val="18"/>
              </w:rPr>
            </w:pPr>
            <w:r>
              <w:rPr>
                <w:rFonts w:ascii="Times New Roman" w:hAnsi="Times New Roman"/>
                <w:snapToGrid w:val="0"/>
                <w:color w:val="000000"/>
                <w:sz w:val="18"/>
              </w:rPr>
              <w:t>-2,05</w:t>
            </w:r>
          </w:p>
        </w:tc>
        <w:tc>
          <w:tcPr>
            <w:tcW w:w="680" w:type="dxa"/>
            <w:tcBorders>
              <w:top w:val="dotted" w:sz="4" w:space="0" w:color="auto"/>
              <w:left w:val="dotted" w:sz="4" w:space="0" w:color="auto"/>
              <w:bottom w:val="dotted" w:sz="4" w:space="0" w:color="auto"/>
              <w:right w:val="dotted" w:sz="4" w:space="0" w:color="auto"/>
            </w:tcBorders>
            <w:vAlign w:val="center"/>
          </w:tcPr>
          <w:p w:rsidR="001124F2" w:rsidRDefault="001124F2">
            <w:pPr>
              <w:jc w:val="right"/>
              <w:rPr>
                <w:rFonts w:ascii="Times New Roman" w:hAnsi="Times New Roman"/>
                <w:snapToGrid w:val="0"/>
                <w:color w:val="000000"/>
                <w:sz w:val="18"/>
              </w:rPr>
            </w:pPr>
            <w:r>
              <w:rPr>
                <w:rFonts w:ascii="Times New Roman" w:hAnsi="Times New Roman"/>
                <w:snapToGrid w:val="0"/>
                <w:color w:val="000000"/>
                <w:sz w:val="18"/>
              </w:rPr>
              <w:t>-2,16</w:t>
            </w:r>
          </w:p>
        </w:tc>
        <w:tc>
          <w:tcPr>
            <w:tcW w:w="680" w:type="dxa"/>
            <w:gridSpan w:val="2"/>
            <w:tcBorders>
              <w:top w:val="dotted" w:sz="4" w:space="0" w:color="auto"/>
              <w:left w:val="dotted" w:sz="4" w:space="0" w:color="auto"/>
              <w:bottom w:val="dotted" w:sz="4" w:space="0" w:color="auto"/>
              <w:right w:val="dotted" w:sz="4" w:space="0" w:color="auto"/>
            </w:tcBorders>
            <w:vAlign w:val="center"/>
          </w:tcPr>
          <w:p w:rsidR="001124F2" w:rsidRDefault="001124F2">
            <w:pPr>
              <w:jc w:val="right"/>
              <w:rPr>
                <w:rFonts w:ascii="Times New Roman" w:hAnsi="Times New Roman"/>
                <w:snapToGrid w:val="0"/>
                <w:color w:val="000000"/>
                <w:sz w:val="18"/>
              </w:rPr>
            </w:pPr>
            <w:r>
              <w:rPr>
                <w:rFonts w:ascii="Times New Roman" w:hAnsi="Times New Roman"/>
                <w:snapToGrid w:val="0"/>
                <w:color w:val="000000"/>
                <w:sz w:val="18"/>
              </w:rPr>
              <w:t>+2,35</w:t>
            </w:r>
          </w:p>
        </w:tc>
        <w:tc>
          <w:tcPr>
            <w:tcW w:w="598" w:type="dxa"/>
            <w:tcBorders>
              <w:top w:val="dotted" w:sz="4" w:space="0" w:color="auto"/>
              <w:left w:val="dotted" w:sz="4" w:space="0" w:color="auto"/>
              <w:bottom w:val="dotted" w:sz="4" w:space="0" w:color="auto"/>
              <w:right w:val="dotted" w:sz="4" w:space="0" w:color="auto"/>
            </w:tcBorders>
            <w:vAlign w:val="center"/>
          </w:tcPr>
          <w:p w:rsidR="001124F2" w:rsidRDefault="001124F2">
            <w:pPr>
              <w:jc w:val="right"/>
              <w:rPr>
                <w:rFonts w:ascii="Times New Roman" w:hAnsi="Times New Roman"/>
                <w:snapToGrid w:val="0"/>
                <w:color w:val="000000"/>
                <w:sz w:val="18"/>
                <w:lang w:val="en-US"/>
              </w:rPr>
            </w:pPr>
            <w:r>
              <w:rPr>
                <w:rFonts w:ascii="Times New Roman" w:hAnsi="Times New Roman"/>
                <w:snapToGrid w:val="0"/>
                <w:color w:val="000000"/>
                <w:sz w:val="18"/>
                <w:lang w:val="en-US"/>
              </w:rPr>
              <w:t>+1,04</w:t>
            </w:r>
          </w:p>
        </w:tc>
        <w:tc>
          <w:tcPr>
            <w:tcW w:w="762" w:type="dxa"/>
            <w:tcBorders>
              <w:top w:val="dotted" w:sz="4" w:space="0" w:color="auto"/>
              <w:left w:val="dotted" w:sz="4" w:space="0" w:color="auto"/>
              <w:bottom w:val="dotted" w:sz="4" w:space="0" w:color="auto"/>
              <w:right w:val="dotted" w:sz="4" w:space="0" w:color="auto"/>
            </w:tcBorders>
            <w:vAlign w:val="center"/>
          </w:tcPr>
          <w:p w:rsidR="001124F2" w:rsidRDefault="001124F2">
            <w:pPr>
              <w:jc w:val="right"/>
              <w:rPr>
                <w:rFonts w:ascii="Times New Roman" w:hAnsi="Times New Roman"/>
                <w:snapToGrid w:val="0"/>
                <w:color w:val="000000"/>
                <w:sz w:val="18"/>
                <w:lang w:val="en-US"/>
              </w:rPr>
            </w:pPr>
            <w:r>
              <w:rPr>
                <w:rFonts w:ascii="Times New Roman" w:hAnsi="Times New Roman"/>
                <w:snapToGrid w:val="0"/>
                <w:color w:val="000000"/>
                <w:sz w:val="18"/>
                <w:lang w:val="en-US"/>
              </w:rPr>
              <w:t>+17,97</w:t>
            </w:r>
          </w:p>
        </w:tc>
        <w:tc>
          <w:tcPr>
            <w:tcW w:w="797" w:type="dxa"/>
            <w:tcBorders>
              <w:top w:val="dotted" w:sz="4" w:space="0" w:color="auto"/>
              <w:left w:val="dotted" w:sz="4" w:space="0" w:color="auto"/>
              <w:bottom w:val="dotted" w:sz="4" w:space="0" w:color="auto"/>
              <w:right w:val="threeDEmboss" w:sz="6" w:space="0" w:color="auto"/>
            </w:tcBorders>
            <w:vAlign w:val="center"/>
          </w:tcPr>
          <w:p w:rsidR="001124F2" w:rsidRDefault="001124F2">
            <w:pPr>
              <w:jc w:val="right"/>
              <w:rPr>
                <w:rFonts w:ascii="Times New Roman" w:hAnsi="Times New Roman"/>
                <w:snapToGrid w:val="0"/>
                <w:color w:val="000000"/>
                <w:sz w:val="18"/>
                <w:lang w:val="en-US"/>
              </w:rPr>
            </w:pPr>
            <w:r>
              <w:rPr>
                <w:rFonts w:ascii="Times New Roman" w:hAnsi="Times New Roman"/>
                <w:snapToGrid w:val="0"/>
                <w:color w:val="000000"/>
                <w:sz w:val="18"/>
                <w:lang w:val="en-US"/>
              </w:rPr>
              <w:t>+12,84</w:t>
            </w:r>
          </w:p>
        </w:tc>
      </w:tr>
      <w:tr w:rsidR="001124F2">
        <w:trPr>
          <w:trHeight w:val="329"/>
        </w:trPr>
        <w:tc>
          <w:tcPr>
            <w:tcW w:w="3118" w:type="dxa"/>
            <w:tcBorders>
              <w:top w:val="dotted" w:sz="4" w:space="0" w:color="auto"/>
              <w:left w:val="threeDEmboss" w:sz="6" w:space="0" w:color="auto"/>
              <w:bottom w:val="dotted" w:sz="4" w:space="0" w:color="auto"/>
              <w:right w:val="dotted" w:sz="4" w:space="0" w:color="auto"/>
            </w:tcBorders>
            <w:vAlign w:val="center"/>
          </w:tcPr>
          <w:p w:rsidR="001124F2" w:rsidRDefault="001124F2">
            <w:pPr>
              <w:jc w:val="both"/>
              <w:rPr>
                <w:rFonts w:ascii="Times New Roman" w:hAnsi="Times New Roman"/>
                <w:snapToGrid w:val="0"/>
                <w:color w:val="000000"/>
              </w:rPr>
            </w:pPr>
            <w:r>
              <w:rPr>
                <w:rFonts w:ascii="Times New Roman" w:hAnsi="Times New Roman"/>
                <w:snapToGrid w:val="0"/>
                <w:color w:val="000000"/>
              </w:rPr>
              <w:t>НЕНАЛОГОВЫЕ ДОХОДЫ</w:t>
            </w:r>
          </w:p>
        </w:tc>
        <w:tc>
          <w:tcPr>
            <w:tcW w:w="851" w:type="dxa"/>
            <w:tcBorders>
              <w:top w:val="dotted" w:sz="4" w:space="0" w:color="auto"/>
              <w:left w:val="dotted" w:sz="4" w:space="0" w:color="auto"/>
              <w:bottom w:val="dotted" w:sz="4" w:space="0" w:color="auto"/>
              <w:right w:val="dotted" w:sz="4" w:space="0" w:color="auto"/>
            </w:tcBorders>
            <w:vAlign w:val="center"/>
          </w:tcPr>
          <w:p w:rsidR="001124F2" w:rsidRDefault="001124F2">
            <w:pPr>
              <w:jc w:val="right"/>
              <w:rPr>
                <w:rFonts w:ascii="Times New Roman" w:hAnsi="Times New Roman"/>
                <w:snapToGrid w:val="0"/>
                <w:color w:val="000000"/>
                <w:sz w:val="18"/>
              </w:rPr>
            </w:pPr>
            <w:r>
              <w:rPr>
                <w:rFonts w:ascii="Times New Roman" w:hAnsi="Times New Roman"/>
                <w:snapToGrid w:val="0"/>
                <w:color w:val="000000"/>
                <w:sz w:val="18"/>
              </w:rPr>
              <w:t>+4,11</w:t>
            </w:r>
          </w:p>
        </w:tc>
        <w:tc>
          <w:tcPr>
            <w:tcW w:w="680" w:type="dxa"/>
            <w:tcBorders>
              <w:top w:val="dotted" w:sz="4" w:space="0" w:color="auto"/>
              <w:left w:val="dotted" w:sz="4" w:space="0" w:color="auto"/>
              <w:bottom w:val="dotted" w:sz="4" w:space="0" w:color="auto"/>
              <w:right w:val="dotted" w:sz="4" w:space="0" w:color="auto"/>
            </w:tcBorders>
            <w:vAlign w:val="center"/>
          </w:tcPr>
          <w:p w:rsidR="001124F2" w:rsidRDefault="001124F2">
            <w:pPr>
              <w:jc w:val="right"/>
              <w:rPr>
                <w:rFonts w:ascii="Times New Roman" w:hAnsi="Times New Roman"/>
                <w:snapToGrid w:val="0"/>
                <w:color w:val="000000"/>
                <w:sz w:val="18"/>
              </w:rPr>
            </w:pPr>
            <w:r>
              <w:rPr>
                <w:rFonts w:ascii="Times New Roman" w:hAnsi="Times New Roman"/>
                <w:snapToGrid w:val="0"/>
                <w:color w:val="000000"/>
                <w:sz w:val="18"/>
              </w:rPr>
              <w:t>+28,42</w:t>
            </w:r>
          </w:p>
        </w:tc>
        <w:tc>
          <w:tcPr>
            <w:tcW w:w="738" w:type="dxa"/>
            <w:gridSpan w:val="2"/>
            <w:tcBorders>
              <w:top w:val="dotted" w:sz="4" w:space="0" w:color="auto"/>
              <w:left w:val="dotted" w:sz="4" w:space="0" w:color="auto"/>
              <w:bottom w:val="dotted" w:sz="4" w:space="0" w:color="auto"/>
              <w:right w:val="dotted" w:sz="4" w:space="0" w:color="auto"/>
            </w:tcBorders>
            <w:vAlign w:val="center"/>
          </w:tcPr>
          <w:p w:rsidR="001124F2" w:rsidRDefault="001124F2">
            <w:pPr>
              <w:jc w:val="right"/>
              <w:rPr>
                <w:rFonts w:ascii="Times New Roman" w:hAnsi="Times New Roman"/>
                <w:snapToGrid w:val="0"/>
                <w:color w:val="000000"/>
                <w:sz w:val="18"/>
              </w:rPr>
            </w:pPr>
            <w:r>
              <w:rPr>
                <w:rFonts w:ascii="Times New Roman" w:hAnsi="Times New Roman"/>
                <w:snapToGrid w:val="0"/>
                <w:color w:val="000000"/>
                <w:sz w:val="18"/>
              </w:rPr>
              <w:t>+12,56</w:t>
            </w:r>
          </w:p>
        </w:tc>
        <w:tc>
          <w:tcPr>
            <w:tcW w:w="680" w:type="dxa"/>
            <w:tcBorders>
              <w:top w:val="dotted" w:sz="4" w:space="0" w:color="auto"/>
              <w:left w:val="dotted" w:sz="4" w:space="0" w:color="auto"/>
              <w:bottom w:val="dotted" w:sz="4" w:space="0" w:color="auto"/>
              <w:right w:val="dotted" w:sz="4" w:space="0" w:color="auto"/>
            </w:tcBorders>
            <w:vAlign w:val="center"/>
          </w:tcPr>
          <w:p w:rsidR="001124F2" w:rsidRDefault="001124F2">
            <w:pPr>
              <w:jc w:val="right"/>
              <w:rPr>
                <w:rFonts w:ascii="Times New Roman" w:hAnsi="Times New Roman"/>
                <w:snapToGrid w:val="0"/>
                <w:color w:val="000000"/>
                <w:sz w:val="18"/>
              </w:rPr>
            </w:pPr>
            <w:r>
              <w:rPr>
                <w:rFonts w:ascii="Times New Roman" w:hAnsi="Times New Roman"/>
                <w:snapToGrid w:val="0"/>
                <w:color w:val="000000"/>
                <w:sz w:val="18"/>
              </w:rPr>
              <w:t>+84,07</w:t>
            </w:r>
          </w:p>
        </w:tc>
        <w:tc>
          <w:tcPr>
            <w:tcW w:w="680" w:type="dxa"/>
            <w:gridSpan w:val="2"/>
            <w:tcBorders>
              <w:top w:val="dotted" w:sz="4" w:space="0" w:color="auto"/>
              <w:left w:val="dotted" w:sz="4" w:space="0" w:color="auto"/>
              <w:bottom w:val="dotted" w:sz="4" w:space="0" w:color="auto"/>
              <w:right w:val="dotted" w:sz="4" w:space="0" w:color="auto"/>
            </w:tcBorders>
            <w:vAlign w:val="center"/>
          </w:tcPr>
          <w:p w:rsidR="001124F2" w:rsidRDefault="001124F2">
            <w:pPr>
              <w:jc w:val="right"/>
              <w:rPr>
                <w:rFonts w:ascii="Times New Roman" w:hAnsi="Times New Roman"/>
                <w:snapToGrid w:val="0"/>
                <w:color w:val="000000"/>
                <w:sz w:val="18"/>
              </w:rPr>
            </w:pPr>
            <w:r>
              <w:rPr>
                <w:rFonts w:ascii="Times New Roman" w:hAnsi="Times New Roman"/>
                <w:snapToGrid w:val="0"/>
                <w:color w:val="000000"/>
                <w:sz w:val="18"/>
              </w:rPr>
              <w:t>+16,18</w:t>
            </w:r>
          </w:p>
        </w:tc>
        <w:tc>
          <w:tcPr>
            <w:tcW w:w="680" w:type="dxa"/>
            <w:tcBorders>
              <w:top w:val="dotted" w:sz="4" w:space="0" w:color="auto"/>
              <w:left w:val="dotted" w:sz="4" w:space="0" w:color="auto"/>
              <w:bottom w:val="dotted" w:sz="4" w:space="0" w:color="auto"/>
              <w:right w:val="dotted" w:sz="4" w:space="0" w:color="auto"/>
            </w:tcBorders>
            <w:vAlign w:val="center"/>
          </w:tcPr>
          <w:p w:rsidR="001124F2" w:rsidRDefault="001124F2">
            <w:pPr>
              <w:jc w:val="right"/>
              <w:rPr>
                <w:rFonts w:ascii="Times New Roman" w:hAnsi="Times New Roman"/>
                <w:snapToGrid w:val="0"/>
                <w:color w:val="000000"/>
                <w:sz w:val="18"/>
              </w:rPr>
            </w:pPr>
            <w:r>
              <w:rPr>
                <w:rFonts w:ascii="Times New Roman" w:hAnsi="Times New Roman"/>
                <w:snapToGrid w:val="0"/>
                <w:color w:val="000000"/>
                <w:sz w:val="18"/>
              </w:rPr>
              <w:t>+49,02</w:t>
            </w:r>
          </w:p>
        </w:tc>
        <w:tc>
          <w:tcPr>
            <w:tcW w:w="680" w:type="dxa"/>
            <w:gridSpan w:val="2"/>
            <w:tcBorders>
              <w:top w:val="dotted" w:sz="4" w:space="0" w:color="auto"/>
              <w:left w:val="dotted" w:sz="4" w:space="0" w:color="auto"/>
              <w:bottom w:val="dotted" w:sz="4" w:space="0" w:color="auto"/>
              <w:right w:val="dotted" w:sz="4" w:space="0" w:color="auto"/>
            </w:tcBorders>
            <w:vAlign w:val="center"/>
          </w:tcPr>
          <w:p w:rsidR="001124F2" w:rsidRDefault="001124F2">
            <w:pPr>
              <w:jc w:val="right"/>
              <w:rPr>
                <w:rFonts w:ascii="Times New Roman" w:hAnsi="Times New Roman"/>
                <w:snapToGrid w:val="0"/>
                <w:color w:val="000000"/>
                <w:sz w:val="18"/>
              </w:rPr>
            </w:pPr>
            <w:r>
              <w:rPr>
                <w:rFonts w:ascii="Times New Roman" w:hAnsi="Times New Roman"/>
                <w:snapToGrid w:val="0"/>
                <w:color w:val="000000"/>
                <w:sz w:val="18"/>
              </w:rPr>
              <w:t>+10,6</w:t>
            </w:r>
          </w:p>
        </w:tc>
        <w:tc>
          <w:tcPr>
            <w:tcW w:w="598" w:type="dxa"/>
            <w:tcBorders>
              <w:top w:val="dotted" w:sz="4" w:space="0" w:color="auto"/>
              <w:left w:val="dotted" w:sz="4" w:space="0" w:color="auto"/>
              <w:bottom w:val="dotted" w:sz="4" w:space="0" w:color="auto"/>
              <w:right w:val="dotted" w:sz="4" w:space="0" w:color="auto"/>
            </w:tcBorders>
            <w:vAlign w:val="center"/>
          </w:tcPr>
          <w:p w:rsidR="001124F2" w:rsidRDefault="001124F2">
            <w:pPr>
              <w:jc w:val="right"/>
              <w:rPr>
                <w:rFonts w:ascii="Times New Roman" w:hAnsi="Times New Roman"/>
                <w:snapToGrid w:val="0"/>
                <w:color w:val="000000"/>
                <w:sz w:val="18"/>
                <w:lang w:val="en-US"/>
              </w:rPr>
            </w:pPr>
            <w:r>
              <w:rPr>
                <w:rFonts w:ascii="Times New Roman" w:hAnsi="Times New Roman"/>
                <w:snapToGrid w:val="0"/>
                <w:color w:val="000000"/>
                <w:sz w:val="18"/>
                <w:lang w:val="en-US"/>
              </w:rPr>
              <w:t>+16,61</w:t>
            </w:r>
          </w:p>
        </w:tc>
        <w:tc>
          <w:tcPr>
            <w:tcW w:w="762" w:type="dxa"/>
            <w:tcBorders>
              <w:top w:val="dotted" w:sz="4" w:space="0" w:color="auto"/>
              <w:left w:val="dotted" w:sz="4" w:space="0" w:color="auto"/>
              <w:bottom w:val="dotted" w:sz="4" w:space="0" w:color="auto"/>
              <w:right w:val="dotted" w:sz="4" w:space="0" w:color="auto"/>
            </w:tcBorders>
            <w:vAlign w:val="center"/>
          </w:tcPr>
          <w:p w:rsidR="001124F2" w:rsidRDefault="001124F2">
            <w:pPr>
              <w:jc w:val="right"/>
              <w:rPr>
                <w:rFonts w:ascii="Times New Roman" w:hAnsi="Times New Roman"/>
                <w:snapToGrid w:val="0"/>
                <w:color w:val="000000"/>
                <w:sz w:val="18"/>
                <w:lang w:val="en-US"/>
              </w:rPr>
            </w:pPr>
            <w:r>
              <w:rPr>
                <w:rFonts w:ascii="Times New Roman" w:hAnsi="Times New Roman"/>
                <w:snapToGrid w:val="0"/>
                <w:color w:val="000000"/>
                <w:sz w:val="18"/>
                <w:lang w:val="en-US"/>
              </w:rPr>
              <w:t>+12,93</w:t>
            </w:r>
          </w:p>
        </w:tc>
        <w:tc>
          <w:tcPr>
            <w:tcW w:w="797" w:type="dxa"/>
            <w:tcBorders>
              <w:top w:val="dotted" w:sz="4" w:space="0" w:color="auto"/>
              <w:left w:val="dotted" w:sz="4" w:space="0" w:color="auto"/>
              <w:bottom w:val="dotted" w:sz="4" w:space="0" w:color="auto"/>
              <w:right w:val="threeDEmboss" w:sz="6" w:space="0" w:color="auto"/>
            </w:tcBorders>
            <w:vAlign w:val="center"/>
          </w:tcPr>
          <w:p w:rsidR="001124F2" w:rsidRDefault="001124F2">
            <w:pPr>
              <w:jc w:val="right"/>
              <w:rPr>
                <w:rFonts w:ascii="Times New Roman" w:hAnsi="Times New Roman"/>
                <w:snapToGrid w:val="0"/>
                <w:color w:val="000000"/>
                <w:sz w:val="18"/>
                <w:lang w:val="en-US"/>
              </w:rPr>
            </w:pPr>
            <w:r>
              <w:rPr>
                <w:rFonts w:ascii="Times New Roman" w:hAnsi="Times New Roman"/>
                <w:snapToGrid w:val="0"/>
                <w:color w:val="000000"/>
                <w:sz w:val="18"/>
                <w:lang w:val="en-US"/>
              </w:rPr>
              <w:t>+39,59</w:t>
            </w:r>
          </w:p>
        </w:tc>
      </w:tr>
      <w:tr w:rsidR="001124F2">
        <w:trPr>
          <w:trHeight w:val="581"/>
        </w:trPr>
        <w:tc>
          <w:tcPr>
            <w:tcW w:w="3118" w:type="dxa"/>
            <w:tcBorders>
              <w:top w:val="dotted" w:sz="4" w:space="0" w:color="auto"/>
              <w:left w:val="threeDEmboss" w:sz="6" w:space="0" w:color="auto"/>
              <w:bottom w:val="dotted" w:sz="4" w:space="0" w:color="auto"/>
              <w:right w:val="dotted" w:sz="4" w:space="0" w:color="auto"/>
            </w:tcBorders>
            <w:vAlign w:val="center"/>
          </w:tcPr>
          <w:p w:rsidR="001124F2" w:rsidRDefault="001124F2">
            <w:pPr>
              <w:jc w:val="both"/>
              <w:rPr>
                <w:rFonts w:ascii="Times New Roman" w:hAnsi="Times New Roman"/>
                <w:snapToGrid w:val="0"/>
                <w:color w:val="000000"/>
              </w:rPr>
            </w:pPr>
            <w:r>
              <w:rPr>
                <w:rFonts w:ascii="Times New Roman" w:hAnsi="Times New Roman"/>
                <w:snapToGrid w:val="0"/>
                <w:color w:val="000000"/>
              </w:rPr>
              <w:t>Доходы от имущества, находящегося в государственной собственности, или от деятельности</w:t>
            </w:r>
          </w:p>
        </w:tc>
        <w:tc>
          <w:tcPr>
            <w:tcW w:w="851" w:type="dxa"/>
            <w:tcBorders>
              <w:top w:val="dotted" w:sz="4" w:space="0" w:color="auto"/>
              <w:left w:val="dotted" w:sz="4" w:space="0" w:color="auto"/>
              <w:bottom w:val="dotted" w:sz="4" w:space="0" w:color="auto"/>
              <w:right w:val="dotted" w:sz="4" w:space="0" w:color="auto"/>
            </w:tcBorders>
            <w:vAlign w:val="center"/>
          </w:tcPr>
          <w:p w:rsidR="001124F2" w:rsidRDefault="001124F2">
            <w:pPr>
              <w:jc w:val="right"/>
              <w:rPr>
                <w:rFonts w:ascii="Times New Roman" w:hAnsi="Times New Roman"/>
                <w:snapToGrid w:val="0"/>
                <w:color w:val="000000"/>
                <w:sz w:val="18"/>
              </w:rPr>
            </w:pPr>
            <w:r>
              <w:rPr>
                <w:rFonts w:ascii="Times New Roman" w:hAnsi="Times New Roman"/>
                <w:snapToGrid w:val="0"/>
                <w:color w:val="000000"/>
                <w:sz w:val="18"/>
              </w:rPr>
              <w:t>+0,84</w:t>
            </w:r>
          </w:p>
        </w:tc>
        <w:tc>
          <w:tcPr>
            <w:tcW w:w="680" w:type="dxa"/>
            <w:tcBorders>
              <w:top w:val="dotted" w:sz="4" w:space="0" w:color="auto"/>
              <w:left w:val="dotted" w:sz="4" w:space="0" w:color="auto"/>
              <w:bottom w:val="dotted" w:sz="4" w:space="0" w:color="auto"/>
              <w:right w:val="dotted" w:sz="4" w:space="0" w:color="auto"/>
            </w:tcBorders>
            <w:vAlign w:val="center"/>
          </w:tcPr>
          <w:p w:rsidR="001124F2" w:rsidRDefault="001124F2">
            <w:pPr>
              <w:jc w:val="right"/>
              <w:rPr>
                <w:rFonts w:ascii="Times New Roman" w:hAnsi="Times New Roman"/>
                <w:snapToGrid w:val="0"/>
                <w:color w:val="000000"/>
                <w:sz w:val="18"/>
              </w:rPr>
            </w:pPr>
            <w:r>
              <w:rPr>
                <w:rFonts w:ascii="Times New Roman" w:hAnsi="Times New Roman"/>
                <w:snapToGrid w:val="0"/>
                <w:color w:val="000000"/>
                <w:sz w:val="18"/>
              </w:rPr>
              <w:t>+21,84</w:t>
            </w:r>
          </w:p>
        </w:tc>
        <w:tc>
          <w:tcPr>
            <w:tcW w:w="738" w:type="dxa"/>
            <w:gridSpan w:val="2"/>
            <w:tcBorders>
              <w:top w:val="dotted" w:sz="4" w:space="0" w:color="auto"/>
              <w:left w:val="dotted" w:sz="4" w:space="0" w:color="auto"/>
              <w:bottom w:val="dotted" w:sz="4" w:space="0" w:color="auto"/>
              <w:right w:val="dotted" w:sz="4" w:space="0" w:color="auto"/>
            </w:tcBorders>
            <w:vAlign w:val="center"/>
          </w:tcPr>
          <w:p w:rsidR="001124F2" w:rsidRDefault="001124F2">
            <w:pPr>
              <w:jc w:val="right"/>
              <w:rPr>
                <w:rFonts w:ascii="Times New Roman" w:hAnsi="Times New Roman"/>
                <w:snapToGrid w:val="0"/>
                <w:color w:val="000000"/>
                <w:sz w:val="18"/>
              </w:rPr>
            </w:pPr>
            <w:r>
              <w:rPr>
                <w:rFonts w:ascii="Times New Roman" w:hAnsi="Times New Roman"/>
                <w:snapToGrid w:val="0"/>
                <w:color w:val="000000"/>
                <w:sz w:val="18"/>
              </w:rPr>
              <w:t>-0,68</w:t>
            </w:r>
          </w:p>
        </w:tc>
        <w:tc>
          <w:tcPr>
            <w:tcW w:w="680" w:type="dxa"/>
            <w:tcBorders>
              <w:top w:val="dotted" w:sz="4" w:space="0" w:color="auto"/>
              <w:left w:val="dotted" w:sz="4" w:space="0" w:color="auto"/>
              <w:bottom w:val="dotted" w:sz="4" w:space="0" w:color="auto"/>
              <w:right w:val="dotted" w:sz="4" w:space="0" w:color="auto"/>
            </w:tcBorders>
            <w:vAlign w:val="center"/>
          </w:tcPr>
          <w:p w:rsidR="001124F2" w:rsidRDefault="001124F2">
            <w:pPr>
              <w:jc w:val="right"/>
              <w:rPr>
                <w:rFonts w:ascii="Times New Roman" w:hAnsi="Times New Roman"/>
                <w:snapToGrid w:val="0"/>
                <w:color w:val="000000"/>
                <w:sz w:val="18"/>
              </w:rPr>
            </w:pPr>
            <w:r>
              <w:rPr>
                <w:rFonts w:ascii="Times New Roman" w:hAnsi="Times New Roman"/>
                <w:snapToGrid w:val="0"/>
                <w:color w:val="000000"/>
                <w:sz w:val="18"/>
              </w:rPr>
              <w:t>-12,76</w:t>
            </w:r>
          </w:p>
        </w:tc>
        <w:tc>
          <w:tcPr>
            <w:tcW w:w="680" w:type="dxa"/>
            <w:gridSpan w:val="2"/>
            <w:tcBorders>
              <w:top w:val="dotted" w:sz="4" w:space="0" w:color="auto"/>
              <w:left w:val="dotted" w:sz="4" w:space="0" w:color="auto"/>
              <w:bottom w:val="dotted" w:sz="4" w:space="0" w:color="auto"/>
              <w:right w:val="dotted" w:sz="4" w:space="0" w:color="auto"/>
            </w:tcBorders>
            <w:vAlign w:val="center"/>
          </w:tcPr>
          <w:p w:rsidR="001124F2" w:rsidRDefault="001124F2">
            <w:pPr>
              <w:jc w:val="right"/>
              <w:rPr>
                <w:rFonts w:ascii="Times New Roman" w:hAnsi="Times New Roman"/>
                <w:snapToGrid w:val="0"/>
                <w:color w:val="000000"/>
                <w:sz w:val="18"/>
              </w:rPr>
            </w:pPr>
            <w:r>
              <w:rPr>
                <w:rFonts w:ascii="Times New Roman" w:hAnsi="Times New Roman"/>
                <w:snapToGrid w:val="0"/>
                <w:color w:val="000000"/>
                <w:sz w:val="18"/>
              </w:rPr>
              <w:t>-1,24</w:t>
            </w:r>
          </w:p>
        </w:tc>
        <w:tc>
          <w:tcPr>
            <w:tcW w:w="680" w:type="dxa"/>
            <w:tcBorders>
              <w:top w:val="dotted" w:sz="4" w:space="0" w:color="auto"/>
              <w:left w:val="dotted" w:sz="4" w:space="0" w:color="auto"/>
              <w:bottom w:val="dotted" w:sz="4" w:space="0" w:color="auto"/>
              <w:right w:val="dotted" w:sz="4" w:space="0" w:color="auto"/>
            </w:tcBorders>
            <w:vAlign w:val="center"/>
          </w:tcPr>
          <w:p w:rsidR="001124F2" w:rsidRDefault="001124F2">
            <w:pPr>
              <w:jc w:val="right"/>
              <w:rPr>
                <w:rFonts w:ascii="Times New Roman" w:hAnsi="Times New Roman"/>
                <w:snapToGrid w:val="0"/>
                <w:color w:val="000000"/>
                <w:sz w:val="18"/>
              </w:rPr>
            </w:pPr>
            <w:r>
              <w:rPr>
                <w:rFonts w:ascii="Times New Roman" w:hAnsi="Times New Roman"/>
                <w:snapToGrid w:val="0"/>
                <w:color w:val="000000"/>
                <w:sz w:val="18"/>
              </w:rPr>
              <w:t>-10,5</w:t>
            </w:r>
          </w:p>
        </w:tc>
        <w:tc>
          <w:tcPr>
            <w:tcW w:w="680" w:type="dxa"/>
            <w:gridSpan w:val="2"/>
            <w:tcBorders>
              <w:top w:val="dotted" w:sz="4" w:space="0" w:color="auto"/>
              <w:left w:val="dotted" w:sz="4" w:space="0" w:color="auto"/>
              <w:bottom w:val="dotted" w:sz="4" w:space="0" w:color="auto"/>
              <w:right w:val="dotted" w:sz="4" w:space="0" w:color="auto"/>
            </w:tcBorders>
            <w:vAlign w:val="center"/>
          </w:tcPr>
          <w:p w:rsidR="001124F2" w:rsidRDefault="001124F2">
            <w:pPr>
              <w:jc w:val="right"/>
              <w:rPr>
                <w:rFonts w:ascii="Times New Roman" w:hAnsi="Times New Roman"/>
                <w:snapToGrid w:val="0"/>
                <w:color w:val="000000"/>
                <w:sz w:val="18"/>
              </w:rPr>
            </w:pPr>
            <w:r>
              <w:rPr>
                <w:rFonts w:ascii="Times New Roman" w:hAnsi="Times New Roman"/>
                <w:snapToGrid w:val="0"/>
                <w:color w:val="000000"/>
                <w:sz w:val="18"/>
              </w:rPr>
              <w:t>3,85</w:t>
            </w:r>
          </w:p>
        </w:tc>
        <w:tc>
          <w:tcPr>
            <w:tcW w:w="598" w:type="dxa"/>
            <w:tcBorders>
              <w:top w:val="dotted" w:sz="4" w:space="0" w:color="auto"/>
              <w:left w:val="dotted" w:sz="4" w:space="0" w:color="auto"/>
              <w:bottom w:val="dotted" w:sz="4" w:space="0" w:color="auto"/>
              <w:right w:val="dotted" w:sz="4" w:space="0" w:color="auto"/>
            </w:tcBorders>
            <w:vAlign w:val="center"/>
          </w:tcPr>
          <w:p w:rsidR="001124F2" w:rsidRDefault="001124F2">
            <w:pPr>
              <w:jc w:val="right"/>
              <w:rPr>
                <w:rFonts w:ascii="Times New Roman" w:hAnsi="Times New Roman"/>
                <w:snapToGrid w:val="0"/>
                <w:color w:val="000000"/>
                <w:sz w:val="18"/>
                <w:lang w:val="en-US"/>
              </w:rPr>
            </w:pPr>
            <w:r>
              <w:rPr>
                <w:rFonts w:ascii="Times New Roman" w:hAnsi="Times New Roman"/>
                <w:snapToGrid w:val="0"/>
                <w:color w:val="000000"/>
                <w:sz w:val="18"/>
                <w:lang w:val="en-US"/>
              </w:rPr>
              <w:t>12,5</w:t>
            </w:r>
          </w:p>
        </w:tc>
        <w:tc>
          <w:tcPr>
            <w:tcW w:w="762" w:type="dxa"/>
            <w:tcBorders>
              <w:top w:val="dotted" w:sz="4" w:space="0" w:color="auto"/>
              <w:left w:val="dotted" w:sz="4" w:space="0" w:color="auto"/>
              <w:bottom w:val="dotted" w:sz="4" w:space="0" w:color="auto"/>
              <w:right w:val="dotted" w:sz="4" w:space="0" w:color="auto"/>
            </w:tcBorders>
            <w:vAlign w:val="center"/>
          </w:tcPr>
          <w:p w:rsidR="001124F2" w:rsidRDefault="001124F2">
            <w:pPr>
              <w:jc w:val="right"/>
              <w:rPr>
                <w:rFonts w:ascii="Times New Roman" w:hAnsi="Times New Roman"/>
                <w:snapToGrid w:val="0"/>
                <w:color w:val="000000"/>
                <w:sz w:val="18"/>
                <w:lang w:val="en-US"/>
              </w:rPr>
            </w:pPr>
            <w:r>
              <w:rPr>
                <w:rFonts w:ascii="Times New Roman" w:hAnsi="Times New Roman"/>
                <w:snapToGrid w:val="0"/>
                <w:color w:val="000000"/>
                <w:sz w:val="18"/>
                <w:lang w:val="en-US"/>
              </w:rPr>
              <w:t>+10,60</w:t>
            </w:r>
          </w:p>
        </w:tc>
        <w:tc>
          <w:tcPr>
            <w:tcW w:w="797" w:type="dxa"/>
            <w:tcBorders>
              <w:top w:val="dotted" w:sz="4" w:space="0" w:color="auto"/>
              <w:left w:val="dotted" w:sz="4" w:space="0" w:color="auto"/>
              <w:bottom w:val="dotted" w:sz="4" w:space="0" w:color="auto"/>
              <w:right w:val="threeDEmboss" w:sz="6" w:space="0" w:color="auto"/>
            </w:tcBorders>
            <w:vAlign w:val="center"/>
          </w:tcPr>
          <w:p w:rsidR="001124F2" w:rsidRDefault="001124F2">
            <w:pPr>
              <w:jc w:val="right"/>
              <w:rPr>
                <w:rFonts w:ascii="Times New Roman" w:hAnsi="Times New Roman"/>
                <w:snapToGrid w:val="0"/>
                <w:color w:val="000000"/>
                <w:sz w:val="18"/>
                <w:lang w:val="en-US"/>
              </w:rPr>
            </w:pPr>
            <w:r>
              <w:rPr>
                <w:rFonts w:ascii="Times New Roman" w:hAnsi="Times New Roman"/>
                <w:snapToGrid w:val="0"/>
                <w:color w:val="000000"/>
                <w:sz w:val="18"/>
                <w:lang w:val="en-US"/>
              </w:rPr>
              <w:t>+74,80</w:t>
            </w:r>
          </w:p>
        </w:tc>
      </w:tr>
      <w:tr w:rsidR="001124F2">
        <w:trPr>
          <w:trHeight w:val="329"/>
        </w:trPr>
        <w:tc>
          <w:tcPr>
            <w:tcW w:w="3118" w:type="dxa"/>
            <w:tcBorders>
              <w:top w:val="dotted" w:sz="4" w:space="0" w:color="auto"/>
              <w:left w:val="threeDEmboss" w:sz="6" w:space="0" w:color="auto"/>
              <w:bottom w:val="dotted" w:sz="4" w:space="0" w:color="auto"/>
              <w:right w:val="dotted" w:sz="4" w:space="0" w:color="auto"/>
            </w:tcBorders>
            <w:vAlign w:val="center"/>
          </w:tcPr>
          <w:p w:rsidR="001124F2" w:rsidRDefault="001124F2">
            <w:pPr>
              <w:jc w:val="both"/>
              <w:rPr>
                <w:rFonts w:ascii="Times New Roman" w:hAnsi="Times New Roman"/>
                <w:snapToGrid w:val="0"/>
                <w:color w:val="000000"/>
              </w:rPr>
            </w:pPr>
            <w:r>
              <w:rPr>
                <w:rFonts w:ascii="Times New Roman" w:hAnsi="Times New Roman"/>
                <w:snapToGrid w:val="0"/>
                <w:color w:val="000000"/>
              </w:rPr>
              <w:t>Доходы от внешнеэкономической деятельности</w:t>
            </w:r>
          </w:p>
        </w:tc>
        <w:tc>
          <w:tcPr>
            <w:tcW w:w="851" w:type="dxa"/>
            <w:tcBorders>
              <w:top w:val="dotted" w:sz="4" w:space="0" w:color="auto"/>
              <w:left w:val="dotted" w:sz="4" w:space="0" w:color="auto"/>
              <w:bottom w:val="dotted" w:sz="4" w:space="0" w:color="auto"/>
              <w:right w:val="dotted" w:sz="4" w:space="0" w:color="auto"/>
            </w:tcBorders>
            <w:vAlign w:val="center"/>
          </w:tcPr>
          <w:p w:rsidR="001124F2" w:rsidRDefault="001124F2">
            <w:pPr>
              <w:jc w:val="right"/>
              <w:rPr>
                <w:rFonts w:ascii="Times New Roman" w:hAnsi="Times New Roman"/>
                <w:snapToGrid w:val="0"/>
                <w:color w:val="000000"/>
                <w:sz w:val="18"/>
              </w:rPr>
            </w:pPr>
            <w:r>
              <w:rPr>
                <w:rFonts w:ascii="Times New Roman" w:hAnsi="Times New Roman"/>
                <w:snapToGrid w:val="0"/>
                <w:color w:val="000000"/>
                <w:sz w:val="18"/>
              </w:rPr>
              <w:t>+3,84</w:t>
            </w:r>
          </w:p>
        </w:tc>
        <w:tc>
          <w:tcPr>
            <w:tcW w:w="680" w:type="dxa"/>
            <w:tcBorders>
              <w:top w:val="dotted" w:sz="4" w:space="0" w:color="auto"/>
              <w:left w:val="dotted" w:sz="4" w:space="0" w:color="auto"/>
              <w:bottom w:val="dotted" w:sz="4" w:space="0" w:color="auto"/>
              <w:right w:val="dotted" w:sz="4" w:space="0" w:color="auto"/>
            </w:tcBorders>
            <w:vAlign w:val="center"/>
          </w:tcPr>
          <w:p w:rsidR="001124F2" w:rsidRDefault="001124F2">
            <w:pPr>
              <w:jc w:val="right"/>
              <w:rPr>
                <w:rFonts w:ascii="Times New Roman" w:hAnsi="Times New Roman"/>
                <w:snapToGrid w:val="0"/>
                <w:color w:val="000000"/>
                <w:sz w:val="18"/>
              </w:rPr>
            </w:pPr>
            <w:r>
              <w:rPr>
                <w:rFonts w:ascii="Times New Roman" w:hAnsi="Times New Roman"/>
                <w:snapToGrid w:val="0"/>
                <w:color w:val="000000"/>
                <w:sz w:val="18"/>
              </w:rPr>
              <w:t>+49,71</w:t>
            </w:r>
          </w:p>
        </w:tc>
        <w:tc>
          <w:tcPr>
            <w:tcW w:w="738" w:type="dxa"/>
            <w:gridSpan w:val="2"/>
            <w:tcBorders>
              <w:top w:val="dotted" w:sz="4" w:space="0" w:color="auto"/>
              <w:left w:val="dotted" w:sz="4" w:space="0" w:color="auto"/>
              <w:bottom w:val="dotted" w:sz="4" w:space="0" w:color="auto"/>
              <w:right w:val="dotted" w:sz="4" w:space="0" w:color="auto"/>
            </w:tcBorders>
            <w:vAlign w:val="center"/>
          </w:tcPr>
          <w:p w:rsidR="001124F2" w:rsidRDefault="001124F2">
            <w:pPr>
              <w:jc w:val="right"/>
              <w:rPr>
                <w:rFonts w:ascii="Times New Roman" w:hAnsi="Times New Roman"/>
                <w:snapToGrid w:val="0"/>
                <w:color w:val="000000"/>
                <w:sz w:val="18"/>
              </w:rPr>
            </w:pPr>
            <w:r>
              <w:rPr>
                <w:rFonts w:ascii="Times New Roman" w:hAnsi="Times New Roman"/>
                <w:snapToGrid w:val="0"/>
                <w:color w:val="000000"/>
                <w:sz w:val="18"/>
              </w:rPr>
              <w:t>+11,73</w:t>
            </w:r>
          </w:p>
        </w:tc>
        <w:tc>
          <w:tcPr>
            <w:tcW w:w="680" w:type="dxa"/>
            <w:tcBorders>
              <w:top w:val="dotted" w:sz="4" w:space="0" w:color="auto"/>
              <w:left w:val="dotted" w:sz="4" w:space="0" w:color="auto"/>
              <w:bottom w:val="dotted" w:sz="4" w:space="0" w:color="auto"/>
              <w:right w:val="dotted" w:sz="4" w:space="0" w:color="auto"/>
            </w:tcBorders>
            <w:vAlign w:val="center"/>
          </w:tcPr>
          <w:p w:rsidR="001124F2" w:rsidRDefault="001124F2">
            <w:pPr>
              <w:jc w:val="right"/>
              <w:rPr>
                <w:rFonts w:ascii="Times New Roman" w:hAnsi="Times New Roman"/>
                <w:snapToGrid w:val="0"/>
                <w:color w:val="000000"/>
                <w:sz w:val="18"/>
              </w:rPr>
            </w:pPr>
            <w:r>
              <w:rPr>
                <w:rFonts w:ascii="Times New Roman" w:hAnsi="Times New Roman"/>
                <w:snapToGrid w:val="0"/>
                <w:color w:val="000000"/>
                <w:sz w:val="18"/>
              </w:rPr>
              <w:t>+170,5</w:t>
            </w:r>
          </w:p>
        </w:tc>
        <w:tc>
          <w:tcPr>
            <w:tcW w:w="680" w:type="dxa"/>
            <w:gridSpan w:val="2"/>
            <w:tcBorders>
              <w:top w:val="dotted" w:sz="4" w:space="0" w:color="auto"/>
              <w:left w:val="dotted" w:sz="4" w:space="0" w:color="auto"/>
              <w:bottom w:val="dotted" w:sz="4" w:space="0" w:color="auto"/>
              <w:right w:val="dotted" w:sz="4" w:space="0" w:color="auto"/>
            </w:tcBorders>
            <w:vAlign w:val="center"/>
          </w:tcPr>
          <w:p w:rsidR="001124F2" w:rsidRDefault="001124F2">
            <w:pPr>
              <w:jc w:val="right"/>
              <w:rPr>
                <w:rFonts w:ascii="Times New Roman" w:hAnsi="Times New Roman"/>
                <w:snapToGrid w:val="0"/>
                <w:color w:val="000000"/>
                <w:sz w:val="18"/>
              </w:rPr>
            </w:pPr>
            <w:r>
              <w:rPr>
                <w:rFonts w:ascii="Times New Roman" w:hAnsi="Times New Roman"/>
                <w:snapToGrid w:val="0"/>
                <w:color w:val="000000"/>
                <w:sz w:val="18"/>
              </w:rPr>
              <w:t>+13,14</w:t>
            </w:r>
          </w:p>
        </w:tc>
        <w:tc>
          <w:tcPr>
            <w:tcW w:w="680" w:type="dxa"/>
            <w:tcBorders>
              <w:top w:val="dotted" w:sz="4" w:space="0" w:color="auto"/>
              <w:left w:val="dotted" w:sz="4" w:space="0" w:color="auto"/>
              <w:bottom w:val="dotted" w:sz="4" w:space="0" w:color="auto"/>
              <w:right w:val="dotted" w:sz="4" w:space="0" w:color="auto"/>
            </w:tcBorders>
            <w:vAlign w:val="center"/>
          </w:tcPr>
          <w:p w:rsidR="001124F2" w:rsidRDefault="001124F2">
            <w:pPr>
              <w:jc w:val="right"/>
              <w:rPr>
                <w:rFonts w:ascii="Times New Roman" w:hAnsi="Times New Roman"/>
                <w:snapToGrid w:val="0"/>
                <w:color w:val="000000"/>
                <w:sz w:val="18"/>
              </w:rPr>
            </w:pPr>
            <w:r>
              <w:rPr>
                <w:rFonts w:ascii="Times New Roman" w:hAnsi="Times New Roman"/>
                <w:snapToGrid w:val="0"/>
                <w:color w:val="000000"/>
                <w:sz w:val="18"/>
              </w:rPr>
              <w:t>+56,39</w:t>
            </w:r>
          </w:p>
        </w:tc>
        <w:tc>
          <w:tcPr>
            <w:tcW w:w="680" w:type="dxa"/>
            <w:gridSpan w:val="2"/>
            <w:tcBorders>
              <w:top w:val="dotted" w:sz="4" w:space="0" w:color="auto"/>
              <w:left w:val="dotted" w:sz="4" w:space="0" w:color="auto"/>
              <w:bottom w:val="dotted" w:sz="4" w:space="0" w:color="auto"/>
              <w:right w:val="dotted" w:sz="4" w:space="0" w:color="auto"/>
            </w:tcBorders>
            <w:vAlign w:val="center"/>
          </w:tcPr>
          <w:p w:rsidR="001124F2" w:rsidRDefault="001124F2">
            <w:pPr>
              <w:jc w:val="right"/>
              <w:rPr>
                <w:rFonts w:ascii="Times New Roman" w:hAnsi="Times New Roman"/>
                <w:snapToGrid w:val="0"/>
                <w:color w:val="000000"/>
                <w:sz w:val="18"/>
              </w:rPr>
            </w:pPr>
            <w:r>
              <w:rPr>
                <w:rFonts w:ascii="Times New Roman" w:hAnsi="Times New Roman"/>
                <w:snapToGrid w:val="0"/>
                <w:color w:val="000000"/>
                <w:sz w:val="18"/>
              </w:rPr>
              <w:t>+3,00</w:t>
            </w:r>
          </w:p>
        </w:tc>
        <w:tc>
          <w:tcPr>
            <w:tcW w:w="598" w:type="dxa"/>
            <w:tcBorders>
              <w:top w:val="dotted" w:sz="4" w:space="0" w:color="auto"/>
              <w:left w:val="dotted" w:sz="4" w:space="0" w:color="auto"/>
              <w:bottom w:val="dotted" w:sz="4" w:space="0" w:color="auto"/>
              <w:right w:val="dotted" w:sz="4" w:space="0" w:color="auto"/>
            </w:tcBorders>
            <w:vAlign w:val="center"/>
          </w:tcPr>
          <w:p w:rsidR="001124F2" w:rsidRDefault="001124F2">
            <w:pPr>
              <w:jc w:val="right"/>
              <w:rPr>
                <w:rFonts w:ascii="Times New Roman" w:hAnsi="Times New Roman"/>
                <w:snapToGrid w:val="0"/>
                <w:color w:val="000000"/>
                <w:sz w:val="18"/>
                <w:lang w:val="en-US"/>
              </w:rPr>
            </w:pPr>
            <w:r>
              <w:rPr>
                <w:rFonts w:ascii="Times New Roman" w:hAnsi="Times New Roman"/>
                <w:snapToGrid w:val="0"/>
                <w:color w:val="000000"/>
                <w:sz w:val="18"/>
                <w:lang w:val="en-US"/>
              </w:rPr>
              <w:t>+8,73</w:t>
            </w:r>
          </w:p>
        </w:tc>
        <w:tc>
          <w:tcPr>
            <w:tcW w:w="762" w:type="dxa"/>
            <w:tcBorders>
              <w:top w:val="dotted" w:sz="4" w:space="0" w:color="auto"/>
              <w:left w:val="dotted" w:sz="4" w:space="0" w:color="auto"/>
              <w:bottom w:val="dotted" w:sz="4" w:space="0" w:color="auto"/>
              <w:right w:val="dotted" w:sz="4" w:space="0" w:color="auto"/>
            </w:tcBorders>
            <w:vAlign w:val="center"/>
          </w:tcPr>
          <w:p w:rsidR="001124F2" w:rsidRDefault="001124F2">
            <w:pPr>
              <w:jc w:val="right"/>
              <w:rPr>
                <w:rFonts w:ascii="Times New Roman" w:hAnsi="Times New Roman"/>
                <w:snapToGrid w:val="0"/>
                <w:color w:val="000000"/>
                <w:sz w:val="18"/>
                <w:lang w:val="en-US"/>
              </w:rPr>
            </w:pPr>
            <w:r>
              <w:rPr>
                <w:rFonts w:ascii="Times New Roman" w:hAnsi="Times New Roman"/>
                <w:snapToGrid w:val="0"/>
                <w:color w:val="000000"/>
                <w:sz w:val="18"/>
                <w:lang w:val="en-US"/>
              </w:rPr>
              <w:t>+1,82</w:t>
            </w:r>
          </w:p>
        </w:tc>
        <w:tc>
          <w:tcPr>
            <w:tcW w:w="797" w:type="dxa"/>
            <w:tcBorders>
              <w:top w:val="dotted" w:sz="4" w:space="0" w:color="auto"/>
              <w:left w:val="dotted" w:sz="4" w:space="0" w:color="auto"/>
              <w:bottom w:val="dotted" w:sz="4" w:space="0" w:color="auto"/>
              <w:right w:val="threeDEmboss" w:sz="6" w:space="0" w:color="auto"/>
            </w:tcBorders>
            <w:vAlign w:val="center"/>
          </w:tcPr>
          <w:p w:rsidR="001124F2" w:rsidRDefault="001124F2">
            <w:pPr>
              <w:jc w:val="right"/>
              <w:rPr>
                <w:rFonts w:ascii="Times New Roman" w:hAnsi="Times New Roman"/>
                <w:snapToGrid w:val="0"/>
                <w:color w:val="000000"/>
                <w:sz w:val="18"/>
                <w:lang w:val="en-US"/>
              </w:rPr>
            </w:pPr>
            <w:r>
              <w:rPr>
                <w:rFonts w:ascii="Times New Roman" w:hAnsi="Times New Roman"/>
                <w:snapToGrid w:val="0"/>
                <w:color w:val="000000"/>
                <w:sz w:val="18"/>
                <w:lang w:val="en-US"/>
              </w:rPr>
              <w:t>+11,34</w:t>
            </w:r>
          </w:p>
        </w:tc>
      </w:tr>
      <w:tr w:rsidR="001124F2">
        <w:trPr>
          <w:trHeight w:val="329"/>
        </w:trPr>
        <w:tc>
          <w:tcPr>
            <w:tcW w:w="3118" w:type="dxa"/>
            <w:tcBorders>
              <w:top w:val="dotted" w:sz="4" w:space="0" w:color="auto"/>
              <w:left w:val="threeDEmboss" w:sz="6" w:space="0" w:color="auto"/>
              <w:bottom w:val="threeDEmboss" w:sz="6" w:space="0" w:color="auto"/>
              <w:right w:val="dotted" w:sz="4" w:space="0" w:color="auto"/>
            </w:tcBorders>
            <w:vAlign w:val="center"/>
          </w:tcPr>
          <w:p w:rsidR="001124F2" w:rsidRDefault="001124F2">
            <w:pPr>
              <w:jc w:val="both"/>
              <w:rPr>
                <w:rFonts w:ascii="Times New Roman" w:hAnsi="Times New Roman"/>
                <w:snapToGrid w:val="0"/>
                <w:color w:val="000000"/>
              </w:rPr>
            </w:pPr>
            <w:r>
              <w:rPr>
                <w:rFonts w:ascii="Times New Roman" w:hAnsi="Times New Roman"/>
                <w:snapToGrid w:val="0"/>
                <w:color w:val="000000"/>
              </w:rPr>
              <w:t>ДОХОДЫ ЦЕЛЕВЫХ БЮДЖЕТНЫХ ФОНДОВ</w:t>
            </w:r>
          </w:p>
        </w:tc>
        <w:tc>
          <w:tcPr>
            <w:tcW w:w="851" w:type="dxa"/>
            <w:tcBorders>
              <w:top w:val="dotted" w:sz="4" w:space="0" w:color="auto"/>
              <w:left w:val="dotted" w:sz="4" w:space="0" w:color="auto"/>
              <w:bottom w:val="threeDEmboss" w:sz="6" w:space="0" w:color="auto"/>
              <w:right w:val="dotted" w:sz="4" w:space="0" w:color="auto"/>
            </w:tcBorders>
            <w:vAlign w:val="center"/>
          </w:tcPr>
          <w:p w:rsidR="001124F2" w:rsidRDefault="001124F2">
            <w:pPr>
              <w:jc w:val="right"/>
              <w:rPr>
                <w:rFonts w:ascii="Times New Roman" w:hAnsi="Times New Roman"/>
                <w:snapToGrid w:val="0"/>
                <w:color w:val="000000"/>
                <w:sz w:val="18"/>
              </w:rPr>
            </w:pPr>
            <w:r>
              <w:rPr>
                <w:rFonts w:ascii="Times New Roman" w:hAnsi="Times New Roman"/>
                <w:snapToGrid w:val="0"/>
                <w:color w:val="000000"/>
                <w:sz w:val="18"/>
              </w:rPr>
              <w:t>+0,75</w:t>
            </w:r>
          </w:p>
        </w:tc>
        <w:tc>
          <w:tcPr>
            <w:tcW w:w="680" w:type="dxa"/>
            <w:tcBorders>
              <w:top w:val="dotted" w:sz="4" w:space="0" w:color="auto"/>
              <w:left w:val="dotted" w:sz="4" w:space="0" w:color="auto"/>
              <w:bottom w:val="threeDEmboss" w:sz="6" w:space="0" w:color="auto"/>
              <w:right w:val="dotted" w:sz="4" w:space="0" w:color="auto"/>
            </w:tcBorders>
            <w:vAlign w:val="center"/>
          </w:tcPr>
          <w:p w:rsidR="001124F2" w:rsidRDefault="001124F2">
            <w:pPr>
              <w:jc w:val="right"/>
              <w:rPr>
                <w:rFonts w:ascii="Times New Roman" w:hAnsi="Times New Roman"/>
                <w:snapToGrid w:val="0"/>
                <w:color w:val="000000"/>
                <w:sz w:val="18"/>
              </w:rPr>
            </w:pPr>
            <w:r>
              <w:rPr>
                <w:rFonts w:ascii="Times New Roman" w:hAnsi="Times New Roman"/>
                <w:snapToGrid w:val="0"/>
                <w:color w:val="000000"/>
                <w:sz w:val="18"/>
              </w:rPr>
              <w:t>+1,91</w:t>
            </w:r>
          </w:p>
        </w:tc>
        <w:tc>
          <w:tcPr>
            <w:tcW w:w="738" w:type="dxa"/>
            <w:gridSpan w:val="2"/>
            <w:tcBorders>
              <w:top w:val="dotted" w:sz="4" w:space="0" w:color="auto"/>
              <w:left w:val="dotted" w:sz="4" w:space="0" w:color="auto"/>
              <w:bottom w:val="threeDEmboss" w:sz="6" w:space="0" w:color="auto"/>
              <w:right w:val="dotted" w:sz="4" w:space="0" w:color="auto"/>
            </w:tcBorders>
            <w:vAlign w:val="center"/>
          </w:tcPr>
          <w:p w:rsidR="001124F2" w:rsidRDefault="001124F2">
            <w:pPr>
              <w:jc w:val="right"/>
              <w:rPr>
                <w:rFonts w:ascii="Times New Roman" w:hAnsi="Times New Roman"/>
                <w:snapToGrid w:val="0"/>
                <w:color w:val="000000"/>
                <w:sz w:val="18"/>
              </w:rPr>
            </w:pPr>
            <w:r>
              <w:rPr>
                <w:rFonts w:ascii="Times New Roman" w:hAnsi="Times New Roman"/>
                <w:snapToGrid w:val="0"/>
                <w:color w:val="000000"/>
                <w:sz w:val="18"/>
              </w:rPr>
              <w:t>-0,85</w:t>
            </w:r>
          </w:p>
        </w:tc>
        <w:tc>
          <w:tcPr>
            <w:tcW w:w="680" w:type="dxa"/>
            <w:tcBorders>
              <w:top w:val="dotted" w:sz="4" w:space="0" w:color="auto"/>
              <w:left w:val="dotted" w:sz="4" w:space="0" w:color="auto"/>
              <w:bottom w:val="threeDEmboss" w:sz="6" w:space="0" w:color="auto"/>
              <w:right w:val="dotted" w:sz="4" w:space="0" w:color="auto"/>
            </w:tcBorders>
            <w:vAlign w:val="center"/>
          </w:tcPr>
          <w:p w:rsidR="001124F2" w:rsidRDefault="001124F2">
            <w:pPr>
              <w:jc w:val="right"/>
              <w:rPr>
                <w:rFonts w:ascii="Times New Roman" w:hAnsi="Times New Roman"/>
                <w:snapToGrid w:val="0"/>
                <w:color w:val="000000"/>
                <w:sz w:val="18"/>
              </w:rPr>
            </w:pPr>
            <w:r>
              <w:rPr>
                <w:rFonts w:ascii="Times New Roman" w:hAnsi="Times New Roman"/>
                <w:snapToGrid w:val="0"/>
                <w:color w:val="000000"/>
                <w:sz w:val="18"/>
              </w:rPr>
              <w:t>-34,6</w:t>
            </w:r>
          </w:p>
        </w:tc>
        <w:tc>
          <w:tcPr>
            <w:tcW w:w="680" w:type="dxa"/>
            <w:gridSpan w:val="2"/>
            <w:tcBorders>
              <w:top w:val="dotted" w:sz="4" w:space="0" w:color="auto"/>
              <w:left w:val="dotted" w:sz="4" w:space="0" w:color="auto"/>
              <w:bottom w:val="threeDEmboss" w:sz="6" w:space="0" w:color="auto"/>
              <w:right w:val="dotted" w:sz="4" w:space="0" w:color="auto"/>
            </w:tcBorders>
            <w:vAlign w:val="center"/>
          </w:tcPr>
          <w:p w:rsidR="001124F2" w:rsidRDefault="001124F2">
            <w:pPr>
              <w:jc w:val="right"/>
              <w:rPr>
                <w:rFonts w:ascii="Times New Roman" w:hAnsi="Times New Roman"/>
                <w:snapToGrid w:val="0"/>
                <w:color w:val="000000"/>
                <w:sz w:val="18"/>
              </w:rPr>
            </w:pPr>
            <w:r>
              <w:rPr>
                <w:rFonts w:ascii="Times New Roman" w:hAnsi="Times New Roman"/>
                <w:snapToGrid w:val="0"/>
                <w:color w:val="000000"/>
                <w:sz w:val="18"/>
              </w:rPr>
              <w:t>-0,99</w:t>
            </w:r>
          </w:p>
        </w:tc>
        <w:tc>
          <w:tcPr>
            <w:tcW w:w="680" w:type="dxa"/>
            <w:tcBorders>
              <w:top w:val="dotted" w:sz="4" w:space="0" w:color="auto"/>
              <w:left w:val="dotted" w:sz="4" w:space="0" w:color="auto"/>
              <w:bottom w:val="threeDEmboss" w:sz="6" w:space="0" w:color="auto"/>
              <w:right w:val="dotted" w:sz="4" w:space="0" w:color="auto"/>
            </w:tcBorders>
            <w:vAlign w:val="center"/>
          </w:tcPr>
          <w:p w:rsidR="001124F2" w:rsidRDefault="001124F2">
            <w:pPr>
              <w:jc w:val="right"/>
              <w:rPr>
                <w:rFonts w:ascii="Times New Roman" w:hAnsi="Times New Roman"/>
                <w:snapToGrid w:val="0"/>
                <w:color w:val="000000"/>
                <w:sz w:val="18"/>
              </w:rPr>
            </w:pPr>
            <w:r>
              <w:rPr>
                <w:rFonts w:ascii="Times New Roman" w:hAnsi="Times New Roman"/>
                <w:snapToGrid w:val="0"/>
                <w:color w:val="000000"/>
                <w:sz w:val="18"/>
              </w:rPr>
              <w:t>-11,6</w:t>
            </w:r>
          </w:p>
        </w:tc>
        <w:tc>
          <w:tcPr>
            <w:tcW w:w="680" w:type="dxa"/>
            <w:gridSpan w:val="2"/>
            <w:tcBorders>
              <w:top w:val="dotted" w:sz="4" w:space="0" w:color="auto"/>
              <w:left w:val="dotted" w:sz="4" w:space="0" w:color="auto"/>
              <w:bottom w:val="threeDEmboss" w:sz="6" w:space="0" w:color="auto"/>
              <w:right w:val="dotted" w:sz="4" w:space="0" w:color="auto"/>
            </w:tcBorders>
            <w:vAlign w:val="center"/>
          </w:tcPr>
          <w:p w:rsidR="001124F2" w:rsidRDefault="001124F2">
            <w:pPr>
              <w:jc w:val="right"/>
              <w:rPr>
                <w:rFonts w:ascii="Times New Roman" w:hAnsi="Times New Roman"/>
                <w:snapToGrid w:val="0"/>
                <w:color w:val="000000"/>
                <w:sz w:val="18"/>
              </w:rPr>
            </w:pPr>
            <w:r>
              <w:rPr>
                <w:rFonts w:ascii="Times New Roman" w:hAnsi="Times New Roman"/>
                <w:snapToGrid w:val="0"/>
                <w:color w:val="000000"/>
                <w:sz w:val="18"/>
              </w:rPr>
              <w:t>0,18</w:t>
            </w:r>
          </w:p>
        </w:tc>
        <w:tc>
          <w:tcPr>
            <w:tcW w:w="598" w:type="dxa"/>
            <w:tcBorders>
              <w:top w:val="dotted" w:sz="4" w:space="0" w:color="auto"/>
              <w:left w:val="dotted" w:sz="4" w:space="0" w:color="auto"/>
              <w:bottom w:val="threeDEmboss" w:sz="6" w:space="0" w:color="auto"/>
              <w:right w:val="dotted" w:sz="4" w:space="0" w:color="auto"/>
            </w:tcBorders>
            <w:vAlign w:val="center"/>
          </w:tcPr>
          <w:p w:rsidR="001124F2" w:rsidRDefault="001124F2">
            <w:pPr>
              <w:jc w:val="right"/>
              <w:rPr>
                <w:rFonts w:ascii="Times New Roman" w:hAnsi="Times New Roman"/>
                <w:snapToGrid w:val="0"/>
                <w:color w:val="000000"/>
                <w:sz w:val="18"/>
                <w:lang w:val="en-US"/>
              </w:rPr>
            </w:pPr>
            <w:r>
              <w:rPr>
                <w:rFonts w:ascii="Times New Roman" w:hAnsi="Times New Roman"/>
                <w:snapToGrid w:val="0"/>
                <w:color w:val="000000"/>
                <w:sz w:val="18"/>
                <w:lang w:val="en-US"/>
              </w:rPr>
              <w:t>1,3</w:t>
            </w:r>
          </w:p>
        </w:tc>
        <w:tc>
          <w:tcPr>
            <w:tcW w:w="762" w:type="dxa"/>
            <w:tcBorders>
              <w:top w:val="dotted" w:sz="4" w:space="0" w:color="auto"/>
              <w:left w:val="dotted" w:sz="4" w:space="0" w:color="auto"/>
              <w:bottom w:val="threeDEmboss" w:sz="6" w:space="0" w:color="auto"/>
              <w:right w:val="dotted" w:sz="4" w:space="0" w:color="auto"/>
            </w:tcBorders>
            <w:vAlign w:val="center"/>
          </w:tcPr>
          <w:p w:rsidR="001124F2" w:rsidRDefault="001124F2">
            <w:pPr>
              <w:jc w:val="right"/>
              <w:rPr>
                <w:rFonts w:ascii="Times New Roman" w:hAnsi="Times New Roman"/>
                <w:snapToGrid w:val="0"/>
                <w:color w:val="000000"/>
                <w:sz w:val="18"/>
                <w:lang w:val="en-US"/>
              </w:rPr>
            </w:pPr>
            <w:r>
              <w:rPr>
                <w:rFonts w:ascii="Times New Roman" w:hAnsi="Times New Roman"/>
                <w:snapToGrid w:val="0"/>
                <w:color w:val="000000"/>
                <w:sz w:val="18"/>
                <w:lang w:val="en-US"/>
              </w:rPr>
              <w:t>-1,65</w:t>
            </w:r>
          </w:p>
        </w:tc>
        <w:tc>
          <w:tcPr>
            <w:tcW w:w="797" w:type="dxa"/>
            <w:tcBorders>
              <w:top w:val="dotted" w:sz="4" w:space="0" w:color="auto"/>
              <w:left w:val="dotted" w:sz="4" w:space="0" w:color="auto"/>
              <w:bottom w:val="threeDEmboss" w:sz="6" w:space="0" w:color="auto"/>
              <w:right w:val="threeDEmboss" w:sz="6" w:space="0" w:color="auto"/>
            </w:tcBorders>
            <w:vAlign w:val="center"/>
          </w:tcPr>
          <w:p w:rsidR="001124F2" w:rsidRDefault="001124F2">
            <w:pPr>
              <w:jc w:val="right"/>
              <w:rPr>
                <w:rFonts w:ascii="Times New Roman" w:hAnsi="Times New Roman"/>
                <w:snapToGrid w:val="0"/>
                <w:color w:val="000000"/>
                <w:sz w:val="18"/>
                <w:lang w:val="en-US"/>
              </w:rPr>
            </w:pPr>
            <w:r>
              <w:rPr>
                <w:rFonts w:ascii="Times New Roman" w:hAnsi="Times New Roman"/>
                <w:snapToGrid w:val="0"/>
                <w:color w:val="000000"/>
                <w:sz w:val="18"/>
                <w:lang w:val="en-US"/>
              </w:rPr>
              <w:t>-22,51</w:t>
            </w:r>
          </w:p>
        </w:tc>
      </w:tr>
    </w:tbl>
    <w:p w:rsidR="001124F2" w:rsidRDefault="001124F2">
      <w:pPr>
        <w:pStyle w:val="21"/>
        <w:rPr>
          <w:b w:val="0"/>
          <w:sz w:val="28"/>
        </w:rPr>
      </w:pPr>
      <w:r>
        <w:rPr>
          <w:b w:val="0"/>
          <w:sz w:val="28"/>
        </w:rPr>
        <w:t>Так, если в 1997–1998 годах завышение объема доходов привело к существенному недофинансированию расходов федерального бюджета и практически к дезорганизации бюджетного процесса, то занижение объема доходов федерального бюджета в 1999-2001 годах явилось причиной получения дополнительных доходов, не учитываемых в федеральных законах о федеральном бюджете.</w:t>
      </w:r>
    </w:p>
    <w:p w:rsidR="001124F2" w:rsidRDefault="001124F2">
      <w:pPr>
        <w:pStyle w:val="21"/>
        <w:rPr>
          <w:b w:val="0"/>
          <w:sz w:val="28"/>
          <w:lang w:val="en-US"/>
        </w:rPr>
      </w:pPr>
      <w:r>
        <w:rPr>
          <w:sz w:val="28"/>
        </w:rPr>
        <w:t>На достоверность параметров важнейших доходов федерального бюджета существенное влияние оказывает как неточность прогноза основных макроэкономических показателей, так и недостатки, связанные собственно с методами оценки доходной базы федерального бюджета</w:t>
      </w:r>
      <w:r>
        <w:rPr>
          <w:b w:val="0"/>
          <w:sz w:val="28"/>
        </w:rPr>
        <w:t xml:space="preserve">. </w:t>
      </w:r>
    </w:p>
    <w:p w:rsidR="001124F2" w:rsidRDefault="001124F2">
      <w:pPr>
        <w:pStyle w:val="21"/>
        <w:rPr>
          <w:b w:val="0"/>
          <w:sz w:val="28"/>
        </w:rPr>
      </w:pPr>
      <w:r>
        <w:rPr>
          <w:b w:val="0"/>
          <w:sz w:val="28"/>
        </w:rPr>
        <w:t xml:space="preserve">В целом при превышении объема ВВП в 2002 году только на 1% по сравнению с прогнозируемым, при сохранении в проекте бюджета уровня мобилизации доходов в федеральный бюджет (16,4% к ВВП), дополнительные доходы федерального бюджета могут составить 17,4 млрд. рублей. В этой связи могут быть уточнены представленные расчеты по налогу на прибыль и налогу на добавленную стоимость на товары, производимые на территории Российской Федерации, формирующие 52,1% всех доходов федерального бюджета на 2002 год, как вследствие неточности ожидаемой оценки объема ВВП на 2001 год, так и прогнозируемого объема ВВП на 2002 год. </w:t>
      </w:r>
    </w:p>
    <w:p w:rsidR="001124F2" w:rsidRDefault="001124F2">
      <w:pPr>
        <w:pStyle w:val="21"/>
        <w:rPr>
          <w:b w:val="0"/>
          <w:sz w:val="28"/>
        </w:rPr>
      </w:pPr>
    </w:p>
    <w:p w:rsidR="001124F2" w:rsidRDefault="001124F2">
      <w:pPr>
        <w:pStyle w:val="21"/>
        <w:tabs>
          <w:tab w:val="left" w:pos="142"/>
        </w:tabs>
        <w:rPr>
          <w:b w:val="0"/>
          <w:sz w:val="28"/>
        </w:rPr>
      </w:pPr>
      <w:r>
        <w:rPr>
          <w:b w:val="0"/>
          <w:sz w:val="28"/>
        </w:rPr>
        <w:t>Анализ доходов федерального бюджета на 2002 год по сравнению с утвержденным и ожидаемым исполнением федерального бюджета за 2001 год (в номинальном выражении и сопоставимых ценах) приведен в таблице №2.</w:t>
      </w:r>
    </w:p>
    <w:p w:rsidR="001124F2" w:rsidRDefault="001124F2">
      <w:pPr>
        <w:pStyle w:val="21"/>
        <w:tabs>
          <w:tab w:val="left" w:pos="142"/>
        </w:tabs>
        <w:rPr>
          <w:b w:val="0"/>
          <w:sz w:val="28"/>
        </w:rPr>
      </w:pPr>
      <w:r>
        <w:rPr>
          <w:b w:val="0"/>
          <w:sz w:val="28"/>
        </w:rPr>
        <w:br w:type="page"/>
      </w:r>
    </w:p>
    <w:p w:rsidR="001124F2" w:rsidRDefault="001124F2">
      <w:pPr>
        <w:jc w:val="right"/>
        <w:rPr>
          <w:rFonts w:ascii="Courier New" w:hAnsi="Courier New"/>
          <w:b/>
          <w:sz w:val="28"/>
        </w:rPr>
      </w:pPr>
      <w:r>
        <w:rPr>
          <w:rFonts w:ascii="Courier New" w:hAnsi="Courier New"/>
          <w:b/>
          <w:sz w:val="28"/>
        </w:rPr>
        <w:t>Таблица №2</w:t>
      </w:r>
    </w:p>
    <w:tbl>
      <w:tblPr>
        <w:tblW w:w="0" w:type="auto"/>
        <w:tblInd w:w="-6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31" w:type="dxa"/>
          <w:right w:w="31" w:type="dxa"/>
        </w:tblCellMar>
        <w:tblLook w:val="0000" w:firstRow="0" w:lastRow="0" w:firstColumn="0" w:lastColumn="0" w:noHBand="0" w:noVBand="0"/>
      </w:tblPr>
      <w:tblGrid>
        <w:gridCol w:w="2835"/>
        <w:gridCol w:w="714"/>
        <w:gridCol w:w="714"/>
        <w:gridCol w:w="714"/>
        <w:gridCol w:w="1"/>
        <w:gridCol w:w="713"/>
        <w:gridCol w:w="714"/>
        <w:gridCol w:w="714"/>
        <w:gridCol w:w="2"/>
        <w:gridCol w:w="712"/>
        <w:gridCol w:w="714"/>
        <w:gridCol w:w="714"/>
        <w:gridCol w:w="714"/>
        <w:gridCol w:w="714"/>
        <w:gridCol w:w="4"/>
      </w:tblGrid>
      <w:tr w:rsidR="001124F2">
        <w:trPr>
          <w:cantSplit/>
          <w:tblHeader/>
        </w:trPr>
        <w:tc>
          <w:tcPr>
            <w:tcW w:w="2835" w:type="dxa"/>
            <w:vMerge w:val="restart"/>
            <w:vAlign w:val="center"/>
          </w:tcPr>
          <w:p w:rsidR="001124F2" w:rsidRDefault="001124F2">
            <w:pPr>
              <w:jc w:val="center"/>
              <w:rPr>
                <w:rFonts w:ascii="Times New Roman" w:hAnsi="Times New Roman"/>
                <w:snapToGrid w:val="0"/>
                <w:color w:val="000000"/>
              </w:rPr>
            </w:pPr>
            <w:r>
              <w:rPr>
                <w:rFonts w:ascii="Times New Roman" w:hAnsi="Times New Roman"/>
                <w:snapToGrid w:val="0"/>
                <w:color w:val="000000"/>
              </w:rPr>
              <w:t>Наименование показателей</w:t>
            </w:r>
          </w:p>
        </w:tc>
        <w:tc>
          <w:tcPr>
            <w:tcW w:w="2143" w:type="dxa"/>
            <w:gridSpan w:val="4"/>
          </w:tcPr>
          <w:p w:rsidR="001124F2" w:rsidRDefault="001124F2">
            <w:pPr>
              <w:jc w:val="center"/>
              <w:rPr>
                <w:rFonts w:ascii="Times New Roman" w:hAnsi="Times New Roman"/>
                <w:snapToGrid w:val="0"/>
                <w:color w:val="000000"/>
              </w:rPr>
            </w:pPr>
            <w:r>
              <w:rPr>
                <w:rFonts w:ascii="Times New Roman" w:hAnsi="Times New Roman"/>
                <w:snapToGrid w:val="0"/>
                <w:color w:val="000000"/>
              </w:rPr>
              <w:t>Утверждено законом о бюджете на 2001 г.</w:t>
            </w:r>
          </w:p>
        </w:tc>
        <w:tc>
          <w:tcPr>
            <w:tcW w:w="2143" w:type="dxa"/>
            <w:gridSpan w:val="4"/>
          </w:tcPr>
          <w:p w:rsidR="001124F2" w:rsidRDefault="001124F2">
            <w:pPr>
              <w:jc w:val="center"/>
              <w:rPr>
                <w:rFonts w:ascii="Times New Roman" w:hAnsi="Times New Roman"/>
                <w:snapToGrid w:val="0"/>
                <w:color w:val="000000"/>
              </w:rPr>
            </w:pPr>
            <w:r>
              <w:rPr>
                <w:rFonts w:ascii="Times New Roman" w:hAnsi="Times New Roman"/>
                <w:snapToGrid w:val="0"/>
                <w:color w:val="000000"/>
              </w:rPr>
              <w:t>Ожидаемое поступление в 2001 г.</w:t>
            </w:r>
            <w:r>
              <w:rPr>
                <w:rStyle w:val="a8"/>
                <w:rFonts w:ascii="Times New Roman" w:hAnsi="Times New Roman"/>
                <w:snapToGrid w:val="0"/>
                <w:color w:val="000000"/>
              </w:rPr>
              <w:footnoteReference w:customMarkFollows="1" w:id="2"/>
              <w:t>*</w:t>
            </w:r>
          </w:p>
        </w:tc>
        <w:tc>
          <w:tcPr>
            <w:tcW w:w="3572" w:type="dxa"/>
            <w:gridSpan w:val="6"/>
          </w:tcPr>
          <w:p w:rsidR="001124F2" w:rsidRDefault="001124F2">
            <w:pPr>
              <w:jc w:val="center"/>
              <w:rPr>
                <w:rFonts w:ascii="Times New Roman" w:hAnsi="Times New Roman"/>
                <w:snapToGrid w:val="0"/>
                <w:color w:val="000000"/>
              </w:rPr>
            </w:pPr>
            <w:r>
              <w:rPr>
                <w:rFonts w:ascii="Times New Roman" w:hAnsi="Times New Roman"/>
                <w:snapToGrid w:val="0"/>
                <w:color w:val="000000"/>
              </w:rPr>
              <w:t>Планируемый бюджета на 2002 г.</w:t>
            </w:r>
          </w:p>
        </w:tc>
      </w:tr>
      <w:tr w:rsidR="001124F2">
        <w:trPr>
          <w:gridAfter w:val="1"/>
          <w:cantSplit/>
          <w:tblHeader/>
        </w:trPr>
        <w:tc>
          <w:tcPr>
            <w:tcW w:w="2835" w:type="dxa"/>
            <w:vMerge/>
          </w:tcPr>
          <w:p w:rsidR="001124F2" w:rsidRDefault="001124F2">
            <w:pPr>
              <w:rPr>
                <w:rFonts w:ascii="Times New Roman" w:hAnsi="Times New Roman"/>
                <w:snapToGrid w:val="0"/>
                <w:color w:val="000000"/>
              </w:rPr>
            </w:pPr>
          </w:p>
        </w:tc>
        <w:tc>
          <w:tcPr>
            <w:tcW w:w="714" w:type="dxa"/>
            <w:vMerge w:val="restart"/>
            <w:vAlign w:val="center"/>
          </w:tcPr>
          <w:p w:rsidR="001124F2" w:rsidRDefault="001124F2">
            <w:pPr>
              <w:rPr>
                <w:rFonts w:ascii="Times New Roman" w:hAnsi="Times New Roman"/>
                <w:snapToGrid w:val="0"/>
                <w:color w:val="000000"/>
              </w:rPr>
            </w:pPr>
            <w:r>
              <w:rPr>
                <w:rFonts w:ascii="Times New Roman" w:hAnsi="Times New Roman"/>
                <w:snapToGrid w:val="0"/>
                <w:color w:val="000000"/>
              </w:rPr>
              <w:t>млрд. руб.</w:t>
            </w:r>
          </w:p>
        </w:tc>
        <w:tc>
          <w:tcPr>
            <w:tcW w:w="714" w:type="dxa"/>
            <w:vMerge w:val="restart"/>
            <w:vAlign w:val="center"/>
          </w:tcPr>
          <w:p w:rsidR="001124F2" w:rsidRDefault="001124F2">
            <w:pPr>
              <w:rPr>
                <w:rFonts w:ascii="Times New Roman" w:hAnsi="Times New Roman"/>
                <w:snapToGrid w:val="0"/>
                <w:color w:val="000000"/>
              </w:rPr>
            </w:pPr>
            <w:r>
              <w:rPr>
                <w:rFonts w:ascii="Times New Roman" w:hAnsi="Times New Roman"/>
                <w:snapToGrid w:val="0"/>
                <w:color w:val="000000"/>
              </w:rPr>
              <w:t>в % к ВВП</w:t>
            </w:r>
          </w:p>
          <w:p w:rsidR="001124F2" w:rsidRDefault="001124F2">
            <w:pPr>
              <w:rPr>
                <w:rFonts w:ascii="Times New Roman" w:hAnsi="Times New Roman"/>
                <w:snapToGrid w:val="0"/>
                <w:color w:val="000000"/>
              </w:rPr>
            </w:pPr>
            <w:r>
              <w:rPr>
                <w:rFonts w:ascii="Times New Roman" w:hAnsi="Times New Roman"/>
                <w:snapToGrid w:val="0"/>
                <w:color w:val="000000"/>
              </w:rPr>
              <w:t>(7750)</w:t>
            </w:r>
          </w:p>
        </w:tc>
        <w:tc>
          <w:tcPr>
            <w:tcW w:w="714" w:type="dxa"/>
            <w:vMerge w:val="restart"/>
            <w:vAlign w:val="center"/>
          </w:tcPr>
          <w:p w:rsidR="001124F2" w:rsidRDefault="001124F2">
            <w:pPr>
              <w:rPr>
                <w:rFonts w:ascii="Times New Roman" w:hAnsi="Times New Roman"/>
                <w:snapToGrid w:val="0"/>
                <w:color w:val="000000"/>
              </w:rPr>
            </w:pPr>
            <w:r>
              <w:rPr>
                <w:rFonts w:ascii="Times New Roman" w:hAnsi="Times New Roman"/>
                <w:snapToGrid w:val="0"/>
                <w:color w:val="000000"/>
              </w:rPr>
              <w:t>струк-тура</w:t>
            </w:r>
          </w:p>
        </w:tc>
        <w:tc>
          <w:tcPr>
            <w:tcW w:w="714" w:type="dxa"/>
            <w:gridSpan w:val="2"/>
            <w:vMerge w:val="restart"/>
            <w:vAlign w:val="center"/>
          </w:tcPr>
          <w:p w:rsidR="001124F2" w:rsidRDefault="001124F2">
            <w:pPr>
              <w:rPr>
                <w:rFonts w:ascii="Times New Roman" w:hAnsi="Times New Roman"/>
                <w:snapToGrid w:val="0"/>
                <w:color w:val="000000"/>
              </w:rPr>
            </w:pPr>
            <w:r>
              <w:rPr>
                <w:rFonts w:ascii="Times New Roman" w:hAnsi="Times New Roman"/>
                <w:snapToGrid w:val="0"/>
                <w:color w:val="000000"/>
              </w:rPr>
              <w:t>млрд. руб.</w:t>
            </w:r>
          </w:p>
        </w:tc>
        <w:tc>
          <w:tcPr>
            <w:tcW w:w="714" w:type="dxa"/>
            <w:vMerge w:val="restart"/>
            <w:vAlign w:val="center"/>
          </w:tcPr>
          <w:p w:rsidR="001124F2" w:rsidRDefault="001124F2">
            <w:pPr>
              <w:rPr>
                <w:rFonts w:ascii="Times New Roman" w:hAnsi="Times New Roman"/>
                <w:snapToGrid w:val="0"/>
                <w:color w:val="000000"/>
              </w:rPr>
            </w:pPr>
            <w:r>
              <w:rPr>
                <w:rFonts w:ascii="Times New Roman" w:hAnsi="Times New Roman"/>
                <w:snapToGrid w:val="0"/>
                <w:color w:val="000000"/>
              </w:rPr>
              <w:t>в % к ВВП</w:t>
            </w:r>
          </w:p>
          <w:p w:rsidR="001124F2" w:rsidRDefault="001124F2">
            <w:pPr>
              <w:jc w:val="center"/>
              <w:rPr>
                <w:rFonts w:ascii="Times New Roman" w:hAnsi="Times New Roman"/>
                <w:snapToGrid w:val="0"/>
                <w:color w:val="000000"/>
              </w:rPr>
            </w:pPr>
            <w:r>
              <w:rPr>
                <w:rFonts w:ascii="Times New Roman" w:hAnsi="Times New Roman"/>
                <w:snapToGrid w:val="0"/>
                <w:color w:val="000000"/>
              </w:rPr>
              <w:t>(8850)</w:t>
            </w:r>
          </w:p>
        </w:tc>
        <w:tc>
          <w:tcPr>
            <w:tcW w:w="714" w:type="dxa"/>
            <w:vMerge w:val="restart"/>
            <w:vAlign w:val="center"/>
          </w:tcPr>
          <w:p w:rsidR="001124F2" w:rsidRDefault="001124F2">
            <w:pPr>
              <w:rPr>
                <w:rFonts w:ascii="Times New Roman" w:hAnsi="Times New Roman"/>
                <w:snapToGrid w:val="0"/>
                <w:color w:val="000000"/>
              </w:rPr>
            </w:pPr>
            <w:r>
              <w:rPr>
                <w:rFonts w:ascii="Times New Roman" w:hAnsi="Times New Roman"/>
                <w:snapToGrid w:val="0"/>
                <w:color w:val="000000"/>
              </w:rPr>
              <w:t>струк- тура</w:t>
            </w:r>
          </w:p>
        </w:tc>
        <w:tc>
          <w:tcPr>
            <w:tcW w:w="714" w:type="dxa"/>
            <w:gridSpan w:val="2"/>
            <w:vMerge w:val="restart"/>
            <w:vAlign w:val="center"/>
          </w:tcPr>
          <w:p w:rsidR="001124F2" w:rsidRDefault="001124F2">
            <w:pPr>
              <w:rPr>
                <w:rFonts w:ascii="Times New Roman" w:hAnsi="Times New Roman"/>
                <w:snapToGrid w:val="0"/>
                <w:color w:val="000000"/>
              </w:rPr>
            </w:pPr>
            <w:r>
              <w:rPr>
                <w:rFonts w:ascii="Times New Roman" w:hAnsi="Times New Roman"/>
                <w:snapToGrid w:val="0"/>
                <w:color w:val="000000"/>
              </w:rPr>
              <w:t>млрд. руб.</w:t>
            </w:r>
          </w:p>
        </w:tc>
        <w:tc>
          <w:tcPr>
            <w:tcW w:w="714" w:type="dxa"/>
            <w:vMerge w:val="restart"/>
            <w:vAlign w:val="center"/>
          </w:tcPr>
          <w:p w:rsidR="001124F2" w:rsidRDefault="001124F2">
            <w:pPr>
              <w:rPr>
                <w:rFonts w:ascii="Times New Roman" w:hAnsi="Times New Roman"/>
                <w:snapToGrid w:val="0"/>
                <w:color w:val="000000"/>
              </w:rPr>
            </w:pPr>
            <w:r>
              <w:rPr>
                <w:rFonts w:ascii="Times New Roman" w:hAnsi="Times New Roman"/>
                <w:snapToGrid w:val="0"/>
                <w:color w:val="000000"/>
              </w:rPr>
              <w:t>в % к ВВП</w:t>
            </w:r>
          </w:p>
          <w:p w:rsidR="001124F2" w:rsidRDefault="001124F2">
            <w:pPr>
              <w:rPr>
                <w:rFonts w:ascii="Times New Roman" w:hAnsi="Times New Roman"/>
                <w:snapToGrid w:val="0"/>
                <w:color w:val="000000"/>
              </w:rPr>
            </w:pPr>
            <w:r>
              <w:rPr>
                <w:rFonts w:ascii="Times New Roman" w:hAnsi="Times New Roman"/>
                <w:snapToGrid w:val="0"/>
                <w:color w:val="000000"/>
              </w:rPr>
              <w:t>(10600)</w:t>
            </w:r>
          </w:p>
        </w:tc>
        <w:tc>
          <w:tcPr>
            <w:tcW w:w="714" w:type="dxa"/>
            <w:vMerge w:val="restart"/>
            <w:vAlign w:val="center"/>
          </w:tcPr>
          <w:p w:rsidR="001124F2" w:rsidRDefault="001124F2">
            <w:pPr>
              <w:rPr>
                <w:rFonts w:ascii="Times New Roman" w:hAnsi="Times New Roman"/>
                <w:snapToGrid w:val="0"/>
                <w:color w:val="000000"/>
              </w:rPr>
            </w:pPr>
            <w:r>
              <w:rPr>
                <w:rFonts w:ascii="Times New Roman" w:hAnsi="Times New Roman"/>
                <w:snapToGrid w:val="0"/>
                <w:color w:val="000000"/>
              </w:rPr>
              <w:t>струк-тура</w:t>
            </w:r>
          </w:p>
        </w:tc>
        <w:tc>
          <w:tcPr>
            <w:tcW w:w="1428" w:type="dxa"/>
            <w:gridSpan w:val="2"/>
            <w:vAlign w:val="center"/>
          </w:tcPr>
          <w:p w:rsidR="001124F2" w:rsidRDefault="001124F2">
            <w:pPr>
              <w:jc w:val="center"/>
              <w:rPr>
                <w:rFonts w:ascii="Times New Roman" w:hAnsi="Times New Roman"/>
                <w:snapToGrid w:val="0"/>
                <w:color w:val="000000"/>
              </w:rPr>
            </w:pPr>
            <w:r>
              <w:rPr>
                <w:rFonts w:ascii="Times New Roman" w:hAnsi="Times New Roman"/>
                <w:snapToGrid w:val="0"/>
                <w:color w:val="000000"/>
              </w:rPr>
              <w:t>в % к закону</w:t>
            </w:r>
          </w:p>
        </w:tc>
      </w:tr>
      <w:tr w:rsidR="001124F2">
        <w:trPr>
          <w:gridAfter w:val="1"/>
          <w:cantSplit/>
          <w:tblHeader/>
        </w:trPr>
        <w:tc>
          <w:tcPr>
            <w:tcW w:w="2835" w:type="dxa"/>
            <w:vMerge/>
          </w:tcPr>
          <w:p w:rsidR="001124F2" w:rsidRDefault="001124F2">
            <w:pPr>
              <w:rPr>
                <w:rFonts w:ascii="Times New Roman" w:hAnsi="Times New Roman"/>
                <w:snapToGrid w:val="0"/>
                <w:color w:val="000000"/>
              </w:rPr>
            </w:pPr>
          </w:p>
        </w:tc>
        <w:tc>
          <w:tcPr>
            <w:tcW w:w="714" w:type="dxa"/>
            <w:vMerge/>
            <w:vAlign w:val="center"/>
          </w:tcPr>
          <w:p w:rsidR="001124F2" w:rsidRDefault="001124F2">
            <w:pPr>
              <w:rPr>
                <w:rFonts w:ascii="Times New Roman" w:hAnsi="Times New Roman"/>
                <w:snapToGrid w:val="0"/>
                <w:color w:val="000000"/>
              </w:rPr>
            </w:pPr>
          </w:p>
        </w:tc>
        <w:tc>
          <w:tcPr>
            <w:tcW w:w="714" w:type="dxa"/>
            <w:vMerge/>
            <w:vAlign w:val="center"/>
          </w:tcPr>
          <w:p w:rsidR="001124F2" w:rsidRDefault="001124F2">
            <w:pPr>
              <w:rPr>
                <w:rFonts w:ascii="Times New Roman" w:hAnsi="Times New Roman"/>
                <w:snapToGrid w:val="0"/>
                <w:color w:val="000000"/>
              </w:rPr>
            </w:pPr>
          </w:p>
        </w:tc>
        <w:tc>
          <w:tcPr>
            <w:tcW w:w="714" w:type="dxa"/>
            <w:vMerge/>
            <w:vAlign w:val="center"/>
          </w:tcPr>
          <w:p w:rsidR="001124F2" w:rsidRDefault="001124F2">
            <w:pPr>
              <w:rPr>
                <w:rFonts w:ascii="Times New Roman" w:hAnsi="Times New Roman"/>
                <w:snapToGrid w:val="0"/>
                <w:color w:val="000000"/>
              </w:rPr>
            </w:pPr>
          </w:p>
        </w:tc>
        <w:tc>
          <w:tcPr>
            <w:tcW w:w="714" w:type="dxa"/>
            <w:gridSpan w:val="2"/>
            <w:vMerge/>
            <w:vAlign w:val="center"/>
          </w:tcPr>
          <w:p w:rsidR="001124F2" w:rsidRDefault="001124F2">
            <w:pPr>
              <w:rPr>
                <w:rFonts w:ascii="Times New Roman" w:hAnsi="Times New Roman"/>
                <w:snapToGrid w:val="0"/>
                <w:color w:val="000000"/>
              </w:rPr>
            </w:pPr>
          </w:p>
        </w:tc>
        <w:tc>
          <w:tcPr>
            <w:tcW w:w="714" w:type="dxa"/>
            <w:vMerge/>
            <w:vAlign w:val="center"/>
          </w:tcPr>
          <w:p w:rsidR="001124F2" w:rsidRDefault="001124F2">
            <w:pPr>
              <w:jc w:val="center"/>
              <w:rPr>
                <w:rFonts w:ascii="Times New Roman" w:hAnsi="Times New Roman"/>
                <w:snapToGrid w:val="0"/>
                <w:color w:val="000000"/>
              </w:rPr>
            </w:pPr>
          </w:p>
        </w:tc>
        <w:tc>
          <w:tcPr>
            <w:tcW w:w="714" w:type="dxa"/>
            <w:vMerge/>
            <w:vAlign w:val="center"/>
          </w:tcPr>
          <w:p w:rsidR="001124F2" w:rsidRDefault="001124F2">
            <w:pPr>
              <w:rPr>
                <w:rFonts w:ascii="Times New Roman" w:hAnsi="Times New Roman"/>
                <w:snapToGrid w:val="0"/>
                <w:color w:val="000000"/>
              </w:rPr>
            </w:pPr>
          </w:p>
        </w:tc>
        <w:tc>
          <w:tcPr>
            <w:tcW w:w="714" w:type="dxa"/>
            <w:gridSpan w:val="2"/>
            <w:vMerge/>
            <w:vAlign w:val="center"/>
          </w:tcPr>
          <w:p w:rsidR="001124F2" w:rsidRDefault="001124F2">
            <w:pPr>
              <w:rPr>
                <w:rFonts w:ascii="Times New Roman" w:hAnsi="Times New Roman"/>
                <w:snapToGrid w:val="0"/>
                <w:color w:val="000000"/>
              </w:rPr>
            </w:pPr>
          </w:p>
        </w:tc>
        <w:tc>
          <w:tcPr>
            <w:tcW w:w="714" w:type="dxa"/>
            <w:vMerge/>
            <w:vAlign w:val="center"/>
          </w:tcPr>
          <w:p w:rsidR="001124F2" w:rsidRDefault="001124F2">
            <w:pPr>
              <w:rPr>
                <w:rFonts w:ascii="Times New Roman" w:hAnsi="Times New Roman"/>
                <w:snapToGrid w:val="0"/>
                <w:color w:val="000000"/>
              </w:rPr>
            </w:pPr>
          </w:p>
        </w:tc>
        <w:tc>
          <w:tcPr>
            <w:tcW w:w="714" w:type="dxa"/>
            <w:vMerge/>
            <w:vAlign w:val="center"/>
          </w:tcPr>
          <w:p w:rsidR="001124F2" w:rsidRDefault="001124F2">
            <w:pPr>
              <w:rPr>
                <w:rFonts w:ascii="Times New Roman" w:hAnsi="Times New Roman"/>
                <w:snapToGrid w:val="0"/>
                <w:color w:val="000000"/>
              </w:rPr>
            </w:pPr>
          </w:p>
        </w:tc>
        <w:tc>
          <w:tcPr>
            <w:tcW w:w="714" w:type="dxa"/>
            <w:vAlign w:val="center"/>
          </w:tcPr>
          <w:p w:rsidR="001124F2" w:rsidRDefault="001124F2">
            <w:pPr>
              <w:jc w:val="center"/>
              <w:rPr>
                <w:rFonts w:ascii="Times New Roman" w:hAnsi="Times New Roman"/>
                <w:snapToGrid w:val="0"/>
                <w:color w:val="000000"/>
              </w:rPr>
            </w:pPr>
            <w:r>
              <w:rPr>
                <w:rFonts w:ascii="Times New Roman" w:hAnsi="Times New Roman"/>
                <w:snapToGrid w:val="0"/>
                <w:color w:val="000000"/>
              </w:rPr>
              <w:t xml:space="preserve">темпы роста  </w:t>
            </w:r>
            <w:r>
              <w:rPr>
                <w:rFonts w:ascii="Times New Roman" w:hAnsi="Times New Roman"/>
                <w:snapToGrid w:val="0"/>
                <w:color w:val="000000"/>
                <w:sz w:val="18"/>
              </w:rPr>
              <w:t>(ном.)</w:t>
            </w:r>
          </w:p>
        </w:tc>
        <w:tc>
          <w:tcPr>
            <w:tcW w:w="714" w:type="dxa"/>
            <w:vAlign w:val="center"/>
          </w:tcPr>
          <w:p w:rsidR="001124F2" w:rsidRDefault="001124F2">
            <w:pPr>
              <w:rPr>
                <w:rFonts w:ascii="Times New Roman" w:hAnsi="Times New Roman"/>
                <w:snapToGrid w:val="0"/>
                <w:color w:val="000000"/>
              </w:rPr>
            </w:pPr>
            <w:r>
              <w:rPr>
                <w:rFonts w:ascii="Times New Roman" w:hAnsi="Times New Roman"/>
                <w:snapToGrid w:val="0"/>
                <w:color w:val="000000"/>
              </w:rPr>
              <w:t xml:space="preserve">темпы роста </w:t>
            </w:r>
            <w:r>
              <w:rPr>
                <w:rFonts w:ascii="Times New Roman" w:hAnsi="Times New Roman"/>
                <w:snapToGrid w:val="0"/>
                <w:color w:val="000000"/>
                <w:sz w:val="16"/>
              </w:rPr>
              <w:t>(реал.</w:t>
            </w:r>
            <w:r>
              <w:rPr>
                <w:rStyle w:val="a8"/>
                <w:rFonts w:ascii="Times New Roman" w:hAnsi="Times New Roman"/>
                <w:snapToGrid w:val="0"/>
                <w:color w:val="000000"/>
                <w:sz w:val="16"/>
              </w:rPr>
              <w:footnoteReference w:customMarkFollows="1" w:id="3"/>
              <w:t>**</w:t>
            </w:r>
            <w:r>
              <w:rPr>
                <w:rFonts w:ascii="Times New Roman" w:hAnsi="Times New Roman"/>
                <w:snapToGrid w:val="0"/>
                <w:color w:val="000000"/>
                <w:sz w:val="16"/>
              </w:rPr>
              <w:t>)</w:t>
            </w:r>
          </w:p>
        </w:tc>
      </w:tr>
      <w:tr w:rsidR="001124F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cantSplit/>
        </w:trPr>
        <w:tc>
          <w:tcPr>
            <w:tcW w:w="2835" w:type="dxa"/>
          </w:tcPr>
          <w:p w:rsidR="001124F2" w:rsidRDefault="001124F2">
            <w:pPr>
              <w:rPr>
                <w:rFonts w:ascii="Times New Roman" w:hAnsi="Times New Roman"/>
                <w:b/>
                <w:snapToGrid w:val="0"/>
                <w:color w:val="000000"/>
              </w:rPr>
            </w:pPr>
            <w:r>
              <w:rPr>
                <w:rFonts w:ascii="Times New Roman" w:hAnsi="Times New Roman"/>
                <w:b/>
                <w:snapToGrid w:val="0"/>
                <w:color w:val="000000"/>
              </w:rPr>
              <w:t>НАЛОГОВЫЕ ДОХОДЫ</w:t>
            </w:r>
          </w:p>
        </w:tc>
        <w:tc>
          <w:tcPr>
            <w:tcW w:w="714" w:type="dxa"/>
            <w:vAlign w:val="center"/>
          </w:tcPr>
          <w:p w:rsidR="001124F2" w:rsidRDefault="001124F2">
            <w:pPr>
              <w:jc w:val="right"/>
              <w:rPr>
                <w:rFonts w:ascii="Times New Roman" w:hAnsi="Times New Roman"/>
                <w:b/>
                <w:snapToGrid w:val="0"/>
                <w:color w:val="000000"/>
                <w:sz w:val="16"/>
              </w:rPr>
            </w:pPr>
            <w:r>
              <w:rPr>
                <w:rFonts w:ascii="Times New Roman" w:hAnsi="Times New Roman"/>
                <w:b/>
                <w:snapToGrid w:val="0"/>
                <w:color w:val="000000"/>
                <w:sz w:val="16"/>
              </w:rPr>
              <w:t>1 115,33</w:t>
            </w:r>
          </w:p>
        </w:tc>
        <w:tc>
          <w:tcPr>
            <w:tcW w:w="714" w:type="dxa"/>
            <w:vAlign w:val="center"/>
          </w:tcPr>
          <w:p w:rsidR="001124F2" w:rsidRDefault="001124F2">
            <w:pPr>
              <w:jc w:val="right"/>
              <w:rPr>
                <w:rFonts w:ascii="Times New Roman" w:hAnsi="Times New Roman"/>
                <w:b/>
                <w:snapToGrid w:val="0"/>
                <w:color w:val="000000"/>
                <w:sz w:val="16"/>
              </w:rPr>
            </w:pPr>
            <w:r>
              <w:rPr>
                <w:rFonts w:ascii="Times New Roman" w:hAnsi="Times New Roman"/>
                <w:b/>
                <w:snapToGrid w:val="0"/>
                <w:color w:val="000000"/>
                <w:sz w:val="16"/>
              </w:rPr>
              <w:t>14,39</w:t>
            </w:r>
          </w:p>
        </w:tc>
        <w:tc>
          <w:tcPr>
            <w:tcW w:w="714" w:type="dxa"/>
            <w:vAlign w:val="center"/>
          </w:tcPr>
          <w:p w:rsidR="001124F2" w:rsidRDefault="001124F2">
            <w:pPr>
              <w:jc w:val="right"/>
              <w:rPr>
                <w:rFonts w:ascii="Times New Roman" w:hAnsi="Times New Roman"/>
                <w:b/>
                <w:snapToGrid w:val="0"/>
                <w:color w:val="000000"/>
                <w:sz w:val="16"/>
              </w:rPr>
            </w:pPr>
            <w:r>
              <w:rPr>
                <w:rFonts w:ascii="Times New Roman" w:hAnsi="Times New Roman"/>
                <w:b/>
                <w:snapToGrid w:val="0"/>
                <w:color w:val="000000"/>
                <w:sz w:val="16"/>
              </w:rPr>
              <w:t>93,45</w:t>
            </w:r>
          </w:p>
        </w:tc>
        <w:tc>
          <w:tcPr>
            <w:tcW w:w="714" w:type="dxa"/>
            <w:gridSpan w:val="2"/>
            <w:vAlign w:val="center"/>
          </w:tcPr>
          <w:p w:rsidR="001124F2" w:rsidRDefault="001124F2">
            <w:pPr>
              <w:jc w:val="right"/>
              <w:rPr>
                <w:rFonts w:ascii="Times New Roman" w:hAnsi="Times New Roman"/>
                <w:b/>
                <w:snapToGrid w:val="0"/>
                <w:color w:val="000000"/>
                <w:sz w:val="16"/>
              </w:rPr>
            </w:pPr>
            <w:r>
              <w:rPr>
                <w:rFonts w:ascii="Times New Roman" w:hAnsi="Times New Roman"/>
                <w:b/>
                <w:snapToGrid w:val="0"/>
                <w:color w:val="000000"/>
                <w:sz w:val="16"/>
              </w:rPr>
              <w:t>1 382,62</w:t>
            </w:r>
          </w:p>
        </w:tc>
        <w:tc>
          <w:tcPr>
            <w:tcW w:w="714" w:type="dxa"/>
            <w:vAlign w:val="center"/>
          </w:tcPr>
          <w:p w:rsidR="001124F2" w:rsidRDefault="001124F2">
            <w:pPr>
              <w:jc w:val="right"/>
              <w:rPr>
                <w:rFonts w:ascii="Times New Roman" w:hAnsi="Times New Roman"/>
                <w:b/>
                <w:snapToGrid w:val="0"/>
                <w:color w:val="000000"/>
                <w:sz w:val="16"/>
              </w:rPr>
            </w:pPr>
            <w:r>
              <w:rPr>
                <w:rFonts w:ascii="Times New Roman" w:hAnsi="Times New Roman"/>
                <w:b/>
                <w:snapToGrid w:val="0"/>
                <w:color w:val="000000"/>
                <w:sz w:val="16"/>
              </w:rPr>
              <w:t>15,62</w:t>
            </w:r>
          </w:p>
        </w:tc>
        <w:tc>
          <w:tcPr>
            <w:tcW w:w="714" w:type="dxa"/>
            <w:vAlign w:val="center"/>
          </w:tcPr>
          <w:p w:rsidR="001124F2" w:rsidRDefault="001124F2">
            <w:pPr>
              <w:jc w:val="right"/>
              <w:rPr>
                <w:rFonts w:ascii="Times New Roman" w:hAnsi="Times New Roman"/>
                <w:b/>
                <w:snapToGrid w:val="0"/>
                <w:color w:val="000000"/>
                <w:sz w:val="16"/>
              </w:rPr>
            </w:pPr>
            <w:r>
              <w:rPr>
                <w:rFonts w:ascii="Times New Roman" w:hAnsi="Times New Roman"/>
                <w:b/>
                <w:snapToGrid w:val="0"/>
                <w:color w:val="000000"/>
                <w:sz w:val="16"/>
              </w:rPr>
              <w:t>94,30</w:t>
            </w:r>
          </w:p>
        </w:tc>
        <w:tc>
          <w:tcPr>
            <w:tcW w:w="714" w:type="dxa"/>
            <w:gridSpan w:val="2"/>
            <w:vAlign w:val="center"/>
          </w:tcPr>
          <w:p w:rsidR="001124F2" w:rsidRDefault="001124F2">
            <w:pPr>
              <w:jc w:val="right"/>
              <w:rPr>
                <w:rFonts w:ascii="Times New Roman" w:hAnsi="Times New Roman"/>
                <w:b/>
                <w:snapToGrid w:val="0"/>
                <w:color w:val="000000"/>
                <w:sz w:val="16"/>
              </w:rPr>
            </w:pPr>
            <w:r>
              <w:rPr>
                <w:rFonts w:ascii="Times New Roman" w:hAnsi="Times New Roman"/>
                <w:b/>
                <w:snapToGrid w:val="0"/>
                <w:color w:val="000000"/>
                <w:sz w:val="16"/>
              </w:rPr>
              <w:t>1 626,28</w:t>
            </w:r>
          </w:p>
        </w:tc>
        <w:tc>
          <w:tcPr>
            <w:tcW w:w="714" w:type="dxa"/>
            <w:vAlign w:val="center"/>
          </w:tcPr>
          <w:p w:rsidR="001124F2" w:rsidRDefault="001124F2">
            <w:pPr>
              <w:jc w:val="right"/>
              <w:rPr>
                <w:rFonts w:ascii="Times New Roman" w:hAnsi="Times New Roman"/>
                <w:b/>
                <w:snapToGrid w:val="0"/>
                <w:color w:val="000000"/>
                <w:sz w:val="16"/>
              </w:rPr>
            </w:pPr>
            <w:r>
              <w:rPr>
                <w:rFonts w:ascii="Times New Roman" w:hAnsi="Times New Roman"/>
                <w:b/>
                <w:snapToGrid w:val="0"/>
                <w:color w:val="000000"/>
                <w:sz w:val="16"/>
              </w:rPr>
              <w:t>15,34</w:t>
            </w:r>
          </w:p>
        </w:tc>
        <w:tc>
          <w:tcPr>
            <w:tcW w:w="714" w:type="dxa"/>
            <w:vAlign w:val="center"/>
          </w:tcPr>
          <w:p w:rsidR="001124F2" w:rsidRDefault="001124F2">
            <w:pPr>
              <w:jc w:val="right"/>
              <w:rPr>
                <w:rFonts w:ascii="Times New Roman" w:hAnsi="Times New Roman"/>
                <w:b/>
                <w:snapToGrid w:val="0"/>
                <w:color w:val="000000"/>
                <w:sz w:val="16"/>
              </w:rPr>
            </w:pPr>
            <w:r>
              <w:rPr>
                <w:rFonts w:ascii="Times New Roman" w:hAnsi="Times New Roman"/>
                <w:b/>
                <w:snapToGrid w:val="0"/>
                <w:color w:val="000000"/>
                <w:sz w:val="16"/>
              </w:rPr>
              <w:t>93,42</w:t>
            </w:r>
          </w:p>
        </w:tc>
        <w:tc>
          <w:tcPr>
            <w:tcW w:w="714" w:type="dxa"/>
            <w:vAlign w:val="center"/>
          </w:tcPr>
          <w:p w:rsidR="001124F2" w:rsidRDefault="001124F2">
            <w:pPr>
              <w:jc w:val="right"/>
              <w:rPr>
                <w:rFonts w:ascii="Times New Roman" w:hAnsi="Times New Roman"/>
                <w:b/>
                <w:snapToGrid w:val="0"/>
                <w:color w:val="000000"/>
                <w:sz w:val="16"/>
              </w:rPr>
            </w:pPr>
            <w:r>
              <w:rPr>
                <w:rFonts w:ascii="Times New Roman" w:hAnsi="Times New Roman"/>
                <w:b/>
                <w:snapToGrid w:val="0"/>
                <w:color w:val="000000"/>
                <w:sz w:val="16"/>
              </w:rPr>
              <w:t>145,81</w:t>
            </w:r>
          </w:p>
        </w:tc>
        <w:tc>
          <w:tcPr>
            <w:tcW w:w="714" w:type="dxa"/>
            <w:vAlign w:val="center"/>
          </w:tcPr>
          <w:p w:rsidR="001124F2" w:rsidRDefault="001124F2">
            <w:pPr>
              <w:jc w:val="right"/>
              <w:rPr>
                <w:rFonts w:ascii="Times New Roman" w:hAnsi="Times New Roman"/>
                <w:b/>
                <w:snapToGrid w:val="0"/>
                <w:color w:val="000000"/>
                <w:sz w:val="16"/>
              </w:rPr>
            </w:pPr>
            <w:r>
              <w:rPr>
                <w:rFonts w:ascii="Times New Roman" w:hAnsi="Times New Roman"/>
                <w:b/>
                <w:snapToGrid w:val="0"/>
                <w:color w:val="000000"/>
                <w:sz w:val="16"/>
              </w:rPr>
              <w:t>127,01</w:t>
            </w:r>
          </w:p>
        </w:tc>
      </w:tr>
      <w:tr w:rsidR="001124F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cantSplit/>
        </w:trPr>
        <w:tc>
          <w:tcPr>
            <w:tcW w:w="2835" w:type="dxa"/>
          </w:tcPr>
          <w:p w:rsidR="001124F2" w:rsidRDefault="001124F2">
            <w:pPr>
              <w:rPr>
                <w:rFonts w:ascii="Times New Roman" w:hAnsi="Times New Roman"/>
                <w:snapToGrid w:val="0"/>
                <w:color w:val="000000"/>
              </w:rPr>
            </w:pPr>
            <w:r>
              <w:rPr>
                <w:rFonts w:ascii="Times New Roman" w:hAnsi="Times New Roman"/>
                <w:snapToGrid w:val="0"/>
                <w:color w:val="000000"/>
              </w:rPr>
              <w:t>Налоги на прибыль (доход) предприятий и организаций</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172,65</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2,23</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14,47</w:t>
            </w:r>
          </w:p>
        </w:tc>
        <w:tc>
          <w:tcPr>
            <w:tcW w:w="714" w:type="dxa"/>
            <w:gridSpan w:val="2"/>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220,11</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2,49</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14,85</w:t>
            </w:r>
          </w:p>
        </w:tc>
        <w:tc>
          <w:tcPr>
            <w:tcW w:w="714" w:type="dxa"/>
            <w:gridSpan w:val="2"/>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191,43</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1,81</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11,00</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110,88</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96,59</w:t>
            </w:r>
          </w:p>
        </w:tc>
      </w:tr>
      <w:tr w:rsidR="001124F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cantSplit/>
        </w:trPr>
        <w:tc>
          <w:tcPr>
            <w:tcW w:w="2835" w:type="dxa"/>
          </w:tcPr>
          <w:p w:rsidR="001124F2" w:rsidRDefault="001124F2">
            <w:pPr>
              <w:rPr>
                <w:rFonts w:ascii="Times New Roman" w:hAnsi="Times New Roman"/>
                <w:snapToGrid w:val="0"/>
                <w:color w:val="000000"/>
              </w:rPr>
            </w:pPr>
            <w:r>
              <w:rPr>
                <w:rFonts w:ascii="Times New Roman" w:hAnsi="Times New Roman"/>
                <w:snapToGrid w:val="0"/>
                <w:color w:val="000000"/>
              </w:rPr>
              <w:t>Налог на добавленную стоимость</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516,44</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6,66</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43,27</w:t>
            </w:r>
          </w:p>
        </w:tc>
        <w:tc>
          <w:tcPr>
            <w:tcW w:w="714" w:type="dxa"/>
            <w:gridSpan w:val="2"/>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574,97</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6,50</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38,80</w:t>
            </w:r>
          </w:p>
        </w:tc>
        <w:tc>
          <w:tcPr>
            <w:tcW w:w="714" w:type="dxa"/>
            <w:gridSpan w:val="2"/>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712,42</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6,72</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40,92</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137,95</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120,17</w:t>
            </w:r>
          </w:p>
        </w:tc>
      </w:tr>
      <w:tr w:rsidR="001124F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cantSplit/>
        </w:trPr>
        <w:tc>
          <w:tcPr>
            <w:tcW w:w="2835" w:type="dxa"/>
          </w:tcPr>
          <w:p w:rsidR="001124F2" w:rsidRDefault="001124F2">
            <w:pPr>
              <w:jc w:val="both"/>
              <w:rPr>
                <w:rFonts w:ascii="Times New Roman" w:hAnsi="Times New Roman"/>
                <w:snapToGrid w:val="0"/>
                <w:color w:val="000000"/>
              </w:rPr>
            </w:pPr>
            <w:r>
              <w:rPr>
                <w:rFonts w:ascii="Times New Roman" w:hAnsi="Times New Roman"/>
                <w:snapToGrid w:val="0"/>
                <w:color w:val="000000"/>
              </w:rPr>
              <w:t>в том числе НДС по товарам, производимым на территории Российской Федерации</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381,78</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4,93</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31,99</w:t>
            </w:r>
          </w:p>
        </w:tc>
        <w:tc>
          <w:tcPr>
            <w:tcW w:w="714" w:type="dxa"/>
            <w:gridSpan w:val="2"/>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419,99</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4.75</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28,34</w:t>
            </w:r>
          </w:p>
        </w:tc>
        <w:tc>
          <w:tcPr>
            <w:tcW w:w="714" w:type="dxa"/>
            <w:gridSpan w:val="2"/>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516,90</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4,88</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29,69</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135,39</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117,94</w:t>
            </w:r>
          </w:p>
        </w:tc>
      </w:tr>
      <w:tr w:rsidR="001124F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cantSplit/>
        </w:trPr>
        <w:tc>
          <w:tcPr>
            <w:tcW w:w="2835" w:type="dxa"/>
          </w:tcPr>
          <w:p w:rsidR="001124F2" w:rsidRDefault="001124F2">
            <w:pPr>
              <w:jc w:val="both"/>
              <w:rPr>
                <w:rFonts w:ascii="Times New Roman" w:hAnsi="Times New Roman"/>
                <w:snapToGrid w:val="0"/>
                <w:color w:val="000000"/>
              </w:rPr>
            </w:pPr>
            <w:r>
              <w:rPr>
                <w:rFonts w:ascii="Times New Roman" w:hAnsi="Times New Roman"/>
                <w:snapToGrid w:val="0"/>
                <w:color w:val="000000"/>
              </w:rPr>
              <w:t>в том числе НДС на товары, ввозимые на территорию Российской Федерации</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134,66</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1,74</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11,28</w:t>
            </w:r>
          </w:p>
        </w:tc>
        <w:tc>
          <w:tcPr>
            <w:tcW w:w="714" w:type="dxa"/>
            <w:gridSpan w:val="2"/>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154,97</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1.75</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10,46</w:t>
            </w:r>
          </w:p>
        </w:tc>
        <w:tc>
          <w:tcPr>
            <w:tcW w:w="714" w:type="dxa"/>
            <w:gridSpan w:val="2"/>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195,52</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1,84</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11,23</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145,19</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126,48</w:t>
            </w:r>
          </w:p>
        </w:tc>
      </w:tr>
      <w:tr w:rsidR="001124F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cantSplit/>
        </w:trPr>
        <w:tc>
          <w:tcPr>
            <w:tcW w:w="2835" w:type="dxa"/>
          </w:tcPr>
          <w:p w:rsidR="001124F2" w:rsidRDefault="001124F2">
            <w:pPr>
              <w:rPr>
                <w:rFonts w:ascii="Times New Roman" w:hAnsi="Times New Roman"/>
                <w:snapToGrid w:val="0"/>
                <w:color w:val="000000"/>
              </w:rPr>
            </w:pPr>
            <w:r>
              <w:rPr>
                <w:rFonts w:ascii="Times New Roman" w:hAnsi="Times New Roman"/>
                <w:snapToGrid w:val="0"/>
                <w:color w:val="000000"/>
              </w:rPr>
              <w:t xml:space="preserve">Акцизы </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188,04</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2,43</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15,76</w:t>
            </w:r>
          </w:p>
        </w:tc>
        <w:tc>
          <w:tcPr>
            <w:tcW w:w="714" w:type="dxa"/>
            <w:gridSpan w:val="2"/>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205,01</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2,32</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13,83</w:t>
            </w:r>
          </w:p>
        </w:tc>
        <w:tc>
          <w:tcPr>
            <w:tcW w:w="714" w:type="dxa"/>
            <w:gridSpan w:val="2"/>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214,29</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2,02</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12,31</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113,96</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99,27</w:t>
            </w:r>
          </w:p>
        </w:tc>
      </w:tr>
      <w:tr w:rsidR="001124F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cantSplit/>
        </w:trPr>
        <w:tc>
          <w:tcPr>
            <w:tcW w:w="2835" w:type="dxa"/>
          </w:tcPr>
          <w:p w:rsidR="001124F2" w:rsidRDefault="001124F2">
            <w:pPr>
              <w:rPr>
                <w:rFonts w:ascii="Times New Roman" w:hAnsi="Times New Roman"/>
                <w:snapToGrid w:val="0"/>
                <w:color w:val="000000"/>
              </w:rPr>
            </w:pPr>
            <w:r>
              <w:rPr>
                <w:rFonts w:ascii="Times New Roman" w:hAnsi="Times New Roman"/>
                <w:snapToGrid w:val="0"/>
                <w:color w:val="000000"/>
              </w:rPr>
              <w:t>Платежи за пользование природными ресурсами</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37,18</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0,48</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3,12</w:t>
            </w:r>
          </w:p>
        </w:tc>
        <w:tc>
          <w:tcPr>
            <w:tcW w:w="714" w:type="dxa"/>
            <w:gridSpan w:val="2"/>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47,10</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0,53</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3,17</w:t>
            </w:r>
          </w:p>
        </w:tc>
        <w:tc>
          <w:tcPr>
            <w:tcW w:w="714" w:type="dxa"/>
            <w:gridSpan w:val="2"/>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179,85</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1,70</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10,33</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483,68</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421,33</w:t>
            </w:r>
          </w:p>
        </w:tc>
      </w:tr>
      <w:tr w:rsidR="001124F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cantSplit/>
        </w:trPr>
        <w:tc>
          <w:tcPr>
            <w:tcW w:w="2835" w:type="dxa"/>
          </w:tcPr>
          <w:p w:rsidR="001124F2" w:rsidRDefault="001124F2">
            <w:pPr>
              <w:rPr>
                <w:rFonts w:ascii="Times New Roman" w:hAnsi="Times New Roman"/>
                <w:snapToGrid w:val="0"/>
                <w:color w:val="000000"/>
              </w:rPr>
            </w:pPr>
            <w:r>
              <w:rPr>
                <w:rFonts w:ascii="Times New Roman" w:hAnsi="Times New Roman"/>
                <w:snapToGrid w:val="0"/>
                <w:color w:val="000000"/>
              </w:rPr>
              <w:t>Ввозные пошлины</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58,67</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0,76</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4,92</w:t>
            </w:r>
          </w:p>
        </w:tc>
        <w:tc>
          <w:tcPr>
            <w:tcW w:w="714" w:type="dxa"/>
            <w:gridSpan w:val="2"/>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96,19</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1,09</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6,55</w:t>
            </w:r>
          </w:p>
        </w:tc>
        <w:tc>
          <w:tcPr>
            <w:tcW w:w="714" w:type="dxa"/>
            <w:gridSpan w:val="2"/>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118,67</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1,12</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6,82</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202,25</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176,18</w:t>
            </w:r>
          </w:p>
        </w:tc>
      </w:tr>
      <w:tr w:rsidR="001124F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cantSplit/>
        </w:trPr>
        <w:tc>
          <w:tcPr>
            <w:tcW w:w="2835" w:type="dxa"/>
          </w:tcPr>
          <w:p w:rsidR="001124F2" w:rsidRDefault="001124F2">
            <w:pPr>
              <w:rPr>
                <w:rFonts w:ascii="Times New Roman" w:hAnsi="Times New Roman"/>
                <w:snapToGrid w:val="0"/>
                <w:color w:val="000000"/>
              </w:rPr>
            </w:pPr>
            <w:r>
              <w:rPr>
                <w:rFonts w:ascii="Times New Roman" w:hAnsi="Times New Roman"/>
                <w:snapToGrid w:val="0"/>
                <w:color w:val="000000"/>
              </w:rPr>
              <w:t>Вывозные пошлины</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131,95</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1,70</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11,06</w:t>
            </w:r>
          </w:p>
        </w:tc>
        <w:tc>
          <w:tcPr>
            <w:tcW w:w="714" w:type="dxa"/>
            <w:gridSpan w:val="2"/>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217,25</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2,45</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14,66</w:t>
            </w:r>
          </w:p>
        </w:tc>
        <w:tc>
          <w:tcPr>
            <w:tcW w:w="714" w:type="dxa"/>
            <w:gridSpan w:val="2"/>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197,20</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1,86</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11,33</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149,45</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130,18</w:t>
            </w:r>
          </w:p>
        </w:tc>
      </w:tr>
      <w:tr w:rsidR="001124F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cantSplit/>
        </w:trPr>
        <w:tc>
          <w:tcPr>
            <w:tcW w:w="2835" w:type="dxa"/>
          </w:tcPr>
          <w:p w:rsidR="001124F2" w:rsidRDefault="001124F2">
            <w:pPr>
              <w:rPr>
                <w:rFonts w:ascii="Times New Roman" w:hAnsi="Times New Roman"/>
                <w:b/>
                <w:snapToGrid w:val="0"/>
                <w:color w:val="000000"/>
              </w:rPr>
            </w:pPr>
            <w:r>
              <w:rPr>
                <w:rFonts w:ascii="Times New Roman" w:hAnsi="Times New Roman"/>
                <w:b/>
                <w:snapToGrid w:val="0"/>
                <w:color w:val="000000"/>
              </w:rPr>
              <w:t>НЕНАЛОГОВЫЕ ДОХОДЫ</w:t>
            </w:r>
          </w:p>
        </w:tc>
        <w:tc>
          <w:tcPr>
            <w:tcW w:w="714" w:type="dxa"/>
            <w:vAlign w:val="center"/>
          </w:tcPr>
          <w:p w:rsidR="001124F2" w:rsidRDefault="001124F2">
            <w:pPr>
              <w:jc w:val="right"/>
              <w:rPr>
                <w:rFonts w:ascii="Times New Roman" w:hAnsi="Times New Roman"/>
                <w:b/>
                <w:snapToGrid w:val="0"/>
                <w:color w:val="000000"/>
                <w:sz w:val="16"/>
              </w:rPr>
            </w:pPr>
            <w:r>
              <w:rPr>
                <w:rFonts w:ascii="Times New Roman" w:hAnsi="Times New Roman"/>
                <w:b/>
                <w:snapToGrid w:val="0"/>
                <w:color w:val="000000"/>
                <w:sz w:val="16"/>
              </w:rPr>
              <w:t>64,26</w:t>
            </w:r>
          </w:p>
        </w:tc>
        <w:tc>
          <w:tcPr>
            <w:tcW w:w="714" w:type="dxa"/>
            <w:vAlign w:val="center"/>
          </w:tcPr>
          <w:p w:rsidR="001124F2" w:rsidRDefault="001124F2">
            <w:pPr>
              <w:jc w:val="right"/>
              <w:rPr>
                <w:rFonts w:ascii="Times New Roman" w:hAnsi="Times New Roman"/>
                <w:b/>
                <w:snapToGrid w:val="0"/>
                <w:color w:val="000000"/>
                <w:sz w:val="16"/>
              </w:rPr>
            </w:pPr>
            <w:r>
              <w:rPr>
                <w:rFonts w:ascii="Times New Roman" w:hAnsi="Times New Roman"/>
                <w:b/>
                <w:snapToGrid w:val="0"/>
                <w:color w:val="000000"/>
                <w:sz w:val="16"/>
              </w:rPr>
              <w:t>0,83</w:t>
            </w:r>
          </w:p>
        </w:tc>
        <w:tc>
          <w:tcPr>
            <w:tcW w:w="714" w:type="dxa"/>
            <w:vAlign w:val="center"/>
          </w:tcPr>
          <w:p w:rsidR="001124F2" w:rsidRDefault="001124F2">
            <w:pPr>
              <w:jc w:val="right"/>
              <w:rPr>
                <w:rFonts w:ascii="Times New Roman" w:hAnsi="Times New Roman"/>
                <w:b/>
                <w:snapToGrid w:val="0"/>
                <w:color w:val="000000"/>
                <w:sz w:val="16"/>
              </w:rPr>
            </w:pPr>
            <w:r>
              <w:rPr>
                <w:rFonts w:ascii="Times New Roman" w:hAnsi="Times New Roman"/>
                <w:b/>
                <w:snapToGrid w:val="0"/>
                <w:color w:val="000000"/>
                <w:sz w:val="16"/>
              </w:rPr>
              <w:t>5,38</w:t>
            </w:r>
          </w:p>
        </w:tc>
        <w:tc>
          <w:tcPr>
            <w:tcW w:w="714" w:type="dxa"/>
            <w:gridSpan w:val="2"/>
            <w:vAlign w:val="center"/>
          </w:tcPr>
          <w:p w:rsidR="001124F2" w:rsidRDefault="001124F2">
            <w:pPr>
              <w:jc w:val="right"/>
              <w:rPr>
                <w:rFonts w:ascii="Times New Roman" w:hAnsi="Times New Roman"/>
                <w:b/>
                <w:snapToGrid w:val="0"/>
                <w:color w:val="000000"/>
                <w:sz w:val="16"/>
              </w:rPr>
            </w:pPr>
            <w:r>
              <w:rPr>
                <w:rFonts w:ascii="Times New Roman" w:hAnsi="Times New Roman"/>
                <w:b/>
                <w:snapToGrid w:val="0"/>
                <w:color w:val="000000"/>
                <w:sz w:val="16"/>
              </w:rPr>
              <w:t>85,33</w:t>
            </w:r>
          </w:p>
        </w:tc>
        <w:tc>
          <w:tcPr>
            <w:tcW w:w="714" w:type="dxa"/>
            <w:vAlign w:val="center"/>
          </w:tcPr>
          <w:p w:rsidR="001124F2" w:rsidRDefault="001124F2">
            <w:pPr>
              <w:jc w:val="right"/>
              <w:rPr>
                <w:rFonts w:ascii="Times New Roman" w:hAnsi="Times New Roman"/>
                <w:b/>
                <w:snapToGrid w:val="0"/>
                <w:color w:val="000000"/>
                <w:sz w:val="16"/>
              </w:rPr>
            </w:pPr>
            <w:r>
              <w:rPr>
                <w:rFonts w:ascii="Times New Roman" w:hAnsi="Times New Roman"/>
                <w:b/>
                <w:snapToGrid w:val="0"/>
                <w:color w:val="000000"/>
                <w:sz w:val="16"/>
              </w:rPr>
              <w:t>0,96</w:t>
            </w:r>
          </w:p>
        </w:tc>
        <w:tc>
          <w:tcPr>
            <w:tcW w:w="714" w:type="dxa"/>
            <w:vAlign w:val="center"/>
          </w:tcPr>
          <w:p w:rsidR="001124F2" w:rsidRDefault="001124F2">
            <w:pPr>
              <w:jc w:val="right"/>
              <w:rPr>
                <w:rFonts w:ascii="Times New Roman" w:hAnsi="Times New Roman"/>
                <w:b/>
                <w:snapToGrid w:val="0"/>
                <w:color w:val="000000"/>
                <w:sz w:val="16"/>
              </w:rPr>
            </w:pPr>
            <w:r>
              <w:rPr>
                <w:rFonts w:ascii="Times New Roman" w:hAnsi="Times New Roman"/>
                <w:b/>
                <w:snapToGrid w:val="0"/>
                <w:color w:val="000000"/>
                <w:sz w:val="16"/>
              </w:rPr>
              <w:t>5,75</w:t>
            </w:r>
          </w:p>
        </w:tc>
        <w:tc>
          <w:tcPr>
            <w:tcW w:w="714" w:type="dxa"/>
            <w:gridSpan w:val="2"/>
            <w:vAlign w:val="center"/>
          </w:tcPr>
          <w:p w:rsidR="001124F2" w:rsidRDefault="001124F2">
            <w:pPr>
              <w:jc w:val="right"/>
              <w:rPr>
                <w:rFonts w:ascii="Times New Roman" w:hAnsi="Times New Roman"/>
                <w:b/>
                <w:snapToGrid w:val="0"/>
                <w:color w:val="000000"/>
                <w:sz w:val="16"/>
              </w:rPr>
            </w:pPr>
            <w:r>
              <w:rPr>
                <w:rFonts w:ascii="Times New Roman" w:hAnsi="Times New Roman"/>
                <w:b/>
                <w:snapToGrid w:val="0"/>
                <w:color w:val="000000"/>
                <w:sz w:val="16"/>
              </w:rPr>
              <w:t>100,68</w:t>
            </w:r>
          </w:p>
        </w:tc>
        <w:tc>
          <w:tcPr>
            <w:tcW w:w="714" w:type="dxa"/>
            <w:vAlign w:val="center"/>
          </w:tcPr>
          <w:p w:rsidR="001124F2" w:rsidRDefault="001124F2">
            <w:pPr>
              <w:jc w:val="right"/>
              <w:rPr>
                <w:rFonts w:ascii="Times New Roman" w:hAnsi="Times New Roman"/>
                <w:b/>
                <w:snapToGrid w:val="0"/>
                <w:color w:val="000000"/>
                <w:sz w:val="16"/>
              </w:rPr>
            </w:pPr>
            <w:r>
              <w:rPr>
                <w:rFonts w:ascii="Times New Roman" w:hAnsi="Times New Roman"/>
                <w:b/>
                <w:snapToGrid w:val="0"/>
                <w:color w:val="000000"/>
                <w:sz w:val="16"/>
              </w:rPr>
              <w:t>0,95</w:t>
            </w:r>
          </w:p>
        </w:tc>
        <w:tc>
          <w:tcPr>
            <w:tcW w:w="714" w:type="dxa"/>
            <w:vAlign w:val="center"/>
          </w:tcPr>
          <w:p w:rsidR="001124F2" w:rsidRDefault="001124F2">
            <w:pPr>
              <w:jc w:val="right"/>
              <w:rPr>
                <w:rFonts w:ascii="Times New Roman" w:hAnsi="Times New Roman"/>
                <w:b/>
                <w:snapToGrid w:val="0"/>
                <w:color w:val="000000"/>
                <w:sz w:val="16"/>
              </w:rPr>
            </w:pPr>
            <w:r>
              <w:rPr>
                <w:rFonts w:ascii="Times New Roman" w:hAnsi="Times New Roman"/>
                <w:b/>
                <w:snapToGrid w:val="0"/>
                <w:color w:val="000000"/>
                <w:sz w:val="16"/>
              </w:rPr>
              <w:t>5,78</w:t>
            </w:r>
          </w:p>
        </w:tc>
        <w:tc>
          <w:tcPr>
            <w:tcW w:w="714" w:type="dxa"/>
            <w:vAlign w:val="center"/>
          </w:tcPr>
          <w:p w:rsidR="001124F2" w:rsidRDefault="001124F2">
            <w:pPr>
              <w:jc w:val="right"/>
              <w:rPr>
                <w:rFonts w:ascii="Times New Roman" w:hAnsi="Times New Roman"/>
                <w:b/>
                <w:snapToGrid w:val="0"/>
                <w:color w:val="000000"/>
                <w:sz w:val="16"/>
              </w:rPr>
            </w:pPr>
            <w:r>
              <w:rPr>
                <w:rFonts w:ascii="Times New Roman" w:hAnsi="Times New Roman"/>
                <w:b/>
                <w:snapToGrid w:val="0"/>
                <w:color w:val="000000"/>
                <w:sz w:val="16"/>
              </w:rPr>
              <w:t>156,68</w:t>
            </w:r>
          </w:p>
        </w:tc>
        <w:tc>
          <w:tcPr>
            <w:tcW w:w="714" w:type="dxa"/>
            <w:vAlign w:val="center"/>
          </w:tcPr>
          <w:p w:rsidR="001124F2" w:rsidRDefault="001124F2">
            <w:pPr>
              <w:jc w:val="right"/>
              <w:rPr>
                <w:rFonts w:ascii="Times New Roman" w:hAnsi="Times New Roman"/>
                <w:b/>
                <w:snapToGrid w:val="0"/>
                <w:color w:val="000000"/>
                <w:sz w:val="16"/>
              </w:rPr>
            </w:pPr>
            <w:r>
              <w:rPr>
                <w:rFonts w:ascii="Times New Roman" w:hAnsi="Times New Roman"/>
                <w:b/>
                <w:snapToGrid w:val="0"/>
                <w:color w:val="000000"/>
                <w:sz w:val="16"/>
              </w:rPr>
              <w:t>136,48</w:t>
            </w:r>
          </w:p>
        </w:tc>
      </w:tr>
      <w:tr w:rsidR="001124F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cantSplit/>
        </w:trPr>
        <w:tc>
          <w:tcPr>
            <w:tcW w:w="2835" w:type="dxa"/>
          </w:tcPr>
          <w:p w:rsidR="001124F2" w:rsidRDefault="001124F2">
            <w:pPr>
              <w:rPr>
                <w:rFonts w:ascii="Times New Roman" w:hAnsi="Times New Roman"/>
                <w:snapToGrid w:val="0"/>
                <w:color w:val="000000"/>
              </w:rPr>
            </w:pPr>
            <w:r>
              <w:rPr>
                <w:rFonts w:ascii="Times New Roman" w:hAnsi="Times New Roman"/>
                <w:snapToGrid w:val="0"/>
                <w:color w:val="000000"/>
              </w:rPr>
              <w:t>Дивиденды по акциям, принадлежащим государству</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2,00</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0,03</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0,17</w:t>
            </w:r>
          </w:p>
        </w:tc>
        <w:tc>
          <w:tcPr>
            <w:tcW w:w="714" w:type="dxa"/>
            <w:gridSpan w:val="2"/>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4,74</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0,05</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0,32</w:t>
            </w:r>
          </w:p>
        </w:tc>
        <w:tc>
          <w:tcPr>
            <w:tcW w:w="714" w:type="dxa"/>
            <w:gridSpan w:val="2"/>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4,90</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0,05</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0,28</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245,00</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213,41</w:t>
            </w:r>
          </w:p>
        </w:tc>
      </w:tr>
      <w:tr w:rsidR="001124F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cantSplit/>
        </w:trPr>
        <w:tc>
          <w:tcPr>
            <w:tcW w:w="2835" w:type="dxa"/>
          </w:tcPr>
          <w:p w:rsidR="001124F2" w:rsidRDefault="001124F2">
            <w:pPr>
              <w:rPr>
                <w:rFonts w:ascii="Times New Roman" w:hAnsi="Times New Roman"/>
                <w:snapToGrid w:val="0"/>
                <w:color w:val="000000"/>
              </w:rPr>
            </w:pPr>
            <w:r>
              <w:rPr>
                <w:rFonts w:ascii="Times New Roman" w:hAnsi="Times New Roman"/>
                <w:snapToGrid w:val="0"/>
                <w:color w:val="000000"/>
              </w:rPr>
              <w:t>Доходы от сдачи в аренду имущества, находящегося в государственной собственности</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5,61</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0,07</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0,47</w:t>
            </w:r>
          </w:p>
        </w:tc>
        <w:tc>
          <w:tcPr>
            <w:tcW w:w="714" w:type="dxa"/>
            <w:gridSpan w:val="2"/>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7,92</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0,09</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0,53</w:t>
            </w:r>
          </w:p>
        </w:tc>
        <w:tc>
          <w:tcPr>
            <w:tcW w:w="714" w:type="dxa"/>
            <w:gridSpan w:val="2"/>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8,39</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0,08</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0,48</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149,57</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130,29</w:t>
            </w:r>
          </w:p>
        </w:tc>
      </w:tr>
      <w:tr w:rsidR="001124F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cantSplit/>
        </w:trPr>
        <w:tc>
          <w:tcPr>
            <w:tcW w:w="2835" w:type="dxa"/>
          </w:tcPr>
          <w:p w:rsidR="001124F2" w:rsidRDefault="001124F2">
            <w:pPr>
              <w:rPr>
                <w:rFonts w:ascii="Times New Roman" w:hAnsi="Times New Roman"/>
                <w:snapToGrid w:val="0"/>
                <w:color w:val="000000"/>
              </w:rPr>
            </w:pPr>
            <w:r>
              <w:rPr>
                <w:rFonts w:ascii="Times New Roman" w:hAnsi="Times New Roman"/>
                <w:snapToGrid w:val="0"/>
                <w:color w:val="000000"/>
              </w:rPr>
              <w:t>Платежи от государственных и муниципальных организаций</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9,47</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0,12</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0,79</w:t>
            </w:r>
          </w:p>
        </w:tc>
        <w:tc>
          <w:tcPr>
            <w:tcW w:w="714" w:type="dxa"/>
            <w:gridSpan w:val="2"/>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13,21</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0,15</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0,89</w:t>
            </w:r>
          </w:p>
        </w:tc>
        <w:tc>
          <w:tcPr>
            <w:tcW w:w="714" w:type="dxa"/>
            <w:gridSpan w:val="2"/>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13,97</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0,13</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0,80</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147,55</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128,53</w:t>
            </w:r>
          </w:p>
        </w:tc>
      </w:tr>
      <w:tr w:rsidR="001124F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cantSplit/>
        </w:trPr>
        <w:tc>
          <w:tcPr>
            <w:tcW w:w="2835" w:type="dxa"/>
          </w:tcPr>
          <w:p w:rsidR="001124F2" w:rsidRDefault="001124F2">
            <w:pPr>
              <w:rPr>
                <w:rFonts w:ascii="Times New Roman" w:hAnsi="Times New Roman"/>
                <w:snapToGrid w:val="0"/>
                <w:color w:val="000000"/>
              </w:rPr>
            </w:pPr>
            <w:r>
              <w:rPr>
                <w:rFonts w:ascii="Times New Roman" w:hAnsi="Times New Roman"/>
                <w:snapToGrid w:val="0"/>
                <w:color w:val="000000"/>
              </w:rPr>
              <w:t>Плата за пользование водными биоресурсами</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5,79</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0,07</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0,48</w:t>
            </w:r>
          </w:p>
        </w:tc>
        <w:tc>
          <w:tcPr>
            <w:tcW w:w="714" w:type="dxa"/>
            <w:gridSpan w:val="2"/>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6,50</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0,07</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0,43</w:t>
            </w:r>
          </w:p>
        </w:tc>
        <w:tc>
          <w:tcPr>
            <w:tcW w:w="714" w:type="dxa"/>
            <w:gridSpan w:val="2"/>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7,00</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0,07</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0,40</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120,97</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105,37</w:t>
            </w:r>
          </w:p>
        </w:tc>
      </w:tr>
      <w:tr w:rsidR="001124F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cantSplit/>
        </w:trPr>
        <w:tc>
          <w:tcPr>
            <w:tcW w:w="2835" w:type="dxa"/>
          </w:tcPr>
          <w:p w:rsidR="001124F2" w:rsidRDefault="001124F2">
            <w:pPr>
              <w:rPr>
                <w:rFonts w:ascii="Times New Roman" w:hAnsi="Times New Roman"/>
                <w:snapToGrid w:val="0"/>
                <w:color w:val="000000"/>
              </w:rPr>
            </w:pPr>
            <w:r>
              <w:rPr>
                <w:rFonts w:ascii="Times New Roman" w:hAnsi="Times New Roman"/>
                <w:snapToGrid w:val="0"/>
                <w:color w:val="000000"/>
              </w:rPr>
              <w:t>Проценты по государственным кредитам</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13,52</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0,17</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1,13</w:t>
            </w:r>
          </w:p>
        </w:tc>
        <w:tc>
          <w:tcPr>
            <w:tcW w:w="714" w:type="dxa"/>
            <w:gridSpan w:val="2"/>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10,48</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0,12</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0,70</w:t>
            </w:r>
          </w:p>
        </w:tc>
        <w:tc>
          <w:tcPr>
            <w:tcW w:w="714" w:type="dxa"/>
            <w:gridSpan w:val="2"/>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13,68</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0,13</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0,79</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101,22</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88,17</w:t>
            </w:r>
          </w:p>
        </w:tc>
      </w:tr>
      <w:tr w:rsidR="001124F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cantSplit/>
        </w:trPr>
        <w:tc>
          <w:tcPr>
            <w:tcW w:w="2835" w:type="dxa"/>
          </w:tcPr>
          <w:p w:rsidR="001124F2" w:rsidRDefault="001124F2">
            <w:pPr>
              <w:rPr>
                <w:rFonts w:ascii="Times New Roman" w:hAnsi="Times New Roman"/>
                <w:snapToGrid w:val="0"/>
                <w:color w:val="000000"/>
              </w:rPr>
            </w:pPr>
            <w:r>
              <w:rPr>
                <w:rFonts w:ascii="Times New Roman" w:hAnsi="Times New Roman"/>
                <w:snapToGrid w:val="0"/>
                <w:color w:val="000000"/>
              </w:rPr>
              <w:t>Таможенные сборы</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17,98</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0,23</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1,51</w:t>
            </w:r>
          </w:p>
        </w:tc>
        <w:tc>
          <w:tcPr>
            <w:tcW w:w="714" w:type="dxa"/>
            <w:gridSpan w:val="2"/>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28,78</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0,33</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1,94</w:t>
            </w:r>
          </w:p>
        </w:tc>
        <w:tc>
          <w:tcPr>
            <w:tcW w:w="714" w:type="dxa"/>
            <w:gridSpan w:val="2"/>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34,23</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0,32</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1,97</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190,38</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165,83</w:t>
            </w:r>
          </w:p>
        </w:tc>
      </w:tr>
      <w:tr w:rsidR="001124F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cantSplit/>
        </w:trPr>
        <w:tc>
          <w:tcPr>
            <w:tcW w:w="2835" w:type="dxa"/>
          </w:tcPr>
          <w:p w:rsidR="001124F2" w:rsidRDefault="001124F2">
            <w:pPr>
              <w:rPr>
                <w:rFonts w:ascii="Times New Roman" w:hAnsi="Times New Roman"/>
                <w:snapToGrid w:val="0"/>
                <w:color w:val="000000"/>
              </w:rPr>
            </w:pPr>
            <w:r>
              <w:rPr>
                <w:rFonts w:ascii="Times New Roman" w:hAnsi="Times New Roman"/>
                <w:snapToGrid w:val="0"/>
                <w:color w:val="000000"/>
              </w:rPr>
              <w:t>ФОНД Минатома России</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13,89</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0,18</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1,16</w:t>
            </w:r>
          </w:p>
        </w:tc>
        <w:tc>
          <w:tcPr>
            <w:tcW w:w="714" w:type="dxa"/>
            <w:gridSpan w:val="2"/>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13,89</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0,16</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0,93</w:t>
            </w:r>
          </w:p>
        </w:tc>
        <w:tc>
          <w:tcPr>
            <w:tcW w:w="714" w:type="dxa"/>
            <w:gridSpan w:val="2"/>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13,89</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0,13</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0,80</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100,00</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87,11</w:t>
            </w:r>
          </w:p>
        </w:tc>
      </w:tr>
      <w:tr w:rsidR="001124F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cantSplit/>
        </w:trPr>
        <w:tc>
          <w:tcPr>
            <w:tcW w:w="2835" w:type="dxa"/>
          </w:tcPr>
          <w:p w:rsidR="001124F2" w:rsidRDefault="001124F2">
            <w:pPr>
              <w:rPr>
                <w:rFonts w:ascii="Times New Roman" w:hAnsi="Times New Roman"/>
                <w:b/>
                <w:snapToGrid w:val="0"/>
                <w:color w:val="000000"/>
              </w:rPr>
            </w:pPr>
            <w:r>
              <w:rPr>
                <w:rFonts w:ascii="Times New Roman" w:hAnsi="Times New Roman"/>
                <w:b/>
                <w:snapToGrid w:val="0"/>
                <w:color w:val="000000"/>
              </w:rPr>
              <w:t>ВСЕГО ДОХОДОВ</w:t>
            </w:r>
          </w:p>
        </w:tc>
        <w:tc>
          <w:tcPr>
            <w:tcW w:w="714" w:type="dxa"/>
            <w:vAlign w:val="center"/>
          </w:tcPr>
          <w:p w:rsidR="001124F2" w:rsidRDefault="001124F2">
            <w:pPr>
              <w:jc w:val="right"/>
              <w:rPr>
                <w:rFonts w:ascii="Times New Roman" w:hAnsi="Times New Roman"/>
                <w:b/>
                <w:snapToGrid w:val="0"/>
                <w:color w:val="000000"/>
                <w:sz w:val="16"/>
              </w:rPr>
            </w:pPr>
            <w:r>
              <w:rPr>
                <w:rFonts w:ascii="Times New Roman" w:hAnsi="Times New Roman"/>
                <w:b/>
                <w:snapToGrid w:val="0"/>
                <w:color w:val="000000"/>
                <w:sz w:val="16"/>
              </w:rPr>
              <w:t>1 193,48</w:t>
            </w:r>
          </w:p>
        </w:tc>
        <w:tc>
          <w:tcPr>
            <w:tcW w:w="714" w:type="dxa"/>
            <w:vAlign w:val="center"/>
          </w:tcPr>
          <w:p w:rsidR="001124F2" w:rsidRDefault="001124F2">
            <w:pPr>
              <w:jc w:val="right"/>
              <w:rPr>
                <w:rFonts w:ascii="Times New Roman" w:hAnsi="Times New Roman"/>
                <w:b/>
                <w:snapToGrid w:val="0"/>
                <w:color w:val="000000"/>
                <w:sz w:val="16"/>
              </w:rPr>
            </w:pPr>
            <w:r>
              <w:rPr>
                <w:rFonts w:ascii="Times New Roman" w:hAnsi="Times New Roman"/>
                <w:b/>
                <w:snapToGrid w:val="0"/>
                <w:color w:val="000000"/>
                <w:sz w:val="16"/>
              </w:rPr>
              <w:t>15,40</w:t>
            </w:r>
          </w:p>
        </w:tc>
        <w:tc>
          <w:tcPr>
            <w:tcW w:w="714" w:type="dxa"/>
            <w:vAlign w:val="center"/>
          </w:tcPr>
          <w:p w:rsidR="001124F2" w:rsidRDefault="001124F2">
            <w:pPr>
              <w:jc w:val="right"/>
              <w:rPr>
                <w:rFonts w:ascii="Times New Roman" w:hAnsi="Times New Roman"/>
                <w:b/>
                <w:snapToGrid w:val="0"/>
                <w:color w:val="000000"/>
                <w:sz w:val="16"/>
              </w:rPr>
            </w:pPr>
            <w:r>
              <w:rPr>
                <w:rFonts w:ascii="Times New Roman" w:hAnsi="Times New Roman"/>
                <w:b/>
                <w:snapToGrid w:val="0"/>
                <w:color w:val="000000"/>
                <w:sz w:val="16"/>
              </w:rPr>
              <w:t>100,00</w:t>
            </w:r>
          </w:p>
        </w:tc>
        <w:tc>
          <w:tcPr>
            <w:tcW w:w="714" w:type="dxa"/>
            <w:gridSpan w:val="2"/>
            <w:vAlign w:val="center"/>
          </w:tcPr>
          <w:p w:rsidR="001124F2" w:rsidRDefault="001124F2">
            <w:pPr>
              <w:jc w:val="right"/>
              <w:rPr>
                <w:rFonts w:ascii="Times New Roman" w:hAnsi="Times New Roman"/>
                <w:b/>
                <w:snapToGrid w:val="0"/>
                <w:color w:val="000000"/>
                <w:sz w:val="16"/>
              </w:rPr>
            </w:pPr>
            <w:r>
              <w:rPr>
                <w:rFonts w:ascii="Times New Roman" w:hAnsi="Times New Roman"/>
                <w:b/>
                <w:snapToGrid w:val="0"/>
                <w:color w:val="000000"/>
                <w:sz w:val="16"/>
              </w:rPr>
              <w:t>1 481,84</w:t>
            </w:r>
          </w:p>
        </w:tc>
        <w:tc>
          <w:tcPr>
            <w:tcW w:w="714" w:type="dxa"/>
            <w:vAlign w:val="center"/>
          </w:tcPr>
          <w:p w:rsidR="001124F2" w:rsidRDefault="001124F2">
            <w:pPr>
              <w:jc w:val="right"/>
              <w:rPr>
                <w:rFonts w:ascii="Times New Roman" w:hAnsi="Times New Roman"/>
                <w:b/>
                <w:snapToGrid w:val="0"/>
                <w:color w:val="000000"/>
                <w:sz w:val="16"/>
              </w:rPr>
            </w:pPr>
            <w:r>
              <w:rPr>
                <w:rFonts w:ascii="Times New Roman" w:hAnsi="Times New Roman"/>
                <w:b/>
                <w:snapToGrid w:val="0"/>
                <w:color w:val="000000"/>
                <w:sz w:val="16"/>
              </w:rPr>
              <w:t>16,74</w:t>
            </w:r>
          </w:p>
        </w:tc>
        <w:tc>
          <w:tcPr>
            <w:tcW w:w="714" w:type="dxa"/>
            <w:vAlign w:val="center"/>
          </w:tcPr>
          <w:p w:rsidR="001124F2" w:rsidRDefault="001124F2">
            <w:pPr>
              <w:jc w:val="right"/>
              <w:rPr>
                <w:rFonts w:ascii="Times New Roman" w:hAnsi="Times New Roman"/>
                <w:b/>
                <w:snapToGrid w:val="0"/>
                <w:color w:val="000000"/>
                <w:sz w:val="16"/>
              </w:rPr>
            </w:pPr>
            <w:r>
              <w:rPr>
                <w:rFonts w:ascii="Times New Roman" w:hAnsi="Times New Roman"/>
                <w:b/>
                <w:snapToGrid w:val="0"/>
                <w:color w:val="000000"/>
                <w:sz w:val="16"/>
              </w:rPr>
              <w:t>100,00</w:t>
            </w:r>
          </w:p>
        </w:tc>
        <w:tc>
          <w:tcPr>
            <w:tcW w:w="714" w:type="dxa"/>
            <w:gridSpan w:val="2"/>
            <w:vAlign w:val="center"/>
          </w:tcPr>
          <w:p w:rsidR="001124F2" w:rsidRDefault="001124F2">
            <w:pPr>
              <w:jc w:val="right"/>
              <w:rPr>
                <w:rFonts w:ascii="Times New Roman" w:hAnsi="Times New Roman"/>
                <w:b/>
                <w:snapToGrid w:val="0"/>
                <w:color w:val="000000"/>
                <w:sz w:val="16"/>
              </w:rPr>
            </w:pPr>
            <w:r>
              <w:rPr>
                <w:rFonts w:ascii="Times New Roman" w:hAnsi="Times New Roman"/>
                <w:b/>
                <w:snapToGrid w:val="0"/>
                <w:color w:val="000000"/>
                <w:sz w:val="16"/>
              </w:rPr>
              <w:t>1 740,86</w:t>
            </w:r>
          </w:p>
        </w:tc>
        <w:tc>
          <w:tcPr>
            <w:tcW w:w="714" w:type="dxa"/>
            <w:vAlign w:val="center"/>
          </w:tcPr>
          <w:p w:rsidR="001124F2" w:rsidRDefault="001124F2">
            <w:pPr>
              <w:jc w:val="right"/>
              <w:rPr>
                <w:rFonts w:ascii="Times New Roman" w:hAnsi="Times New Roman"/>
                <w:b/>
                <w:snapToGrid w:val="0"/>
                <w:color w:val="000000"/>
                <w:sz w:val="16"/>
              </w:rPr>
            </w:pPr>
            <w:r>
              <w:rPr>
                <w:rFonts w:ascii="Times New Roman" w:hAnsi="Times New Roman"/>
                <w:b/>
                <w:snapToGrid w:val="0"/>
                <w:color w:val="000000"/>
                <w:sz w:val="16"/>
              </w:rPr>
              <w:t>16,42</w:t>
            </w:r>
          </w:p>
        </w:tc>
        <w:tc>
          <w:tcPr>
            <w:tcW w:w="714" w:type="dxa"/>
            <w:vAlign w:val="center"/>
          </w:tcPr>
          <w:p w:rsidR="001124F2" w:rsidRDefault="001124F2">
            <w:pPr>
              <w:jc w:val="right"/>
              <w:rPr>
                <w:rFonts w:ascii="Times New Roman" w:hAnsi="Times New Roman"/>
                <w:b/>
                <w:snapToGrid w:val="0"/>
                <w:color w:val="000000"/>
                <w:sz w:val="16"/>
              </w:rPr>
            </w:pPr>
            <w:r>
              <w:rPr>
                <w:rFonts w:ascii="Times New Roman" w:hAnsi="Times New Roman"/>
                <w:b/>
                <w:snapToGrid w:val="0"/>
                <w:color w:val="000000"/>
                <w:sz w:val="16"/>
              </w:rPr>
              <w:t>100,00</w:t>
            </w:r>
          </w:p>
        </w:tc>
        <w:tc>
          <w:tcPr>
            <w:tcW w:w="714" w:type="dxa"/>
            <w:vAlign w:val="center"/>
          </w:tcPr>
          <w:p w:rsidR="001124F2" w:rsidRDefault="001124F2">
            <w:pPr>
              <w:jc w:val="right"/>
              <w:rPr>
                <w:rFonts w:ascii="Times New Roman" w:hAnsi="Times New Roman"/>
                <w:b/>
                <w:snapToGrid w:val="0"/>
                <w:color w:val="000000"/>
                <w:sz w:val="16"/>
              </w:rPr>
            </w:pPr>
            <w:r>
              <w:rPr>
                <w:rFonts w:ascii="Times New Roman" w:hAnsi="Times New Roman"/>
                <w:b/>
                <w:snapToGrid w:val="0"/>
                <w:color w:val="000000"/>
                <w:sz w:val="16"/>
              </w:rPr>
              <w:t>145,86</w:t>
            </w:r>
          </w:p>
        </w:tc>
        <w:tc>
          <w:tcPr>
            <w:tcW w:w="714" w:type="dxa"/>
            <w:vAlign w:val="center"/>
          </w:tcPr>
          <w:p w:rsidR="001124F2" w:rsidRDefault="001124F2">
            <w:pPr>
              <w:jc w:val="right"/>
              <w:rPr>
                <w:rFonts w:ascii="Times New Roman" w:hAnsi="Times New Roman"/>
                <w:b/>
                <w:snapToGrid w:val="0"/>
                <w:color w:val="000000"/>
                <w:sz w:val="16"/>
              </w:rPr>
            </w:pPr>
            <w:r>
              <w:rPr>
                <w:rFonts w:ascii="Times New Roman" w:hAnsi="Times New Roman"/>
                <w:b/>
                <w:snapToGrid w:val="0"/>
                <w:color w:val="000000"/>
                <w:sz w:val="16"/>
              </w:rPr>
              <w:t>127,06</w:t>
            </w:r>
          </w:p>
        </w:tc>
      </w:tr>
    </w:tbl>
    <w:p w:rsidR="001124F2" w:rsidRDefault="001124F2">
      <w:pPr>
        <w:pStyle w:val="ac"/>
        <w:ind w:firstLine="720"/>
        <w:rPr>
          <w:rFonts w:ascii="Courier New" w:hAnsi="Courier New"/>
        </w:rPr>
      </w:pPr>
    </w:p>
    <w:p w:rsidR="001124F2" w:rsidRDefault="001124F2">
      <w:pPr>
        <w:pStyle w:val="ac"/>
        <w:spacing w:line="360" w:lineRule="auto"/>
        <w:ind w:firstLine="720"/>
        <w:jc w:val="both"/>
        <w:rPr>
          <w:rFonts w:ascii="Courier New" w:hAnsi="Courier New"/>
          <w:sz w:val="28"/>
        </w:rPr>
      </w:pPr>
      <w:r>
        <w:rPr>
          <w:rFonts w:ascii="Courier New" w:hAnsi="Courier New"/>
          <w:sz w:val="28"/>
        </w:rPr>
        <w:t xml:space="preserve">Поступления в 2002 году в федеральный бюджет </w:t>
      </w:r>
      <w:r>
        <w:rPr>
          <w:rFonts w:ascii="Courier New" w:hAnsi="Courier New"/>
          <w:b/>
          <w:sz w:val="28"/>
        </w:rPr>
        <w:t>налога на прибыль (доход) организаций</w:t>
      </w:r>
      <w:r>
        <w:rPr>
          <w:rFonts w:ascii="Courier New" w:hAnsi="Courier New"/>
          <w:sz w:val="28"/>
        </w:rPr>
        <w:t xml:space="preserve"> предусматриваются в сумме 191,4 млрд. рублей, что ниже ожидаемой оценки поступлений данного налога в 2001 году на 28,7 млрд. рублей или на 13,1%. Сумма отмененных льгот по налогу на прибыль составит в 2001 году по оценке Минфина России 404,5 млрд. рублей. Однако в 2002 году адекватного этой сумме увеличения налогооблагаемой базы не прогнозируется. В расчетах по налогу на прибыль налогооблагаемая база уменьшена на 304,4 млрд. рублей в связи с изменениями, внесенными в соответствии с нормами главы 25 части второй Налогового кодекса Российской Федерации, в том числе за счет снятия ограничений по отнесению на затраты расходов по добровольному страхованию имущества и ответственности (74,5 млрд. рублей), включения в затраты расходов работодателей по страхованию своих работников по договорам добровольного долгосрочного страхования жизни, пенсионного страхования, добровольного личного страхования (25,8 млрд. рублей), расходов на содержание объектов жилищно-коммунальной и социально-культурной сферы (39,2 млрд. рублей), изменения порядка исчисления и отнесения на затраты амортизации (84 млрд. рублей), отнесения на финансовый результат убытков, полученных в предшествующем налоговом периоде (54,4 млрд. рублей) и некоторых других затрат.</w:t>
      </w:r>
    </w:p>
    <w:p w:rsidR="001124F2" w:rsidRDefault="001124F2">
      <w:pPr>
        <w:pStyle w:val="aa"/>
        <w:spacing w:line="360" w:lineRule="auto"/>
        <w:ind w:firstLine="720"/>
        <w:rPr>
          <w:rFonts w:ascii="Courier New" w:hAnsi="Courier New"/>
          <w:color w:val="auto"/>
        </w:rPr>
      </w:pPr>
      <w:r>
        <w:rPr>
          <w:rFonts w:ascii="Courier New" w:hAnsi="Courier New"/>
          <w:color w:val="auto"/>
        </w:rPr>
        <w:t>Указанное уменьшение налогооблагаемой базы по налогу на прибыль в размере 304,4 млрд. рублей представляется существенно завышенным и требует дополнительного обоснования Правительством Российской Федерации. В связи с тем, что у предприятий накоплен значительный объем кредиторской задолженности, которая на 1083,5 млрд. рублей превышает дебиторскую задолженность (по состоянию на 1 июля 2001 года), свободные остатки средств предприятий на счетах предприятий в первую очередь будут направляться на погашение этой задолженности, а не на цели добровольного страхования.</w:t>
      </w:r>
    </w:p>
    <w:p w:rsidR="001124F2" w:rsidRDefault="001124F2">
      <w:pPr>
        <w:pStyle w:val="aa"/>
        <w:spacing w:before="0" w:line="360" w:lineRule="auto"/>
        <w:ind w:left="68" w:firstLine="720"/>
        <w:rPr>
          <w:rFonts w:ascii="Courier New" w:hAnsi="Courier New"/>
        </w:rPr>
      </w:pPr>
      <w:r>
        <w:rPr>
          <w:rFonts w:ascii="Courier New" w:hAnsi="Courier New"/>
          <w:color w:val="auto"/>
        </w:rPr>
        <w:t xml:space="preserve">Федеральным законом "О федеральном бюджете на 2002 год" поступления </w:t>
      </w:r>
      <w:r>
        <w:rPr>
          <w:rFonts w:ascii="Courier New" w:hAnsi="Courier New"/>
          <w:b/>
          <w:color w:val="auto"/>
        </w:rPr>
        <w:t>налога на добавленную стоимость на товары, производимые на территории Российской Федерации</w:t>
      </w:r>
      <w:r>
        <w:rPr>
          <w:rFonts w:ascii="Courier New" w:hAnsi="Courier New"/>
          <w:color w:val="auto"/>
        </w:rPr>
        <w:t>, предусматриваются в сумме 516,9 млрд. рублей с ростом против ожидаемых поступлений</w:t>
      </w:r>
      <w:r>
        <w:rPr>
          <w:rFonts w:ascii="Courier New" w:hAnsi="Courier New"/>
          <w:color w:val="auto"/>
          <w:lang w:val="en-US"/>
        </w:rPr>
        <w:t xml:space="preserve"> </w:t>
      </w:r>
      <w:r>
        <w:rPr>
          <w:rFonts w:ascii="Courier New" w:hAnsi="Courier New"/>
          <w:color w:val="auto"/>
        </w:rPr>
        <w:t>в 2001 году на 96,9 млрд. рублей, или на 23,1 процента.</w:t>
      </w:r>
    </w:p>
    <w:p w:rsidR="001124F2" w:rsidRDefault="001124F2">
      <w:pPr>
        <w:pStyle w:val="aa"/>
        <w:spacing w:before="0" w:line="360" w:lineRule="auto"/>
        <w:ind w:left="68" w:firstLine="720"/>
        <w:rPr>
          <w:rFonts w:ascii="Courier New" w:hAnsi="Courier New"/>
          <w:color w:val="auto"/>
        </w:rPr>
      </w:pPr>
      <w:r>
        <w:rPr>
          <w:rFonts w:ascii="Courier New" w:hAnsi="Courier New"/>
          <w:color w:val="auto"/>
        </w:rPr>
        <w:t>Несмотря на принимаемые в последнее время Правительством Российской Федерации меры по повышению уровня собираемости налогов (в среднем 90,6% в проекте бюджета на 2002 год), собираемость налога на добавленную стоимость предусмотрена в размере 83,3% или на уровне, ожидаемом в 2001 году, при наличии значительной задолженности перед бюджетом на данному налогу (по расчету 270 млрд. рублей по состоянию на 1 июля 2001 года). Принятие мер по повышению собираемости налога на добавленную стоимость по сравнению с 2001 годом может дать существенные дополнительные поступления в доходную часть федерального бюджета.</w:t>
      </w:r>
    </w:p>
    <w:p w:rsidR="001124F2" w:rsidRDefault="001124F2">
      <w:pPr>
        <w:pStyle w:val="13"/>
        <w:spacing w:line="360" w:lineRule="auto"/>
        <w:rPr>
          <w:rFonts w:ascii="Courier New" w:hAnsi="Courier New"/>
        </w:rPr>
      </w:pPr>
      <w:r>
        <w:rPr>
          <w:rFonts w:ascii="Courier New" w:hAnsi="Courier New"/>
          <w:b/>
        </w:rPr>
        <w:t>Возмещение из федерального бюджета налога на добавленную стоимость</w:t>
      </w:r>
      <w:r>
        <w:rPr>
          <w:rFonts w:ascii="Courier New" w:hAnsi="Courier New"/>
        </w:rPr>
        <w:t xml:space="preserve"> организациям-экспортерам продукции в 2002 году предусматривается в сумме 225 млрд. рублей. При этом необходимо отметить, что на протяжении ряда лет темпы роста объемов возмещения данного налога превышают темпы роста объемов экспорта и налога на добавленную стоимость на товары, производимые на территории страны. При прогнозируемом в 2002 году по сравнению с 1999 годом росте экспорта, облагаемого налогом на добавленную стоимость, в 2 раза, увеличении поступлений налога на добавленную стоимость в 3 раза, объем возмещения налога организациям-экспортерам возрастает в 4,6 раза, а его доля в экспорте - с 3,1% в 1999 году до 7,4% в 2002 году при практически неизменной за эти годы структуре экспорта. Сумма возмещения в общем объеме поступлений налога увеличивается с 19,3% до 30,3 процента. </w:t>
      </w:r>
    </w:p>
    <w:p w:rsidR="001124F2" w:rsidRDefault="001124F2">
      <w:pPr>
        <w:pStyle w:val="aa"/>
        <w:spacing w:before="0" w:line="360" w:lineRule="auto"/>
        <w:ind w:firstLine="720"/>
        <w:rPr>
          <w:rFonts w:ascii="Courier New" w:hAnsi="Courier New"/>
          <w:color w:val="auto"/>
        </w:rPr>
      </w:pPr>
      <w:r>
        <w:rPr>
          <w:rFonts w:ascii="Courier New" w:hAnsi="Courier New"/>
          <w:color w:val="auto"/>
        </w:rPr>
        <w:t>В связи с этим Правительству Российской Федерации необходимо представить Государственной Думе Федерального Собрания Российской Федерации дополнительные материалы по объективному анализу ситуации с возмещением налога на добавленную стоимость организациям-экспортерам, а также информацию о намечаемых мерах по установлению эффективного контроля за правомерностью его возмещения, особенно в условиях расширения объема экспорта, облагаемого налогом. Решение о суммах возмещения налога на добавленную стоимость в федеральном бюджете на 2002 год целесообразно принять по результатам рассмотрения данных материалов.</w:t>
      </w:r>
    </w:p>
    <w:p w:rsidR="001124F2" w:rsidRDefault="001124F2">
      <w:pPr>
        <w:pStyle w:val="21"/>
        <w:tabs>
          <w:tab w:val="left" w:pos="142"/>
        </w:tabs>
        <w:rPr>
          <w:sz w:val="28"/>
        </w:rPr>
      </w:pPr>
      <w:r>
        <w:rPr>
          <w:sz w:val="28"/>
        </w:rPr>
        <w:t>Федеральным законом предусматривается рост размеров акцизов</w:t>
      </w:r>
      <w:r>
        <w:rPr>
          <w:b w:val="0"/>
          <w:sz w:val="28"/>
        </w:rPr>
        <w:t xml:space="preserve"> по подакцизным товарам (продукции) и отдельным видам минерального сырья, производимым на территории Российской Федерации,</w:t>
      </w:r>
      <w:r>
        <w:rPr>
          <w:sz w:val="28"/>
        </w:rPr>
        <w:t xml:space="preserve"> в номинальном выражении на 4,4% по сравнению с ожидаемыми показателями 2001 года. </w:t>
      </w:r>
    </w:p>
    <w:p w:rsidR="001124F2" w:rsidRDefault="001124F2">
      <w:pPr>
        <w:pStyle w:val="21"/>
        <w:tabs>
          <w:tab w:val="left" w:pos="142"/>
        </w:tabs>
        <w:rPr>
          <w:sz w:val="28"/>
        </w:rPr>
      </w:pPr>
      <w:r>
        <w:rPr>
          <w:b w:val="0"/>
          <w:sz w:val="28"/>
        </w:rPr>
        <w:t>Несмотря на предусмотренную индексацию ставок акцизов на 12% в соответствии с прогнозируемым ростом инфляции темпы прироста поступлений акциза на природный газ предусматриваются на уровне лишь 1,6%. В связи с этим необходимо дополнительно вопрос о повышении цены реализации природного газа, принятой при расчете акциза, и общего размеров поступлений акциза</w:t>
      </w:r>
      <w:r>
        <w:rPr>
          <w:sz w:val="28"/>
        </w:rPr>
        <w:t>.</w:t>
      </w:r>
    </w:p>
    <w:p w:rsidR="001124F2" w:rsidRDefault="001124F2">
      <w:pPr>
        <w:pStyle w:val="21"/>
        <w:tabs>
          <w:tab w:val="left" w:pos="142"/>
        </w:tabs>
        <w:rPr>
          <w:b w:val="0"/>
          <w:sz w:val="28"/>
        </w:rPr>
      </w:pPr>
      <w:r>
        <w:rPr>
          <w:b w:val="0"/>
          <w:sz w:val="28"/>
        </w:rPr>
        <w:t>Целесообразно также применять дифференцированный подход к индексации ставок акцизов по каждой группе подакцизных товаров (в частности, на алкогольную продукцию), стимулирующий увеличение налогооблагаемой базы за счет расширения легального производства.</w:t>
      </w:r>
    </w:p>
    <w:p w:rsidR="001124F2" w:rsidRDefault="001124F2">
      <w:pPr>
        <w:pStyle w:val="aa"/>
        <w:spacing w:line="360" w:lineRule="auto"/>
        <w:ind w:firstLine="720"/>
        <w:rPr>
          <w:rFonts w:ascii="Courier New" w:hAnsi="Courier New"/>
          <w:color w:val="auto"/>
        </w:rPr>
      </w:pPr>
      <w:r>
        <w:rPr>
          <w:rFonts w:ascii="Courier New" w:hAnsi="Courier New"/>
          <w:b/>
          <w:color w:val="auto"/>
        </w:rPr>
        <w:t>Платежи за пользование природными ресурсами</w:t>
      </w:r>
      <w:r>
        <w:rPr>
          <w:rFonts w:ascii="Courier New" w:hAnsi="Courier New"/>
          <w:color w:val="auto"/>
        </w:rPr>
        <w:t xml:space="preserve"> в федеральном законе «О федеральном бюджете на 2002 год» предусматриваются в размере 179,9 млрд. рублей, что в 4,8 раза больше соответствующих поступлений, утвержденных бюджетом 2001 года. Существенный рост данных платежей связан с введением в действие с 1 января 2002 года налога на добычу полезных ископаемых, основную долю в составе которого занимает налог на добычу нефти, поступление которого предусматривается в размере 164,4 млрд. рублей. </w:t>
      </w:r>
    </w:p>
    <w:p w:rsidR="001124F2" w:rsidRDefault="001124F2">
      <w:pPr>
        <w:pStyle w:val="21"/>
        <w:spacing w:before="0"/>
        <w:rPr>
          <w:b w:val="0"/>
          <w:sz w:val="28"/>
        </w:rPr>
      </w:pPr>
      <w:r>
        <w:rPr>
          <w:b w:val="0"/>
          <w:sz w:val="28"/>
        </w:rPr>
        <w:t>Исходя из установок Бюджетного послания целесообразно в процессе рассмотрения проекта федерального закона "О федеральном бюджете на 2002 год" продолжить работу по отмене экономически необоснованных и неэффективных налоговых льгот. Несмотря на проделанную работу в данном направлении,</w:t>
      </w:r>
      <w:r>
        <w:rPr>
          <w:sz w:val="28"/>
        </w:rPr>
        <w:t xml:space="preserve"> налоговые льготы по-прежнему занимают высокий удельный вес в составе налоговых доходов. </w:t>
      </w:r>
      <w:r>
        <w:rPr>
          <w:b w:val="0"/>
          <w:sz w:val="28"/>
        </w:rPr>
        <w:t>Общая сумма налоговых льгот, предоставляемых в соответствии с федеральным налоговым законодательством, составит в 2002 году 497,5 млрд. рублей, или 4,69% к прогнозируемому объему ВВП по консолидированному бюджету, в том числе 209,7 млрд. рублей или 1,98% к ВВП по федеральному бюджету.</w:t>
      </w:r>
    </w:p>
    <w:p w:rsidR="001124F2" w:rsidRDefault="001124F2">
      <w:pPr>
        <w:pStyle w:val="21"/>
        <w:spacing w:before="0"/>
        <w:rPr>
          <w:b w:val="0"/>
          <w:sz w:val="28"/>
        </w:rPr>
      </w:pPr>
      <w:r>
        <w:rPr>
          <w:b w:val="0"/>
          <w:sz w:val="28"/>
        </w:rPr>
        <w:t>Правительством Российской Федерации в законопроекте предусматривается рост</w:t>
      </w:r>
      <w:r>
        <w:rPr>
          <w:sz w:val="28"/>
        </w:rPr>
        <w:t xml:space="preserve"> таможенных сборов </w:t>
      </w:r>
      <w:r>
        <w:rPr>
          <w:b w:val="0"/>
          <w:sz w:val="28"/>
        </w:rPr>
        <w:t>по сравнению с утвержденным бюджетом 2001 года в 1,9 раза, что соответствует сложившейся тенденции увеличения поступлений данного налога. В то же время таможенные сборы в представленном законопроекте и в соответствии с Федеральным законом «О бюджетной классификации Российской Федерации» отнесены к группе неналоговых доходов, что противоречит статье 50 Бюджетного кодекса Российской Федерации, которой установлено, что они являются налоговыми доходами федерального бюджета. В связи с этим необходимо привести в соответствие указанные законодательные акты в части отнесения таможенных сборов к одной группе доходов.</w:t>
      </w:r>
    </w:p>
    <w:p w:rsidR="001124F2" w:rsidRDefault="001124F2">
      <w:pPr>
        <w:pStyle w:val="21"/>
        <w:spacing w:before="0"/>
        <w:rPr>
          <w:b w:val="0"/>
          <w:sz w:val="28"/>
        </w:rPr>
      </w:pPr>
      <w:r>
        <w:rPr>
          <w:b w:val="0"/>
          <w:sz w:val="28"/>
        </w:rPr>
        <w:t>Несмотря на требования Президента Российской Федерации, сформулированные в Бюджетном послании, Правительство Российской Федерации по-прежнему недостаточно сориентировано на повышение эффективности управления государственным имуществом и увеличение доходов от его использования.</w:t>
      </w:r>
    </w:p>
    <w:p w:rsidR="001124F2" w:rsidRDefault="001124F2">
      <w:pPr>
        <w:pStyle w:val="21"/>
        <w:spacing w:before="0"/>
        <w:rPr>
          <w:b w:val="0"/>
          <w:sz w:val="28"/>
        </w:rPr>
      </w:pPr>
      <w:r>
        <w:rPr>
          <w:b w:val="0"/>
          <w:sz w:val="28"/>
        </w:rPr>
        <w:t>Поступления в федеральный бюджет по статье неналоговых доходов</w:t>
      </w:r>
      <w:r>
        <w:rPr>
          <w:sz w:val="28"/>
        </w:rPr>
        <w:t xml:space="preserve"> «Дивиденды по акциям, принадлежащим государству» </w:t>
      </w:r>
      <w:r>
        <w:rPr>
          <w:b w:val="0"/>
          <w:sz w:val="28"/>
        </w:rPr>
        <w:t>на 2002 год определены в размере 4,9 млрд. рублей против 2 млрд. рублей, установленных Федеральным законом «О федеральном бюджете на 200</w:t>
      </w:r>
      <w:r>
        <w:rPr>
          <w:b w:val="0"/>
          <w:sz w:val="28"/>
          <w:lang w:val="en-US"/>
        </w:rPr>
        <w:t>1</w:t>
      </w:r>
      <w:r>
        <w:rPr>
          <w:b w:val="0"/>
          <w:sz w:val="28"/>
        </w:rPr>
        <w:t xml:space="preserve"> год», и 4,7 млрд. рублей, ожидаемых в 2001 году. </w:t>
      </w:r>
    </w:p>
    <w:p w:rsidR="001124F2" w:rsidRDefault="001124F2">
      <w:pPr>
        <w:pStyle w:val="21"/>
        <w:spacing w:before="0"/>
        <w:rPr>
          <w:b w:val="0"/>
          <w:sz w:val="28"/>
          <w:lang w:val="en-US"/>
        </w:rPr>
      </w:pPr>
      <w:r>
        <w:rPr>
          <w:b w:val="0"/>
          <w:sz w:val="28"/>
        </w:rPr>
        <w:t xml:space="preserve">Несмотря на определенный рост объема данных неналоговых доходов, их удельный вес составит лишь 0,3% в общем объеме доходов федерального бюджета на 2002 год, а 73% поступлений дивидендов прогнозируется лишь от 6 акционерных обществ («Газпром», «Роснефть», «Славнефть», РАО «ЕЭС России», «ТВЭЛ», «АК «Алроса») из 3949 акционерных обществ, пакеты акций которых находятся в собственности Российской Федерации. Кроме того, акционерные общества с государственным участием направляют на выплату дивидендов значительно меньшую по сравнению с полностью приватизированными компаниями долю чистой прибыли. Результаты проверок Счетной палаты Российской Федерации показывают, что работа в Минимуществе России по прогнозированию доходов от дивидендов по акциям, принадлежащим государству, должным образом не организована, отсутствует необходимая нормативно-методическая база. </w:t>
      </w:r>
    </w:p>
    <w:p w:rsidR="001124F2" w:rsidRDefault="001124F2">
      <w:pPr>
        <w:pStyle w:val="21"/>
        <w:spacing w:before="0"/>
        <w:rPr>
          <w:sz w:val="28"/>
        </w:rPr>
      </w:pPr>
      <w:r>
        <w:rPr>
          <w:b w:val="0"/>
          <w:sz w:val="28"/>
        </w:rPr>
        <w:t xml:space="preserve">По расчетам Счетной палаты Российской Федерации в 2001 году на акции, принадлежащие Российской Федерации, будет приходиться не менее 97,8 млрд. рублей чистой прибыли (по крупнейшим плательщикам). При наличии на рынке общей тенденции увеличения доли чистой прибыли, направляемой на выплату дивидендов, прогноз доходов по данной статье бюджета, рассчитанный на основе усредненного значения части прибыли, направленной на выплату дивидендов в 2000 году в разрезе крупнейших плательщиков (7,9%), может составить </w:t>
      </w:r>
      <w:r>
        <w:rPr>
          <w:sz w:val="28"/>
        </w:rPr>
        <w:t>7,7 млрд. рублей.</w:t>
      </w:r>
    </w:p>
    <w:p w:rsidR="001124F2" w:rsidRDefault="001124F2">
      <w:pPr>
        <w:spacing w:line="360" w:lineRule="auto"/>
        <w:ind w:firstLine="720"/>
        <w:jc w:val="both"/>
        <w:rPr>
          <w:rFonts w:ascii="Courier New" w:hAnsi="Courier New"/>
          <w:sz w:val="28"/>
        </w:rPr>
      </w:pPr>
      <w:r>
        <w:rPr>
          <w:rFonts w:ascii="Courier New" w:hAnsi="Courier New"/>
          <w:sz w:val="28"/>
        </w:rPr>
        <w:t xml:space="preserve">Федеральным законом "О федеральном бюджете на 2002 год" предусматривается увеличение </w:t>
      </w:r>
      <w:r>
        <w:rPr>
          <w:rFonts w:ascii="Courier New" w:hAnsi="Courier New"/>
          <w:b/>
          <w:sz w:val="28"/>
        </w:rPr>
        <w:t>платежей от государственных и муниципальных организаций</w:t>
      </w:r>
      <w:r>
        <w:rPr>
          <w:rFonts w:ascii="Courier New" w:hAnsi="Courier New"/>
          <w:sz w:val="28"/>
        </w:rPr>
        <w:t xml:space="preserve"> с 9,5 млрд. рублей, утвержденных в</w:t>
      </w:r>
      <w:r>
        <w:rPr>
          <w:rFonts w:ascii="Courier New" w:hAnsi="Courier New"/>
          <w:sz w:val="28"/>
          <w:lang w:val="en-US"/>
        </w:rPr>
        <w:t xml:space="preserve"> </w:t>
      </w:r>
      <w:r>
        <w:rPr>
          <w:rFonts w:ascii="Courier New" w:hAnsi="Courier New"/>
          <w:sz w:val="28"/>
        </w:rPr>
        <w:t>бюджете 2001 года, до 13,97 млрд. рублей в 2002 году. При этом основную часть поступлений (88,6%), как и в предыдущие годы, составляют доходы совместного предприятия «Вьетсовпетро» в размере 12,4 млрд. рублей. Платежи от 9718 федеральных государственных унитарных предприятий и организаций предусмотрены в проекте бюджета на 2002 год в размере лишь 0,5 млрд. рублей при том, что по оценкам Счетной палаты Российской Федерации чистая прибыль, полученная государственными унитарными предприятиями только в 2000 году, составила 50 млрд. рублей.</w:t>
      </w:r>
    </w:p>
    <w:p w:rsidR="001124F2" w:rsidRDefault="001124F2">
      <w:pPr>
        <w:pStyle w:val="21"/>
        <w:spacing w:before="0"/>
        <w:rPr>
          <w:b w:val="0"/>
          <w:sz w:val="28"/>
        </w:rPr>
      </w:pPr>
      <w:r>
        <w:rPr>
          <w:b w:val="0"/>
          <w:sz w:val="28"/>
        </w:rPr>
        <w:t>Федеральным законом</w:t>
      </w:r>
      <w:r>
        <w:rPr>
          <w:sz w:val="28"/>
        </w:rPr>
        <w:t xml:space="preserve"> </w:t>
      </w:r>
      <w:r>
        <w:rPr>
          <w:b w:val="0"/>
          <w:sz w:val="28"/>
        </w:rPr>
        <w:t>"О федеральном бюджете на 2002 год" запланировано увеличение</w:t>
      </w:r>
      <w:r>
        <w:rPr>
          <w:sz w:val="28"/>
        </w:rPr>
        <w:t xml:space="preserve"> доходов от сдачи в аренду имущества, находящегося в государственной собственности</w:t>
      </w:r>
      <w:r>
        <w:rPr>
          <w:b w:val="0"/>
          <w:sz w:val="28"/>
        </w:rPr>
        <w:t>, по сравнению с утвержденным бюджетом 2001 года с 5,6 млрд. рублей до 8,4 млрд. рублей, или с ростом на 49,5%. Однако, по сравнению с ожидаемой оценкой 2001 года, номинальный рост доходов по данной статье бюджета составит лишь 5,9%, что в 2 раза ниже прогнозируемых темпов инфляции на 2002 год. Доходы от сдачи в аренду имущества, находящегося в государственной собственности, исключая арендную плату за землю, вообще прогнозируется на уровне ожидаемой оценки 2001 года. Таким образом, Правительством Российской Федерации не принято достаточных мер по выполнению требования Бюджетного послания по значительному увеличению доходов федерального бюджета, получаемых от использования государственной собственности, существенным источником которых должны стать доходы от использования объектов недвижимости.</w:t>
      </w:r>
    </w:p>
    <w:p w:rsidR="001124F2" w:rsidRDefault="001124F2">
      <w:pPr>
        <w:pStyle w:val="ac"/>
        <w:spacing w:line="360" w:lineRule="auto"/>
        <w:ind w:firstLine="720"/>
        <w:jc w:val="both"/>
        <w:rPr>
          <w:rFonts w:ascii="Courier New" w:hAnsi="Courier New"/>
          <w:sz w:val="28"/>
        </w:rPr>
      </w:pPr>
      <w:r>
        <w:rPr>
          <w:rFonts w:ascii="Courier New" w:hAnsi="Courier New"/>
          <w:sz w:val="28"/>
        </w:rPr>
        <w:t xml:space="preserve">Федеральным законом «О федеральном бюджете на 2002 год» предусматриваются поступления в доход федерального бюджета в размере 4 млрд. рублей </w:t>
      </w:r>
      <w:r>
        <w:rPr>
          <w:rFonts w:ascii="Courier New" w:hAnsi="Courier New"/>
          <w:b/>
          <w:sz w:val="28"/>
        </w:rPr>
        <w:t>от прибыли Центрального банка Российской Федерации</w:t>
      </w:r>
      <w:r>
        <w:rPr>
          <w:rFonts w:ascii="Courier New" w:hAnsi="Courier New"/>
          <w:sz w:val="28"/>
        </w:rPr>
        <w:t xml:space="preserve">, что в соответствии со статьей 26 Федерального закона «О Центральном банке Российской Федерации (Банке России)» должно составлять 50% балансовой прибыли Банка России, полученной за 2001 год. </w:t>
      </w:r>
    </w:p>
    <w:p w:rsidR="001124F2" w:rsidRDefault="001124F2">
      <w:pPr>
        <w:spacing w:line="360" w:lineRule="auto"/>
        <w:ind w:firstLine="720"/>
        <w:jc w:val="both"/>
        <w:rPr>
          <w:rFonts w:ascii="Courier New" w:hAnsi="Courier New"/>
          <w:sz w:val="28"/>
        </w:rPr>
      </w:pPr>
      <w:r>
        <w:rPr>
          <w:rFonts w:ascii="Courier New" w:hAnsi="Courier New"/>
          <w:sz w:val="28"/>
        </w:rPr>
        <w:t>В соответствии с действующим законодательством Банк России самостоятельно определяет смету расходов и правила ведения бухгалтерского учета, формирования учетной политики. В связи с этим финансовые результаты его отдельных операций отражаются, минуя счета доходов, что оказывает влияние на размер прибыли, отражаемой Центральным банком Российской Федерации. По мнению Счетной палаты Российской Федерации, в Федеральный закон «О Центральном банке Российской Федерации (Банке России)» должны быть внесены изменения, предусматривающие введение государственного внешнего контроля за формированием его прибыли, исполнением сметы расходов на его содержание, организацией бухгалтерского учета и учетной политики.</w:t>
      </w:r>
    </w:p>
    <w:p w:rsidR="001124F2" w:rsidRDefault="001124F2">
      <w:pPr>
        <w:spacing w:line="360" w:lineRule="auto"/>
        <w:ind w:firstLine="720"/>
        <w:jc w:val="both"/>
        <w:rPr>
          <w:rFonts w:ascii="Courier New" w:hAnsi="Courier New"/>
          <w:sz w:val="28"/>
        </w:rPr>
      </w:pPr>
      <w:r>
        <w:rPr>
          <w:rFonts w:ascii="Courier New" w:hAnsi="Courier New"/>
          <w:sz w:val="28"/>
        </w:rPr>
        <w:t xml:space="preserve">Существенным дополнительным источником пополнения доходной части федерального бюджета 2002 года должны стать доходы федеральных органов исполнительной власти от предпринимательской и иной приносящей доход деятельности. Однако, в законопроекте эти объемы поступлений по группе доходов </w:t>
      </w:r>
      <w:r>
        <w:rPr>
          <w:rFonts w:ascii="Courier New" w:hAnsi="Courier New"/>
          <w:b/>
          <w:sz w:val="28"/>
        </w:rPr>
        <w:t>«Доходы от предпринимательской и иной приносящей доход деятельности» не указаны.</w:t>
      </w:r>
      <w:r>
        <w:rPr>
          <w:rFonts w:ascii="Courier New" w:hAnsi="Courier New"/>
          <w:sz w:val="28"/>
        </w:rPr>
        <w:t xml:space="preserve"> При формировании объемов расходов федерального бюджета по главным распорядителям средств федерального бюджета, указанные объемы уменьшаются на сумму прогнозируемых ими доходов от предпринимательской и иной приносящей доход деятельности. По мнению Счетной палаты Российской Федерации, такой подход к формированию расходов федерального бюджета не позволяет в достаточной степени оценить обоснованность размеров дополнительных источников финансирования, а также нарушает установленный статьей 35 Бюджетного кодекса Российской Федерации принцип </w:t>
      </w:r>
      <w:r>
        <w:rPr>
          <w:rFonts w:ascii="Courier New" w:hAnsi="Courier New"/>
          <w:snapToGrid w:val="0"/>
          <w:color w:val="000000"/>
          <w:sz w:val="28"/>
        </w:rPr>
        <w:t>общего (совокупного) покрытия расходов общей суммой доходов бюджета, в соответствии с которым доходы бюджета не могут быть увязаны с определенными расходами бюджета.</w:t>
      </w:r>
    </w:p>
    <w:p w:rsidR="001124F2" w:rsidRDefault="001124F2">
      <w:pPr>
        <w:pStyle w:val="21"/>
        <w:spacing w:before="0"/>
        <w:rPr>
          <w:b w:val="0"/>
          <w:sz w:val="28"/>
        </w:rPr>
      </w:pPr>
      <w:r>
        <w:rPr>
          <w:b w:val="0"/>
          <w:sz w:val="28"/>
        </w:rPr>
        <w:t>Отмечая предполагаемое существенное повышение среднего уровня собираемости налоговых доходов в законопроекте по сравнению с предшествующими годами, Счетная палата Российской Федерации полагает, что точность и достоверность проектировок отдельных показателей проекта бюджета нуждается в дополнительном обосновании. В ходе рассмотрения проекта федерального закона «О федеральном бюджете на 2002 год» в комитетах и комиссиях Государственной Думы Федерального Собрания Российской Федерации целесообразно детально рассмотреть все имеющиеся резервы увеличения возможных поступлений в федеральный бюджет, в том числе от возврата ранее предоставленных средств федерального бюджета на возвратной основе.</w:t>
      </w:r>
    </w:p>
    <w:p w:rsidR="001124F2" w:rsidRDefault="001124F2">
      <w:pPr>
        <w:pStyle w:val="21"/>
        <w:spacing w:before="0"/>
        <w:rPr>
          <w:b w:val="0"/>
          <w:sz w:val="28"/>
        </w:rPr>
      </w:pPr>
      <w:r>
        <w:rPr>
          <w:b w:val="0"/>
          <w:sz w:val="28"/>
        </w:rPr>
        <w:t>Немаловажной проблемой достоверности и обоснованности проекта доходов федерального бюджета на 2002 год является состояние нормативно-методической базы по их формированию. Единственным документом, регламентирующим работу по разработке проекта доходов на федеральном уровне, являются утвержденные заместителем Председателя Правительства Российской Федерации - Министром финансов Российской Федерации А.Л. Кудриным 12 апреля 2001 года Методические рекомендации по формированию доходов федерального бюджета на 2002 год. Однако данные методические рекомендации носят достаточно общий характер, определяют лишь основные подходы к формированию доходов бюджета, используемую отчетность и информацию, и не раскрывают технологию и алгоритм расчета конкретных показателей налоговых и неналоговых доходов. Непосредственные расчеты доходов федерального бюджета осуществляются на основе сложившейся в Министерстве финансов Российской Федерации практики. В целях создания более основательной методической базы Правительству Российской Федерации необходимо принять меры по обеспечению разработки полноценных методических указаний по расчету значений соответствующих показателей в разрезе групп, подгрупп, статей и подстатей доходов классификации доходов бюджетов Российской Федерации. Данные методические указания должны предусматривать алгоритмы расчета налогооблагаемой базы, облагаемых оборотов, уровней собираемости, прогнозных мировых и внутренних цен и других параметров.</w:t>
      </w:r>
    </w:p>
    <w:p w:rsidR="001124F2" w:rsidRDefault="001124F2">
      <w:pPr>
        <w:pStyle w:val="1"/>
        <w:jc w:val="center"/>
      </w:pPr>
      <w:r>
        <w:br w:type="page"/>
        <w:t>Заключение</w:t>
      </w:r>
    </w:p>
    <w:p w:rsidR="001124F2" w:rsidRDefault="001124F2">
      <w:pPr>
        <w:pStyle w:val="11"/>
        <w:spacing w:before="0" w:after="0" w:line="360" w:lineRule="auto"/>
        <w:ind w:firstLine="567"/>
        <w:jc w:val="both"/>
        <w:rPr>
          <w:rFonts w:ascii="Courier New" w:hAnsi="Courier New"/>
          <w:sz w:val="28"/>
        </w:rPr>
      </w:pPr>
      <w:r>
        <w:rPr>
          <w:rFonts w:ascii="Courier New" w:hAnsi="Courier New"/>
          <w:sz w:val="28"/>
        </w:rPr>
        <w:t>Анализ прогнозируемых и фактических объемов доходов федерального бюджета за 1999—2001 годы свидетельствует об их заведомом занижении Правительством Российской Федерации на стадии формирования проекта федерального бюджета.</w:t>
      </w:r>
    </w:p>
    <w:p w:rsidR="001124F2" w:rsidRDefault="001124F2">
      <w:pPr>
        <w:pStyle w:val="11"/>
        <w:spacing w:before="0" w:after="0" w:line="360" w:lineRule="auto"/>
        <w:ind w:firstLine="567"/>
        <w:jc w:val="both"/>
        <w:rPr>
          <w:rFonts w:ascii="Courier New" w:hAnsi="Courier New"/>
          <w:sz w:val="28"/>
        </w:rPr>
      </w:pPr>
      <w:r>
        <w:rPr>
          <w:rFonts w:ascii="Courier New" w:hAnsi="Courier New"/>
          <w:sz w:val="28"/>
        </w:rPr>
        <w:t>Так, в 1999 году в расчетах к федеральному бюджету объем доходов составил 473,7 млрд. рублей, а фактически — 615,5 млрд. рублей, с приростом в 141,8 млрд. рублей, или 29,9%. При формировании проекта федерального бюджета на 2000 год доходы были заложены в сумме 797,2 млрд. рублей, по факту— 1132,1 млрд. рублей, то есть с увеличением в 334,9 млрд. рублей или 42%. Ожидаемая оценка доходов федерального бюджета на 2001 года составляет 1481,8 млрд. рублей, что на 288,3 млрд. рублей (24,1%) больше суммы, утвержденной в федеральном бюджете.</w:t>
      </w:r>
    </w:p>
    <w:p w:rsidR="001124F2" w:rsidRDefault="001124F2">
      <w:pPr>
        <w:pStyle w:val="11"/>
        <w:spacing w:before="0" w:after="0" w:line="360" w:lineRule="auto"/>
        <w:ind w:firstLine="567"/>
        <w:jc w:val="both"/>
        <w:rPr>
          <w:rFonts w:ascii="Courier New" w:hAnsi="Courier New"/>
          <w:sz w:val="28"/>
        </w:rPr>
      </w:pPr>
      <w:r>
        <w:rPr>
          <w:rFonts w:ascii="Courier New" w:hAnsi="Courier New"/>
          <w:sz w:val="28"/>
        </w:rPr>
        <w:t xml:space="preserve">Таким образом, Правительство Российской Федерации стремится защитить федеральный бюджет от колебаний рыночной конъюнктуры и создать определенный запас для достаточно произвольного маневра финансовыми ресурсами в течение года. </w:t>
      </w:r>
    </w:p>
    <w:p w:rsidR="001124F2" w:rsidRDefault="001124F2">
      <w:pPr>
        <w:pStyle w:val="11"/>
        <w:spacing w:before="0" w:after="0" w:line="360" w:lineRule="auto"/>
        <w:ind w:firstLine="567"/>
        <w:jc w:val="both"/>
        <w:rPr>
          <w:rFonts w:ascii="Courier New" w:hAnsi="Courier New"/>
          <w:sz w:val="28"/>
        </w:rPr>
      </w:pPr>
      <w:r>
        <w:rPr>
          <w:rFonts w:ascii="Courier New" w:hAnsi="Courier New"/>
          <w:sz w:val="28"/>
        </w:rPr>
        <w:t>Сохраняется тенденция формирования доходов федерального бюджета преимущественно за счет налоговых доходов, доля которых в общем объеме доходов федерального бюджета на 2002 год практически не изменяется по сравнению с 2001 годом и прогнозируется в размере 93,4%. Соответственно, неналоговые доходы в составе доходных источников занимают невысокий удельный вес — 5,6%</w:t>
      </w:r>
    </w:p>
    <w:p w:rsidR="001124F2" w:rsidRDefault="001124F2">
      <w:pPr>
        <w:pStyle w:val="11"/>
        <w:spacing w:before="0" w:after="0" w:line="360" w:lineRule="auto"/>
        <w:ind w:firstLine="567"/>
        <w:jc w:val="both"/>
        <w:rPr>
          <w:rFonts w:ascii="Courier New" w:hAnsi="Courier New"/>
          <w:sz w:val="28"/>
        </w:rPr>
      </w:pPr>
      <w:r>
        <w:rPr>
          <w:rFonts w:ascii="Courier New" w:hAnsi="Courier New"/>
          <w:sz w:val="28"/>
        </w:rPr>
        <w:t>Таким образом, создавая определенный финансовый запас, государство создает тем самым благоприятные условия для развития собственной экономики и направляет эти финансовые потоки в виде дотаций, субъектам нуждающимся в финансовой поддержке.</w:t>
      </w:r>
    </w:p>
    <w:p w:rsidR="001124F2" w:rsidRDefault="001124F2">
      <w:pPr>
        <w:pStyle w:val="11"/>
        <w:spacing w:before="0" w:after="0" w:line="360" w:lineRule="auto"/>
        <w:ind w:firstLine="567"/>
        <w:jc w:val="both"/>
        <w:rPr>
          <w:rFonts w:ascii="Courier New" w:hAnsi="Courier New"/>
          <w:sz w:val="28"/>
        </w:rPr>
      </w:pPr>
      <w:r>
        <w:rPr>
          <w:rFonts w:ascii="Courier New" w:hAnsi="Courier New"/>
          <w:sz w:val="28"/>
        </w:rPr>
        <w:t>Благоприятная экономическая обстановка в России позволяет государству поднять уровень жизнь своего населения. Примером того служит постоянное увеличение заработной платы работникам бюджетной сферы, постоянное увеличение размеров пенсии, дотационных выплат.</w:t>
      </w:r>
    </w:p>
    <w:p w:rsidR="001124F2" w:rsidRDefault="001124F2">
      <w:pPr>
        <w:pStyle w:val="11"/>
        <w:spacing w:before="0" w:after="0" w:line="360" w:lineRule="auto"/>
        <w:ind w:firstLine="567"/>
        <w:jc w:val="both"/>
      </w:pPr>
      <w:r>
        <w:rPr>
          <w:rFonts w:ascii="Courier New" w:hAnsi="Courier New"/>
          <w:sz w:val="28"/>
        </w:rPr>
        <w:t>Подводя итог, можно сказать, что налоги играют главную роль в формировании бюджета.</w:t>
      </w:r>
    </w:p>
    <w:p w:rsidR="001124F2" w:rsidRDefault="001124F2">
      <w:pPr>
        <w:pStyle w:val="1"/>
        <w:jc w:val="center"/>
      </w:pPr>
      <w:r>
        <w:br w:type="page"/>
        <w:t>Используемая литература:</w:t>
      </w:r>
    </w:p>
    <w:p w:rsidR="001124F2" w:rsidRDefault="001124F2" w:rsidP="001124F2">
      <w:pPr>
        <w:numPr>
          <w:ilvl w:val="0"/>
          <w:numId w:val="5"/>
        </w:numPr>
        <w:shd w:val="clear" w:color="auto" w:fill="FFFFFF"/>
        <w:jc w:val="both"/>
        <w:rPr>
          <w:rFonts w:ascii="Courier New" w:hAnsi="Courier New"/>
          <w:sz w:val="28"/>
        </w:rPr>
      </w:pPr>
      <w:r>
        <w:rPr>
          <w:rFonts w:ascii="Courier New" w:hAnsi="Courier New"/>
          <w:sz w:val="28"/>
        </w:rPr>
        <w:t>И.А. Погосов Финансы, денежное обращение и кредит, - М.: ООО «Проспекть-Н»</w:t>
      </w:r>
    </w:p>
    <w:p w:rsidR="001124F2" w:rsidRDefault="001124F2" w:rsidP="001124F2">
      <w:pPr>
        <w:numPr>
          <w:ilvl w:val="0"/>
          <w:numId w:val="5"/>
        </w:numPr>
        <w:shd w:val="clear" w:color="auto" w:fill="FFFFFF"/>
        <w:jc w:val="both"/>
        <w:rPr>
          <w:rFonts w:ascii="Courier New" w:hAnsi="Courier New"/>
          <w:sz w:val="28"/>
        </w:rPr>
      </w:pPr>
      <w:r>
        <w:rPr>
          <w:rFonts w:ascii="Courier New" w:hAnsi="Courier New"/>
          <w:sz w:val="28"/>
        </w:rPr>
        <w:t>Финансы. Денежное обращение. Кредит: учебник для вузов. Под ред. проф. Л. А. Дробозиной - М., Финансы, ЮНИТИ, 1997</w:t>
      </w:r>
    </w:p>
    <w:p w:rsidR="001124F2" w:rsidRDefault="001124F2" w:rsidP="001124F2">
      <w:pPr>
        <w:numPr>
          <w:ilvl w:val="0"/>
          <w:numId w:val="5"/>
        </w:numPr>
        <w:shd w:val="clear" w:color="auto" w:fill="FFFFFF"/>
        <w:jc w:val="both"/>
        <w:rPr>
          <w:rFonts w:ascii="Courier New" w:hAnsi="Courier New"/>
          <w:sz w:val="28"/>
        </w:rPr>
      </w:pPr>
      <w:r>
        <w:rPr>
          <w:rFonts w:ascii="Courier New" w:hAnsi="Courier New"/>
          <w:sz w:val="28"/>
        </w:rPr>
        <w:t>Бюджетная система Российской Федерации: Учебник. / Под ред. М.В. Романовского, О.В. Врублевской.- М.: Юрайт, 1999</w:t>
      </w:r>
    </w:p>
    <w:p w:rsidR="001124F2" w:rsidRDefault="001124F2" w:rsidP="001124F2">
      <w:pPr>
        <w:numPr>
          <w:ilvl w:val="0"/>
          <w:numId w:val="5"/>
        </w:numPr>
        <w:shd w:val="clear" w:color="auto" w:fill="FFFFFF"/>
        <w:jc w:val="both"/>
        <w:rPr>
          <w:rFonts w:ascii="Courier New" w:hAnsi="Courier New"/>
          <w:sz w:val="28"/>
        </w:rPr>
      </w:pPr>
      <w:r>
        <w:rPr>
          <w:rFonts w:ascii="Courier New" w:hAnsi="Courier New"/>
          <w:sz w:val="28"/>
        </w:rPr>
        <w:t>Пономаренко Е. О бюджетно-налоговой политике на 2002 год (анализ концепции) // Экономист, 2001. №11</w:t>
      </w:r>
    </w:p>
    <w:p w:rsidR="001124F2" w:rsidRDefault="001124F2" w:rsidP="001124F2">
      <w:pPr>
        <w:numPr>
          <w:ilvl w:val="0"/>
          <w:numId w:val="5"/>
        </w:numPr>
        <w:shd w:val="clear" w:color="auto" w:fill="FFFFFF"/>
        <w:jc w:val="both"/>
        <w:rPr>
          <w:rFonts w:ascii="Courier New" w:hAnsi="Courier New"/>
          <w:sz w:val="28"/>
        </w:rPr>
      </w:pPr>
      <w:r>
        <w:rPr>
          <w:rFonts w:ascii="Courier New" w:hAnsi="Courier New"/>
          <w:sz w:val="28"/>
        </w:rPr>
        <w:t>Налоги: федеральные и местные // Финансовая газета. 2001. № 12</w:t>
      </w:r>
    </w:p>
    <w:p w:rsidR="001124F2" w:rsidRDefault="001124F2" w:rsidP="001124F2">
      <w:pPr>
        <w:numPr>
          <w:ilvl w:val="0"/>
          <w:numId w:val="5"/>
        </w:numPr>
        <w:shd w:val="clear" w:color="auto" w:fill="FFFFFF"/>
        <w:jc w:val="both"/>
        <w:rPr>
          <w:rFonts w:ascii="Courier New" w:hAnsi="Courier New"/>
          <w:sz w:val="28"/>
        </w:rPr>
      </w:pPr>
      <w:r>
        <w:rPr>
          <w:rFonts w:ascii="Courier New" w:hAnsi="Courier New"/>
          <w:sz w:val="28"/>
        </w:rPr>
        <w:t>Бюджетный кодекс Российской Федерации. Официальный текст. -  2-е изд., доп. – М.: Издательство НОРМА, 2000</w:t>
      </w:r>
    </w:p>
    <w:p w:rsidR="001124F2" w:rsidRDefault="001124F2" w:rsidP="001124F2">
      <w:pPr>
        <w:numPr>
          <w:ilvl w:val="0"/>
          <w:numId w:val="5"/>
        </w:numPr>
        <w:shd w:val="clear" w:color="auto" w:fill="FFFFFF"/>
        <w:jc w:val="both"/>
        <w:rPr>
          <w:rFonts w:ascii="Courier New" w:hAnsi="Courier New"/>
          <w:sz w:val="28"/>
        </w:rPr>
      </w:pPr>
      <w:r>
        <w:rPr>
          <w:rFonts w:ascii="Courier New" w:hAnsi="Courier New"/>
          <w:sz w:val="28"/>
        </w:rPr>
        <w:t xml:space="preserve">Федеральный закон от 27.12.2000 №147-ФЗ «О федеральном бюджете на 2001 год» // Российская газета, 28 декабря 2000 </w:t>
      </w:r>
    </w:p>
    <w:p w:rsidR="001124F2" w:rsidRDefault="001124F2" w:rsidP="001124F2">
      <w:pPr>
        <w:numPr>
          <w:ilvl w:val="0"/>
          <w:numId w:val="5"/>
        </w:numPr>
        <w:shd w:val="clear" w:color="auto" w:fill="FFFFFF"/>
        <w:jc w:val="both"/>
        <w:rPr>
          <w:rFonts w:ascii="Courier New" w:hAnsi="Courier New"/>
          <w:sz w:val="28"/>
        </w:rPr>
      </w:pPr>
      <w:r>
        <w:rPr>
          <w:rFonts w:ascii="Courier New" w:hAnsi="Courier New"/>
          <w:sz w:val="28"/>
        </w:rPr>
        <w:t>Федеральный закон от 30 декабря 2001 года N 194-ФЗ  «О федеральном бюджете на 2002 год»</w:t>
      </w:r>
    </w:p>
    <w:p w:rsidR="001124F2" w:rsidRDefault="001124F2" w:rsidP="001124F2">
      <w:pPr>
        <w:numPr>
          <w:ilvl w:val="0"/>
          <w:numId w:val="5"/>
        </w:numPr>
        <w:shd w:val="clear" w:color="auto" w:fill="FFFFFF"/>
        <w:jc w:val="both"/>
        <w:rPr>
          <w:rFonts w:ascii="Courier New" w:hAnsi="Courier New"/>
          <w:sz w:val="28"/>
        </w:rPr>
      </w:pPr>
      <w:r>
        <w:rPr>
          <w:rFonts w:ascii="Courier New" w:hAnsi="Courier New"/>
          <w:sz w:val="28"/>
        </w:rPr>
        <w:t>Выписки из Заключения Экспертно-консультативного Совета  при Председателе Счетной Палаты Российской Федерации «о Федеральном бюджете на 2002г.»</w:t>
      </w:r>
    </w:p>
    <w:p w:rsidR="001124F2" w:rsidRDefault="001124F2" w:rsidP="001124F2">
      <w:pPr>
        <w:numPr>
          <w:ilvl w:val="0"/>
          <w:numId w:val="5"/>
        </w:numPr>
        <w:shd w:val="clear" w:color="auto" w:fill="FFFFFF"/>
        <w:jc w:val="both"/>
        <w:rPr>
          <w:rFonts w:ascii="Courier New" w:hAnsi="Courier New"/>
          <w:sz w:val="28"/>
        </w:rPr>
      </w:pPr>
      <w:r>
        <w:rPr>
          <w:rFonts w:ascii="Courier New" w:hAnsi="Courier New"/>
          <w:sz w:val="28"/>
        </w:rPr>
        <w:t>Бюджетное Послание Президента Российской Федерации Федеральному Собранию Российской Федерации «О бюджетной политике на 2002 год»</w:t>
      </w:r>
    </w:p>
    <w:p w:rsidR="001124F2" w:rsidRDefault="001124F2">
      <w:pPr>
        <w:shd w:val="clear" w:color="auto" w:fill="FFFFFF"/>
        <w:spacing w:line="360" w:lineRule="auto"/>
        <w:ind w:left="567"/>
        <w:jc w:val="both"/>
        <w:rPr>
          <w:rFonts w:ascii="Courier New" w:hAnsi="Courier New"/>
          <w:sz w:val="28"/>
        </w:rPr>
      </w:pPr>
    </w:p>
    <w:p w:rsidR="001124F2" w:rsidRDefault="001124F2">
      <w:pPr>
        <w:shd w:val="clear" w:color="auto" w:fill="FFFFFF"/>
        <w:spacing w:line="360" w:lineRule="auto"/>
        <w:ind w:left="567"/>
        <w:jc w:val="center"/>
        <w:rPr>
          <w:rFonts w:ascii="Courier New" w:hAnsi="Courier New"/>
          <w:b/>
          <w:sz w:val="40"/>
        </w:rPr>
      </w:pPr>
      <w:r>
        <w:rPr>
          <w:rFonts w:ascii="Courier New" w:hAnsi="Courier New"/>
          <w:b/>
          <w:sz w:val="40"/>
        </w:rPr>
        <w:t>* * *</w:t>
      </w:r>
    </w:p>
    <w:p w:rsidR="001124F2" w:rsidRDefault="001124F2">
      <w:pPr>
        <w:pStyle w:val="a9"/>
      </w:pPr>
      <w:r>
        <w:t xml:space="preserve">Ссылки на страницы используемые в глобальной сети </w:t>
      </w:r>
      <w:r>
        <w:rPr>
          <w:lang w:val="en-US"/>
        </w:rPr>
        <w:t>INTERNET</w:t>
      </w:r>
      <w:r>
        <w:t>:</w:t>
      </w:r>
    </w:p>
    <w:p w:rsidR="001124F2" w:rsidRDefault="001124F2"/>
    <w:p w:rsidR="001124F2" w:rsidRDefault="001124F2">
      <w:pPr>
        <w:pStyle w:val="11"/>
        <w:spacing w:before="0" w:after="0"/>
        <w:jc w:val="both"/>
        <w:rPr>
          <w:rFonts w:ascii="Courier New" w:hAnsi="Courier New"/>
          <w:sz w:val="28"/>
        </w:rPr>
      </w:pPr>
      <w:r w:rsidRPr="00186891">
        <w:rPr>
          <w:rFonts w:ascii="Courier New" w:hAnsi="Courier New"/>
          <w:b/>
          <w:color w:val="000000"/>
          <w:sz w:val="28"/>
        </w:rPr>
        <w:t>http://www.</w:t>
      </w:r>
      <w:bookmarkStart w:id="0" w:name="_Hlt8975633"/>
      <w:r w:rsidRPr="00186891">
        <w:rPr>
          <w:rFonts w:ascii="Courier New" w:hAnsi="Courier New"/>
          <w:b/>
          <w:color w:val="000000"/>
          <w:sz w:val="28"/>
        </w:rPr>
        <w:t>e</w:t>
      </w:r>
      <w:bookmarkEnd w:id="0"/>
      <w:r w:rsidRPr="00186891">
        <w:rPr>
          <w:rFonts w:ascii="Courier New" w:hAnsi="Courier New"/>
          <w:b/>
          <w:color w:val="000000"/>
          <w:sz w:val="28"/>
        </w:rPr>
        <w:t>ks.r</w:t>
      </w:r>
      <w:bookmarkStart w:id="1" w:name="_Hlt8976945"/>
      <w:r w:rsidRPr="00186891">
        <w:rPr>
          <w:rFonts w:ascii="Courier New" w:hAnsi="Courier New"/>
          <w:b/>
          <w:color w:val="000000"/>
          <w:sz w:val="28"/>
        </w:rPr>
        <w:t>u</w:t>
      </w:r>
      <w:bookmarkEnd w:id="1"/>
      <w:r>
        <w:rPr>
          <w:rFonts w:ascii="Courier New" w:hAnsi="Courier New"/>
          <w:sz w:val="28"/>
        </w:rPr>
        <w:t xml:space="preserve"> - Экспертно-консультативный Совет при Председателе Счетной Палаты Российской Федерации:</w:t>
      </w:r>
    </w:p>
    <w:p w:rsidR="001124F2" w:rsidRDefault="001124F2" w:rsidP="001124F2">
      <w:pPr>
        <w:pStyle w:val="11"/>
        <w:numPr>
          <w:ilvl w:val="0"/>
          <w:numId w:val="8"/>
        </w:numPr>
        <w:spacing w:before="0" w:after="0"/>
        <w:jc w:val="both"/>
        <w:rPr>
          <w:rFonts w:ascii="Courier New" w:hAnsi="Courier New"/>
          <w:b/>
          <w:sz w:val="28"/>
        </w:rPr>
      </w:pPr>
      <w:r>
        <w:rPr>
          <w:rFonts w:ascii="Courier New" w:hAnsi="Courier New"/>
          <w:sz w:val="28"/>
        </w:rPr>
        <w:t>Заключение Совета на проект Федерального закона "О Федеральном бюджете на 2002 год";</w:t>
      </w:r>
    </w:p>
    <w:p w:rsidR="001124F2" w:rsidRDefault="001124F2" w:rsidP="001124F2">
      <w:pPr>
        <w:pStyle w:val="11"/>
        <w:numPr>
          <w:ilvl w:val="0"/>
          <w:numId w:val="8"/>
        </w:numPr>
        <w:spacing w:before="0" w:after="0"/>
        <w:jc w:val="both"/>
      </w:pPr>
      <w:r>
        <w:rPr>
          <w:rFonts w:ascii="Courier New" w:hAnsi="Courier New"/>
          <w:sz w:val="28"/>
        </w:rPr>
        <w:t>Оценка</w:t>
      </w:r>
      <w:r>
        <w:rPr>
          <w:rFonts w:ascii="Courier New" w:hAnsi="Courier New"/>
          <w:b/>
          <w:sz w:val="28"/>
        </w:rPr>
        <w:t xml:space="preserve"> </w:t>
      </w:r>
      <w:r>
        <w:rPr>
          <w:rStyle w:val="10"/>
          <w:rFonts w:ascii="Courier New" w:hAnsi="Courier New"/>
          <w:b w:val="0"/>
          <w:sz w:val="28"/>
        </w:rPr>
        <w:t>прогноза социально-экономического развития России на 2002 год;</w:t>
      </w:r>
    </w:p>
    <w:p w:rsidR="001124F2" w:rsidRDefault="001124F2" w:rsidP="001124F2">
      <w:pPr>
        <w:pStyle w:val="11"/>
        <w:numPr>
          <w:ilvl w:val="0"/>
          <w:numId w:val="8"/>
        </w:numPr>
        <w:spacing w:before="0" w:after="0"/>
        <w:jc w:val="both"/>
      </w:pPr>
      <w:r>
        <w:rPr>
          <w:rFonts w:ascii="Courier New" w:hAnsi="Courier New"/>
          <w:sz w:val="28"/>
        </w:rPr>
        <w:t>Доходы федерального бюджета на 2002 год;</w:t>
      </w:r>
    </w:p>
    <w:p w:rsidR="001124F2" w:rsidRDefault="001124F2">
      <w:pPr>
        <w:pStyle w:val="11"/>
        <w:spacing w:before="0" w:after="0"/>
        <w:jc w:val="both"/>
      </w:pPr>
    </w:p>
    <w:p w:rsidR="001124F2" w:rsidRDefault="001124F2">
      <w:pPr>
        <w:pStyle w:val="11"/>
        <w:spacing w:before="0" w:after="0"/>
        <w:jc w:val="both"/>
        <w:rPr>
          <w:rFonts w:ascii="Courier New" w:hAnsi="Courier New"/>
          <w:b/>
          <w:color w:val="000000"/>
          <w:sz w:val="28"/>
        </w:rPr>
      </w:pPr>
      <w:r w:rsidRPr="00186891">
        <w:rPr>
          <w:rFonts w:ascii="Courier New" w:hAnsi="Courier New"/>
          <w:b/>
          <w:color w:val="000000"/>
          <w:sz w:val="28"/>
        </w:rPr>
        <w:t>http://www.ach.gov.ru</w:t>
      </w:r>
      <w:r>
        <w:rPr>
          <w:rFonts w:ascii="Courier New" w:hAnsi="Courier New"/>
          <w:b/>
          <w:color w:val="000000"/>
          <w:sz w:val="28"/>
        </w:rPr>
        <w:t>):</w:t>
      </w:r>
    </w:p>
    <w:p w:rsidR="001124F2" w:rsidRDefault="001124F2" w:rsidP="001124F2">
      <w:pPr>
        <w:pStyle w:val="11"/>
        <w:numPr>
          <w:ilvl w:val="0"/>
          <w:numId w:val="9"/>
        </w:numPr>
        <w:spacing w:before="0" w:after="0"/>
        <w:jc w:val="both"/>
        <w:rPr>
          <w:rFonts w:ascii="Courier New" w:hAnsi="Courier New"/>
          <w:sz w:val="28"/>
        </w:rPr>
      </w:pPr>
      <w:r>
        <w:rPr>
          <w:rFonts w:ascii="Courier New" w:hAnsi="Courier New"/>
          <w:sz w:val="28"/>
        </w:rPr>
        <w:t>Счетная палата Российской Федерации Экспертно-аналитическая деятельность;</w:t>
      </w:r>
    </w:p>
    <w:p w:rsidR="001124F2" w:rsidRDefault="001124F2">
      <w:pPr>
        <w:pStyle w:val="11"/>
        <w:spacing w:before="0" w:after="0"/>
        <w:ind w:left="60"/>
        <w:jc w:val="both"/>
        <w:rPr>
          <w:rFonts w:ascii="Courier New" w:hAnsi="Courier New"/>
          <w:sz w:val="28"/>
        </w:rPr>
      </w:pPr>
    </w:p>
    <w:p w:rsidR="001124F2" w:rsidRDefault="001124F2">
      <w:pPr>
        <w:pStyle w:val="11"/>
        <w:spacing w:before="0" w:after="0"/>
        <w:ind w:left="3828" w:hanging="3828"/>
        <w:rPr>
          <w:rFonts w:ascii="Courier New" w:hAnsi="Courier New"/>
          <w:sz w:val="28"/>
        </w:rPr>
      </w:pPr>
      <w:r w:rsidRPr="00186891">
        <w:rPr>
          <w:rFonts w:ascii="Courier New" w:hAnsi="Courier New"/>
          <w:b/>
          <w:color w:val="000000"/>
          <w:sz w:val="28"/>
        </w:rPr>
        <w:t>http://www.minfin.ru</w:t>
      </w:r>
      <w:r>
        <w:rPr>
          <w:rFonts w:ascii="Courier New" w:hAnsi="Courier New"/>
          <w:color w:val="000000"/>
          <w:sz w:val="28"/>
        </w:rPr>
        <w:t xml:space="preserve"> –</w:t>
      </w:r>
      <w:r>
        <w:rPr>
          <w:rFonts w:ascii="Courier New" w:hAnsi="Courier New"/>
          <w:sz w:val="28"/>
        </w:rPr>
        <w:t xml:space="preserve"> Министерство финансов Российской Федерации:</w:t>
      </w:r>
    </w:p>
    <w:p w:rsidR="001124F2" w:rsidRDefault="001124F2">
      <w:pPr>
        <w:pStyle w:val="11"/>
        <w:spacing w:before="0" w:after="0"/>
        <w:ind w:left="60"/>
        <w:jc w:val="both"/>
      </w:pPr>
      <w:r>
        <w:rPr>
          <w:rFonts w:ascii="Courier New" w:hAnsi="Courier New"/>
          <w:sz w:val="28"/>
        </w:rPr>
        <w:t>- отчетность об исполнении Федерального бюджета;</w:t>
      </w:r>
    </w:p>
    <w:p w:rsidR="001124F2" w:rsidRDefault="001124F2">
      <w:pPr>
        <w:pStyle w:val="11"/>
        <w:spacing w:before="0" w:after="0"/>
        <w:jc w:val="both"/>
      </w:pPr>
    </w:p>
    <w:p w:rsidR="001124F2" w:rsidRDefault="001124F2">
      <w:pPr>
        <w:pStyle w:val="a9"/>
        <w:jc w:val="left"/>
      </w:pPr>
      <w:bookmarkStart w:id="2" w:name="_Hlt8976590"/>
      <w:r w:rsidRPr="00186891">
        <w:rPr>
          <w:rFonts w:ascii="Courier New" w:hAnsi="Courier New"/>
        </w:rPr>
        <w:t>http://www.budgetrf.r</w:t>
      </w:r>
      <w:bookmarkStart w:id="3" w:name="_Hlt9000345"/>
      <w:r w:rsidRPr="00186891">
        <w:rPr>
          <w:rFonts w:ascii="Courier New" w:hAnsi="Courier New"/>
        </w:rPr>
        <w:t>u</w:t>
      </w:r>
      <w:bookmarkEnd w:id="2"/>
      <w:bookmarkEnd w:id="3"/>
      <w:r>
        <w:t xml:space="preserve"> </w:t>
      </w:r>
      <w:r>
        <w:rPr>
          <w:b w:val="0"/>
        </w:rPr>
        <w:t xml:space="preserve">– </w:t>
      </w:r>
      <w:r>
        <w:rPr>
          <w:rFonts w:ascii="Courier New" w:hAnsi="Courier New"/>
          <w:b w:val="0"/>
        </w:rPr>
        <w:t>Бюджет Российской Федерации</w:t>
      </w:r>
      <w:r>
        <w:rPr>
          <w:b w:val="0"/>
        </w:rPr>
        <w:t>:</w:t>
      </w:r>
    </w:p>
    <w:p w:rsidR="001124F2" w:rsidRDefault="001124F2" w:rsidP="001124F2">
      <w:pPr>
        <w:numPr>
          <w:ilvl w:val="0"/>
          <w:numId w:val="10"/>
        </w:numPr>
        <w:jc w:val="both"/>
        <w:rPr>
          <w:rFonts w:ascii="Courier New" w:hAnsi="Courier New"/>
          <w:sz w:val="28"/>
        </w:rPr>
      </w:pPr>
      <w:r>
        <w:rPr>
          <w:rFonts w:ascii="Courier New" w:hAnsi="Courier New"/>
          <w:sz w:val="28"/>
        </w:rPr>
        <w:t>Бюджетная система РФ;</w:t>
      </w:r>
    </w:p>
    <w:p w:rsidR="001124F2" w:rsidRDefault="001124F2" w:rsidP="001124F2">
      <w:pPr>
        <w:numPr>
          <w:ilvl w:val="0"/>
          <w:numId w:val="10"/>
        </w:numPr>
        <w:jc w:val="both"/>
        <w:rPr>
          <w:rFonts w:ascii="Courier New" w:hAnsi="Courier New"/>
          <w:sz w:val="28"/>
        </w:rPr>
      </w:pPr>
      <w:r>
        <w:rPr>
          <w:rFonts w:ascii="Courier New" w:hAnsi="Courier New"/>
          <w:sz w:val="28"/>
        </w:rPr>
        <w:t>Программа Союза Правых Сил (Совершенствование процедур разработки, утверждения, исполнения и контроля за исполнением государственного бюджета и проблемы статуса внебюджетных фондов в системе государственных финансов);</w:t>
      </w:r>
    </w:p>
    <w:p w:rsidR="001124F2" w:rsidRDefault="001124F2" w:rsidP="001124F2">
      <w:pPr>
        <w:numPr>
          <w:ilvl w:val="0"/>
          <w:numId w:val="10"/>
        </w:numPr>
        <w:jc w:val="both"/>
        <w:rPr>
          <w:rFonts w:ascii="Courier New" w:hAnsi="Courier New"/>
          <w:sz w:val="28"/>
        </w:rPr>
      </w:pPr>
      <w:r>
        <w:rPr>
          <w:rFonts w:ascii="Courier New" w:hAnsi="Courier New"/>
          <w:sz w:val="28"/>
        </w:rPr>
        <w:t>Заключения Экспертно-консультативного Совета  при Председателе Счетной Палаты Российской Федерации «о Федеральном бюджете на 2002г.»;</w:t>
      </w:r>
    </w:p>
    <w:p w:rsidR="001124F2" w:rsidRDefault="001124F2" w:rsidP="001124F2">
      <w:pPr>
        <w:numPr>
          <w:ilvl w:val="0"/>
          <w:numId w:val="10"/>
        </w:numPr>
        <w:jc w:val="both"/>
        <w:rPr>
          <w:rFonts w:ascii="Courier New" w:hAnsi="Courier New"/>
          <w:sz w:val="28"/>
        </w:rPr>
      </w:pPr>
      <w:r>
        <w:rPr>
          <w:rFonts w:ascii="Courier New" w:hAnsi="Courier New"/>
          <w:sz w:val="28"/>
        </w:rPr>
        <w:t>Бюджетное послание Президента РФ Федеральному Собранию РФ «о бюджетной политике на 2002год»;</w:t>
      </w:r>
    </w:p>
    <w:p w:rsidR="001124F2" w:rsidRDefault="001124F2">
      <w:pPr>
        <w:pStyle w:val="a6"/>
      </w:pPr>
    </w:p>
    <w:p w:rsidR="001124F2" w:rsidRDefault="001124F2">
      <w:pPr>
        <w:pStyle w:val="a6"/>
        <w:jc w:val="both"/>
        <w:rPr>
          <w:rFonts w:ascii="Courier New" w:hAnsi="Courier New"/>
          <w:sz w:val="28"/>
        </w:rPr>
      </w:pPr>
      <w:r>
        <w:rPr>
          <w:rFonts w:ascii="Courier New" w:hAnsi="Courier New"/>
          <w:b/>
          <w:kern w:val="28"/>
          <w:sz w:val="28"/>
          <w:u w:val="single"/>
        </w:rPr>
        <w:t>http://www.nalog.ru</w:t>
      </w:r>
      <w:r>
        <w:rPr>
          <w:rFonts w:ascii="Courier New" w:hAnsi="Courier New"/>
          <w:sz w:val="28"/>
        </w:rPr>
        <w:t xml:space="preserve"> – Министерство РФ по налогам и сборам:</w:t>
      </w:r>
    </w:p>
    <w:p w:rsidR="001124F2" w:rsidRDefault="001124F2" w:rsidP="001124F2">
      <w:pPr>
        <w:pStyle w:val="a6"/>
        <w:numPr>
          <w:ilvl w:val="0"/>
          <w:numId w:val="9"/>
        </w:numPr>
        <w:jc w:val="both"/>
        <w:rPr>
          <w:rFonts w:ascii="Courier New" w:hAnsi="Courier New"/>
          <w:sz w:val="28"/>
        </w:rPr>
      </w:pPr>
      <w:r>
        <w:rPr>
          <w:rFonts w:ascii="Courier New" w:hAnsi="Courier New"/>
          <w:sz w:val="28"/>
        </w:rPr>
        <w:t>статистическая информация;</w:t>
      </w:r>
    </w:p>
    <w:p w:rsidR="001124F2" w:rsidRDefault="001124F2" w:rsidP="001124F2">
      <w:pPr>
        <w:pStyle w:val="a6"/>
        <w:numPr>
          <w:ilvl w:val="0"/>
          <w:numId w:val="9"/>
        </w:numPr>
        <w:jc w:val="both"/>
        <w:rPr>
          <w:rFonts w:ascii="Courier New" w:hAnsi="Courier New"/>
          <w:sz w:val="28"/>
        </w:rPr>
      </w:pPr>
      <w:r>
        <w:rPr>
          <w:rFonts w:ascii="Courier New" w:hAnsi="Courier New"/>
          <w:sz w:val="28"/>
        </w:rPr>
        <w:t>диаграммы;</w:t>
      </w:r>
    </w:p>
    <w:p w:rsidR="001124F2" w:rsidRDefault="001124F2">
      <w:pPr>
        <w:pStyle w:val="a6"/>
        <w:ind w:left="60"/>
        <w:jc w:val="both"/>
        <w:rPr>
          <w:rFonts w:ascii="Courier New" w:hAnsi="Courier New"/>
          <w:sz w:val="28"/>
        </w:rPr>
      </w:pPr>
    </w:p>
    <w:p w:rsidR="001124F2" w:rsidRDefault="001124F2">
      <w:pPr>
        <w:pStyle w:val="a6"/>
        <w:ind w:left="60"/>
        <w:jc w:val="both"/>
        <w:rPr>
          <w:rFonts w:ascii="Courier New" w:hAnsi="Courier New"/>
          <w:color w:val="000000"/>
          <w:sz w:val="28"/>
        </w:rPr>
      </w:pPr>
      <w:r w:rsidRPr="00186891">
        <w:rPr>
          <w:rFonts w:ascii="Courier New" w:hAnsi="Courier New"/>
          <w:b/>
          <w:color w:val="000000"/>
          <w:sz w:val="28"/>
        </w:rPr>
        <w:t>http://www.yandex.ru</w:t>
      </w:r>
      <w:r>
        <w:rPr>
          <w:rFonts w:ascii="Courier New" w:hAnsi="Courier New"/>
          <w:color w:val="000000"/>
          <w:sz w:val="28"/>
        </w:rPr>
        <w:t xml:space="preserve"> – Поисковая система</w:t>
      </w:r>
    </w:p>
    <w:p w:rsidR="001124F2" w:rsidRDefault="001124F2">
      <w:pPr>
        <w:pStyle w:val="a6"/>
        <w:ind w:left="60"/>
        <w:jc w:val="both"/>
        <w:rPr>
          <w:rFonts w:ascii="Courier New" w:hAnsi="Courier New"/>
          <w:sz w:val="28"/>
        </w:rPr>
      </w:pPr>
    </w:p>
    <w:p w:rsidR="001124F2" w:rsidRDefault="001124F2">
      <w:pPr>
        <w:pStyle w:val="1"/>
        <w:jc w:val="center"/>
        <w:rPr>
          <w:b w:val="0"/>
        </w:rPr>
      </w:pPr>
      <w:r>
        <w:br w:type="page"/>
        <w:t>Приложения:</w:t>
      </w:r>
      <w:r>
        <w:rPr>
          <w:b w:val="0"/>
        </w:rPr>
        <w:t xml:space="preserve"> </w:t>
      </w:r>
    </w:p>
    <w:p w:rsidR="001124F2" w:rsidRDefault="00901A89">
      <w:pPr>
        <w:pStyle w:val="a9"/>
        <w:ind w:left="0"/>
        <w:rPr>
          <w:rFonts w:ascii="Courier New" w:hAnsi="Courier New"/>
        </w:rPr>
      </w:pPr>
      <w:r>
        <w:rPr>
          <w:rFonts w:ascii="Courier New" w:hAnsi="Courier New"/>
        </w:rPr>
        <w:pict>
          <v:shape id="_x0000_s1054" type="#_x0000_t75" style="position:absolute;left:0;text-align:left;margin-left:0;margin-top:47.2pt;width:478.5pt;height:252pt;z-index:251656192" o:allowincell="f">
            <v:imagedata r:id="rId10" o:title=""/>
            <w10:wrap type="topAndBottom"/>
          </v:shape>
        </w:pict>
      </w:r>
      <w:r w:rsidR="001124F2">
        <w:rPr>
          <w:rFonts w:ascii="Courier New" w:hAnsi="Courier New"/>
        </w:rPr>
        <w:t>Структура поступлений налогов и сборов в консолидированный бюджет по видам налогов за январь-декабрь 2001 года (в %)</w:t>
      </w:r>
    </w:p>
    <w:p w:rsidR="001124F2" w:rsidRDefault="001124F2">
      <w:pPr>
        <w:pStyle w:val="11"/>
      </w:pPr>
    </w:p>
    <w:p w:rsidR="001124F2" w:rsidRDefault="00901A89">
      <w:pPr>
        <w:pStyle w:val="11"/>
        <w:jc w:val="center"/>
        <w:rPr>
          <w:rFonts w:ascii="Courier New" w:hAnsi="Courier New"/>
          <w:sz w:val="28"/>
        </w:rPr>
      </w:pPr>
      <w:r>
        <w:rPr>
          <w:noProof/>
          <w:snapToGrid/>
        </w:rPr>
        <w:pict>
          <v:shape id="_x0000_s1060" type="#_x0000_t75" style="position:absolute;left:0;text-align:left;margin-left:29.25pt;margin-top:61.2pt;width:443.45pt;height:241.5pt;z-index:251659264;visibility:visible;mso-wrap-edited:f" o:allowincell="f">
            <v:imagedata r:id="rId11" o:title=""/>
            <w10:wrap type="topAndBottom"/>
          </v:shape>
        </w:pict>
      </w:r>
      <w:r w:rsidR="001124F2">
        <w:rPr>
          <w:rFonts w:ascii="Courier New" w:hAnsi="Courier New"/>
          <w:b/>
          <w:sz w:val="28"/>
        </w:rPr>
        <w:t>Структура поступлений налогов и сборов в федеральный бюджет по видам налогов за январь-декабрь 2001 года (в %)</w:t>
      </w:r>
    </w:p>
    <w:p w:rsidR="001124F2" w:rsidRDefault="001124F2">
      <w:pPr>
        <w:pStyle w:val="11"/>
      </w:pPr>
    </w:p>
    <w:p w:rsidR="001124F2" w:rsidRDefault="001124F2">
      <w:pPr>
        <w:pStyle w:val="11"/>
      </w:pPr>
    </w:p>
    <w:p w:rsidR="001124F2" w:rsidRDefault="00901A89">
      <w:pPr>
        <w:pStyle w:val="11"/>
        <w:jc w:val="center"/>
        <w:rPr>
          <w:rFonts w:ascii="Courier New" w:hAnsi="Courier New"/>
          <w:sz w:val="28"/>
        </w:rPr>
      </w:pPr>
      <w:r>
        <w:pict>
          <v:shape id="_x0000_s1057" type="#_x0000_t75" style="position:absolute;left:0;text-align:left;margin-left:16.5pt;margin-top:59.2pt;width:467.4pt;height:370.5pt;z-index:251657216" o:allowincell="f">
            <v:imagedata r:id="rId12" o:title=""/>
            <w10:wrap type="topAndBottom"/>
          </v:shape>
        </w:pict>
      </w:r>
      <w:r w:rsidR="001124F2">
        <w:rPr>
          <w:rFonts w:ascii="Courier New" w:hAnsi="Courier New"/>
          <w:b/>
          <w:sz w:val="28"/>
        </w:rPr>
        <w:t>Поступление налогов и сборов, контролируемых МНС России, в федеральный бюджет в 1999-2001 годах</w:t>
      </w:r>
    </w:p>
    <w:p w:rsidR="001124F2" w:rsidRDefault="001124F2">
      <w:pPr>
        <w:pStyle w:val="11"/>
      </w:pPr>
    </w:p>
    <w:p w:rsidR="001124F2" w:rsidRDefault="001124F2">
      <w:r>
        <w:br w:type="page"/>
      </w:r>
    </w:p>
    <w:p w:rsidR="001124F2" w:rsidRDefault="001124F2"/>
    <w:p w:rsidR="001124F2" w:rsidRDefault="001124F2">
      <w:pPr>
        <w:pStyle w:val="11"/>
        <w:jc w:val="center"/>
        <w:rPr>
          <w:rFonts w:ascii="Courier New" w:hAnsi="Courier New"/>
          <w:b/>
          <w:sz w:val="28"/>
        </w:rPr>
      </w:pPr>
      <w:r>
        <w:rPr>
          <w:rFonts w:ascii="Courier New" w:hAnsi="Courier New"/>
          <w:b/>
          <w:sz w:val="28"/>
        </w:rPr>
        <w:t>Бюджетное послание президента Российской Федерации Федеральному Собранию Российской Федерации "О бюджетной политике на 2002 год"</w:t>
      </w:r>
    </w:p>
    <w:p w:rsidR="001124F2" w:rsidRDefault="001124F2">
      <w:pPr>
        <w:pStyle w:val="11"/>
        <w:spacing w:before="0" w:after="0"/>
        <w:ind w:firstLine="567"/>
        <w:jc w:val="both"/>
        <w:rPr>
          <w:rFonts w:ascii="Courier New" w:hAnsi="Courier New"/>
          <w:sz w:val="28"/>
        </w:rPr>
      </w:pPr>
      <w:r>
        <w:rPr>
          <w:rFonts w:ascii="Courier New" w:hAnsi="Courier New"/>
          <w:sz w:val="28"/>
        </w:rPr>
        <w:t xml:space="preserve">20 апреля 2001 года Президент Российской Федерации В.В.Путин в соответствии со статьей 170 Бюджетного кодекса Российской Федерации направил Председателю Совета Федерации Федерального Собрания Российской Федерации Е.С.Строеву, Председателю Государственной Думы Федерального Собрания Российской Федерации Г.Н.Селезневу и Председателю Правительства Российской Федерации М.М.Касьянову Бюджетное послание Президента Российской Федерации Федеральному Собранию Российской Федерации "О бюджетной политике на 2002 год" (см. письмо от 31 марта 2001 года N Пр-605). </w:t>
      </w:r>
    </w:p>
    <w:p w:rsidR="001124F2" w:rsidRDefault="001124F2">
      <w:pPr>
        <w:pStyle w:val="11"/>
        <w:spacing w:before="0" w:after="0"/>
        <w:ind w:firstLine="567"/>
        <w:jc w:val="both"/>
        <w:rPr>
          <w:rFonts w:ascii="Courier New" w:hAnsi="Courier New"/>
          <w:sz w:val="28"/>
        </w:rPr>
      </w:pPr>
      <w:r>
        <w:rPr>
          <w:rFonts w:ascii="Courier New" w:hAnsi="Courier New"/>
          <w:sz w:val="28"/>
        </w:rPr>
        <w:t xml:space="preserve">В письме Председателю Правительства Российской Федерации М.М.Касьянову глава государства указал, что "Правительству Российской Федерации на основании пункта 1 статьи 171 и пункта 3 статьи 172 Бюджетного кодекса Российской Федерации надлежит принять Бюджетное послание Президента Российской Федерации за основу при подготовке проектов федерального бюджета на 2002 год и Федерального закона "О федеральном бюджете на 2002 год". </w:t>
      </w:r>
    </w:p>
    <w:p w:rsidR="001124F2" w:rsidRDefault="001124F2">
      <w:pPr>
        <w:pStyle w:val="11"/>
        <w:spacing w:before="0" w:after="0"/>
        <w:ind w:firstLine="567"/>
        <w:jc w:val="both"/>
        <w:rPr>
          <w:rFonts w:ascii="Courier New" w:hAnsi="Courier New"/>
          <w:sz w:val="28"/>
        </w:rPr>
      </w:pPr>
      <w:r>
        <w:rPr>
          <w:rFonts w:ascii="Courier New" w:hAnsi="Courier New"/>
          <w:sz w:val="28"/>
        </w:rPr>
        <w:t xml:space="preserve">Текст Бюджетного послания содержит основные ориентиры бюджетной политики в 2002 году, вытекающие из стратегических направлений, сформулированных в Бюджетном послании Президента РФ Федеральному Собранию РФ "О бюджетной политике на 2001 год и на среднесрочную перспективу". </w:t>
      </w:r>
    </w:p>
    <w:p w:rsidR="001124F2" w:rsidRDefault="001124F2">
      <w:pPr>
        <w:pStyle w:val="11"/>
        <w:spacing w:before="0" w:after="0"/>
        <w:ind w:firstLine="567"/>
        <w:jc w:val="both"/>
        <w:rPr>
          <w:rFonts w:ascii="Courier New" w:hAnsi="Courier New"/>
          <w:sz w:val="28"/>
        </w:rPr>
      </w:pPr>
      <w:r>
        <w:rPr>
          <w:rFonts w:ascii="Courier New" w:hAnsi="Courier New"/>
          <w:sz w:val="28"/>
        </w:rPr>
        <w:t xml:space="preserve">Как следует из послания, важнейшей задачей бюджетной политики в 2002 году и на долгосрочную перспективу является поддержание макроэкономической сбалансированности. Профицит федерального бюджета в 2000 году составил 2,5 процента ВВП. На 2001 год также предусмотрена бездифицитность федерального бюджета. Президент РФ отметил, что такая политика должна быть продолжена в 2002 году и в последующие годы. </w:t>
      </w:r>
    </w:p>
    <w:p w:rsidR="001124F2" w:rsidRDefault="001124F2">
      <w:pPr>
        <w:pStyle w:val="11"/>
        <w:spacing w:before="0" w:after="0"/>
        <w:ind w:firstLine="567"/>
        <w:jc w:val="both"/>
        <w:rPr>
          <w:rFonts w:ascii="Courier New" w:hAnsi="Courier New"/>
          <w:sz w:val="28"/>
        </w:rPr>
      </w:pPr>
      <w:r>
        <w:rPr>
          <w:rFonts w:ascii="Courier New" w:hAnsi="Courier New"/>
          <w:sz w:val="28"/>
        </w:rPr>
        <w:t xml:space="preserve">Более подробно остановимся на определении Президентом РФ первоочередных задач бюджетной политики в области доходов. </w:t>
      </w:r>
    </w:p>
    <w:p w:rsidR="001124F2" w:rsidRDefault="001124F2">
      <w:pPr>
        <w:pStyle w:val="11"/>
        <w:spacing w:before="0" w:after="0"/>
        <w:ind w:firstLine="567"/>
        <w:jc w:val="both"/>
        <w:rPr>
          <w:rFonts w:ascii="Courier New" w:hAnsi="Courier New"/>
          <w:sz w:val="28"/>
        </w:rPr>
      </w:pPr>
      <w:r>
        <w:rPr>
          <w:rFonts w:ascii="Courier New" w:hAnsi="Courier New"/>
          <w:sz w:val="28"/>
        </w:rPr>
        <w:t xml:space="preserve">Отмечено, что увеличение доходов федерального бюджета должно происходить не за счет увеличения налоговой нагрузки на экономику, а за счет расширения налогооблагаемой базы благодаря созданию благоприятных условий для развития частного бизнеса, сокращению нелегального теневого оборота. </w:t>
      </w:r>
    </w:p>
    <w:p w:rsidR="001124F2" w:rsidRDefault="001124F2">
      <w:pPr>
        <w:pStyle w:val="11"/>
        <w:spacing w:before="0" w:after="0"/>
        <w:ind w:firstLine="567"/>
        <w:jc w:val="both"/>
        <w:rPr>
          <w:rFonts w:ascii="Courier New" w:hAnsi="Courier New"/>
          <w:sz w:val="28"/>
        </w:rPr>
      </w:pPr>
      <w:r>
        <w:rPr>
          <w:rFonts w:ascii="Courier New" w:hAnsi="Courier New"/>
          <w:sz w:val="28"/>
        </w:rPr>
        <w:t xml:space="preserve">Президентом РФ определены следующие основные направления дальнейшего развития налоговой реформы: </w:t>
      </w:r>
    </w:p>
    <w:p w:rsidR="001124F2" w:rsidRDefault="001124F2" w:rsidP="001124F2">
      <w:pPr>
        <w:pStyle w:val="11"/>
        <w:numPr>
          <w:ilvl w:val="0"/>
          <w:numId w:val="11"/>
        </w:numPr>
        <w:tabs>
          <w:tab w:val="clear" w:pos="360"/>
          <w:tab w:val="num" w:pos="0"/>
        </w:tabs>
        <w:spacing w:before="0" w:after="0"/>
        <w:ind w:left="0" w:firstLine="567"/>
        <w:jc w:val="both"/>
        <w:rPr>
          <w:rFonts w:ascii="Courier New" w:hAnsi="Courier New"/>
          <w:sz w:val="28"/>
        </w:rPr>
      </w:pPr>
      <w:r>
        <w:rPr>
          <w:rFonts w:ascii="Courier New" w:hAnsi="Courier New"/>
          <w:sz w:val="28"/>
        </w:rPr>
        <w:t xml:space="preserve">принятие главы Налогового кодекса РФ, регулирующей вопросы налогообложения прибыли; исключение из налоговой системы полностью налогов и сборов, уплачиваемых с выручки от реализации товаров (работ, услуг), а также налога на покупку иностранных денежных знаков, - не позднее чем с 2003 года; </w:t>
      </w:r>
    </w:p>
    <w:p w:rsidR="001124F2" w:rsidRDefault="001124F2" w:rsidP="001124F2">
      <w:pPr>
        <w:pStyle w:val="11"/>
        <w:numPr>
          <w:ilvl w:val="0"/>
          <w:numId w:val="11"/>
        </w:numPr>
        <w:tabs>
          <w:tab w:val="clear" w:pos="360"/>
          <w:tab w:val="num" w:pos="0"/>
        </w:tabs>
        <w:spacing w:before="0" w:after="0"/>
        <w:ind w:left="0" w:firstLine="567"/>
        <w:jc w:val="both"/>
        <w:rPr>
          <w:rFonts w:ascii="Courier New" w:hAnsi="Courier New"/>
          <w:sz w:val="28"/>
        </w:rPr>
      </w:pPr>
      <w:r>
        <w:rPr>
          <w:rFonts w:ascii="Courier New" w:hAnsi="Courier New"/>
          <w:sz w:val="28"/>
        </w:rPr>
        <w:t xml:space="preserve">продолжение снижения ставок единого социального налога; </w:t>
      </w:r>
    </w:p>
    <w:p w:rsidR="001124F2" w:rsidRDefault="001124F2" w:rsidP="001124F2">
      <w:pPr>
        <w:pStyle w:val="11"/>
        <w:numPr>
          <w:ilvl w:val="0"/>
          <w:numId w:val="11"/>
        </w:numPr>
        <w:tabs>
          <w:tab w:val="clear" w:pos="360"/>
          <w:tab w:val="num" w:pos="0"/>
        </w:tabs>
        <w:spacing w:before="0" w:after="0"/>
        <w:ind w:left="0" w:firstLine="567"/>
        <w:jc w:val="both"/>
        <w:rPr>
          <w:rFonts w:ascii="Courier New" w:hAnsi="Courier New"/>
          <w:sz w:val="28"/>
        </w:rPr>
      </w:pPr>
      <w:r>
        <w:rPr>
          <w:rFonts w:ascii="Courier New" w:hAnsi="Courier New"/>
          <w:sz w:val="28"/>
        </w:rPr>
        <w:t xml:space="preserve">сохранение единой ставки налога на доходы физических лиц в размере 13 процентов; </w:t>
      </w:r>
    </w:p>
    <w:p w:rsidR="001124F2" w:rsidRDefault="001124F2" w:rsidP="001124F2">
      <w:pPr>
        <w:pStyle w:val="11"/>
        <w:numPr>
          <w:ilvl w:val="0"/>
          <w:numId w:val="11"/>
        </w:numPr>
        <w:tabs>
          <w:tab w:val="clear" w:pos="360"/>
          <w:tab w:val="num" w:pos="0"/>
        </w:tabs>
        <w:spacing w:before="0" w:after="0"/>
        <w:ind w:left="0" w:firstLine="567"/>
        <w:jc w:val="both"/>
        <w:rPr>
          <w:rFonts w:ascii="Courier New" w:hAnsi="Courier New"/>
          <w:sz w:val="28"/>
        </w:rPr>
      </w:pPr>
      <w:r>
        <w:rPr>
          <w:rFonts w:ascii="Courier New" w:hAnsi="Courier New"/>
          <w:sz w:val="28"/>
        </w:rPr>
        <w:t xml:space="preserve">продолжение реформы налогообложения пользования природными ресурсами. Необходимо вводить и постепенно расширять применение рентных принципов в отношении налоговых платежей за пользование недрами. По словам Президента РФ, целесообразно перейти к исчислению платы за пользование недрами на основе рыночных цен, сохранив практику установления экспортных пошлин на добываемые ресурсы. </w:t>
      </w:r>
    </w:p>
    <w:p w:rsidR="001124F2" w:rsidRDefault="001124F2">
      <w:pPr>
        <w:pStyle w:val="11"/>
        <w:spacing w:before="0" w:after="0"/>
        <w:ind w:firstLine="567"/>
        <w:jc w:val="both"/>
        <w:rPr>
          <w:rFonts w:ascii="Courier New" w:hAnsi="Courier New"/>
          <w:sz w:val="28"/>
        </w:rPr>
      </w:pPr>
      <w:r>
        <w:rPr>
          <w:rFonts w:ascii="Courier New" w:hAnsi="Courier New"/>
          <w:sz w:val="28"/>
        </w:rPr>
        <w:t xml:space="preserve">В соответствии с Бюджетным посланием, соответствующие поправки в Налоговый кодекс Российской Федерации по названным направлениям должны быть подготовлены и приняты уже в текущем году, чтобы их можно было положить в основу бюджетной политики на предстоящий год. </w:t>
      </w:r>
    </w:p>
    <w:p w:rsidR="001124F2" w:rsidRDefault="001124F2">
      <w:pPr>
        <w:pStyle w:val="11"/>
        <w:spacing w:before="0" w:after="0"/>
        <w:ind w:firstLine="567"/>
        <w:jc w:val="both"/>
        <w:rPr>
          <w:rFonts w:ascii="Courier New" w:hAnsi="Courier New"/>
          <w:sz w:val="28"/>
        </w:rPr>
      </w:pPr>
      <w:r>
        <w:rPr>
          <w:rFonts w:ascii="Courier New" w:hAnsi="Courier New"/>
          <w:sz w:val="28"/>
        </w:rPr>
        <w:t xml:space="preserve">Что же касается области расходов, то Президент РФ выделил следующие первоочередные задачи бюджетной политики: </w:t>
      </w:r>
    </w:p>
    <w:p w:rsidR="001124F2" w:rsidRDefault="001124F2" w:rsidP="001124F2">
      <w:pPr>
        <w:pStyle w:val="11"/>
        <w:numPr>
          <w:ilvl w:val="0"/>
          <w:numId w:val="11"/>
        </w:numPr>
        <w:tabs>
          <w:tab w:val="clear" w:pos="360"/>
          <w:tab w:val="num" w:pos="0"/>
        </w:tabs>
        <w:spacing w:before="0" w:after="0"/>
        <w:ind w:left="0" w:firstLine="567"/>
        <w:jc w:val="both"/>
        <w:rPr>
          <w:rFonts w:ascii="Courier New" w:hAnsi="Courier New"/>
          <w:sz w:val="28"/>
        </w:rPr>
      </w:pPr>
      <w:r>
        <w:rPr>
          <w:rFonts w:ascii="Courier New" w:hAnsi="Courier New"/>
          <w:sz w:val="28"/>
        </w:rPr>
        <w:t xml:space="preserve">установление жестких смет расходов для всех государственных органов и бюджетных учреждений; </w:t>
      </w:r>
    </w:p>
    <w:p w:rsidR="001124F2" w:rsidRDefault="001124F2" w:rsidP="001124F2">
      <w:pPr>
        <w:pStyle w:val="11"/>
        <w:numPr>
          <w:ilvl w:val="0"/>
          <w:numId w:val="11"/>
        </w:numPr>
        <w:tabs>
          <w:tab w:val="clear" w:pos="360"/>
          <w:tab w:val="num" w:pos="0"/>
        </w:tabs>
        <w:spacing w:before="0" w:after="0"/>
        <w:ind w:left="0" w:firstLine="567"/>
        <w:jc w:val="both"/>
        <w:rPr>
          <w:rFonts w:ascii="Courier New" w:hAnsi="Courier New"/>
          <w:sz w:val="28"/>
        </w:rPr>
      </w:pPr>
      <w:r>
        <w:rPr>
          <w:rFonts w:ascii="Courier New" w:hAnsi="Courier New"/>
          <w:sz w:val="28"/>
        </w:rPr>
        <w:t xml:space="preserve">завершение формирования механизма, препятствующего принятию законов без учета их последствий для бюджетной системы; </w:t>
      </w:r>
    </w:p>
    <w:p w:rsidR="001124F2" w:rsidRDefault="001124F2" w:rsidP="001124F2">
      <w:pPr>
        <w:pStyle w:val="11"/>
        <w:numPr>
          <w:ilvl w:val="0"/>
          <w:numId w:val="11"/>
        </w:numPr>
        <w:tabs>
          <w:tab w:val="clear" w:pos="360"/>
          <w:tab w:val="num" w:pos="0"/>
        </w:tabs>
        <w:spacing w:before="0" w:after="0"/>
        <w:ind w:left="0" w:firstLine="567"/>
        <w:jc w:val="both"/>
        <w:rPr>
          <w:rFonts w:ascii="Courier New" w:hAnsi="Courier New"/>
          <w:sz w:val="28"/>
        </w:rPr>
      </w:pPr>
      <w:r>
        <w:rPr>
          <w:rFonts w:ascii="Courier New" w:hAnsi="Courier New"/>
          <w:sz w:val="28"/>
        </w:rPr>
        <w:t xml:space="preserve">овладение современными методами оценки рациональности бюджетных расходов, внедрение индикаторов результативности затрат государственных средств для того, чтобы расходная часть федерального бюджета стала инструментом достижения важнейших социальных и экономических целей; </w:t>
      </w:r>
    </w:p>
    <w:p w:rsidR="001124F2" w:rsidRDefault="001124F2" w:rsidP="001124F2">
      <w:pPr>
        <w:pStyle w:val="11"/>
        <w:numPr>
          <w:ilvl w:val="0"/>
          <w:numId w:val="11"/>
        </w:numPr>
        <w:tabs>
          <w:tab w:val="clear" w:pos="360"/>
          <w:tab w:val="num" w:pos="0"/>
        </w:tabs>
        <w:spacing w:before="0" w:after="0"/>
        <w:ind w:left="0" w:firstLine="567"/>
        <w:jc w:val="both"/>
        <w:rPr>
          <w:rFonts w:ascii="Courier New" w:hAnsi="Courier New"/>
          <w:sz w:val="28"/>
        </w:rPr>
      </w:pPr>
      <w:r>
        <w:rPr>
          <w:rFonts w:ascii="Courier New" w:hAnsi="Courier New"/>
          <w:sz w:val="28"/>
        </w:rPr>
        <w:t xml:space="preserve">продолжение оптимизации сети высших и профессиональных учебных заведений в соответствии с потребностями страны; </w:t>
      </w:r>
    </w:p>
    <w:p w:rsidR="001124F2" w:rsidRDefault="001124F2" w:rsidP="001124F2">
      <w:pPr>
        <w:pStyle w:val="11"/>
        <w:numPr>
          <w:ilvl w:val="0"/>
          <w:numId w:val="11"/>
        </w:numPr>
        <w:tabs>
          <w:tab w:val="clear" w:pos="360"/>
          <w:tab w:val="num" w:pos="0"/>
        </w:tabs>
        <w:spacing w:before="0" w:after="0"/>
        <w:ind w:left="0" w:firstLine="567"/>
        <w:jc w:val="both"/>
        <w:rPr>
          <w:rFonts w:ascii="Courier New" w:hAnsi="Courier New"/>
          <w:sz w:val="28"/>
        </w:rPr>
      </w:pPr>
      <w:r>
        <w:rPr>
          <w:rFonts w:ascii="Courier New" w:hAnsi="Courier New"/>
          <w:sz w:val="28"/>
        </w:rPr>
        <w:t>разработка в текущем году Правительством Российской Федерации Концепции реформирования системы социальных льгот и выплат, предусмотрев при этом замену большинства категориальных льгот адресными формами социальной поддержки населения и ликвидацию ведомственных льгот;</w:t>
      </w:r>
    </w:p>
    <w:p w:rsidR="001124F2" w:rsidRDefault="001124F2" w:rsidP="001124F2">
      <w:pPr>
        <w:pStyle w:val="11"/>
        <w:numPr>
          <w:ilvl w:val="0"/>
          <w:numId w:val="11"/>
        </w:numPr>
        <w:tabs>
          <w:tab w:val="clear" w:pos="360"/>
          <w:tab w:val="num" w:pos="0"/>
        </w:tabs>
        <w:spacing w:before="0" w:after="0"/>
        <w:ind w:left="0" w:firstLine="567"/>
        <w:jc w:val="both"/>
        <w:rPr>
          <w:rFonts w:ascii="Courier New" w:hAnsi="Courier New"/>
          <w:sz w:val="28"/>
        </w:rPr>
      </w:pPr>
      <w:r>
        <w:rPr>
          <w:rFonts w:ascii="Courier New" w:hAnsi="Courier New"/>
          <w:sz w:val="28"/>
        </w:rPr>
        <w:t>осуществление государственных закупок (заказов) должно происходить прозрачно, на конкурсной основе;</w:t>
      </w:r>
    </w:p>
    <w:p w:rsidR="001124F2" w:rsidRDefault="001124F2" w:rsidP="001124F2">
      <w:pPr>
        <w:pStyle w:val="11"/>
        <w:numPr>
          <w:ilvl w:val="0"/>
          <w:numId w:val="11"/>
        </w:numPr>
        <w:tabs>
          <w:tab w:val="clear" w:pos="360"/>
          <w:tab w:val="num" w:pos="0"/>
        </w:tabs>
        <w:spacing w:before="0" w:after="0"/>
        <w:ind w:left="0" w:firstLine="567"/>
        <w:jc w:val="both"/>
        <w:rPr>
          <w:rFonts w:ascii="Courier New" w:hAnsi="Courier New"/>
          <w:sz w:val="28"/>
        </w:rPr>
      </w:pPr>
      <w:r>
        <w:rPr>
          <w:rFonts w:ascii="Courier New" w:hAnsi="Courier New"/>
          <w:sz w:val="28"/>
        </w:rPr>
        <w:t xml:space="preserve">осуществление расходов на оплату бюджетными организациями потребляемых топливно-энергетических ресурсов должно быть жестко увязано с тарифной политикой государства в этой сфере; </w:t>
      </w:r>
    </w:p>
    <w:p w:rsidR="001124F2" w:rsidRDefault="001124F2" w:rsidP="001124F2">
      <w:pPr>
        <w:pStyle w:val="11"/>
        <w:numPr>
          <w:ilvl w:val="0"/>
          <w:numId w:val="11"/>
        </w:numPr>
        <w:tabs>
          <w:tab w:val="clear" w:pos="360"/>
          <w:tab w:val="num" w:pos="0"/>
        </w:tabs>
        <w:spacing w:before="0" w:after="0"/>
        <w:ind w:left="0" w:firstLine="567"/>
        <w:jc w:val="both"/>
        <w:rPr>
          <w:rFonts w:ascii="Courier New" w:hAnsi="Courier New"/>
          <w:sz w:val="28"/>
        </w:rPr>
      </w:pPr>
      <w:r>
        <w:rPr>
          <w:rFonts w:ascii="Courier New" w:hAnsi="Courier New"/>
          <w:sz w:val="28"/>
        </w:rPr>
        <w:t xml:space="preserve">начать в 2002 году реформирование пенсионной системы. При этом, по мнению Президента РФ, нельзя допустить снижения достигнутого уровня пенсионного обеспечения сегодняшних пенсионеров; </w:t>
      </w:r>
    </w:p>
    <w:p w:rsidR="001124F2" w:rsidRDefault="001124F2" w:rsidP="001124F2">
      <w:pPr>
        <w:pStyle w:val="11"/>
        <w:numPr>
          <w:ilvl w:val="0"/>
          <w:numId w:val="11"/>
        </w:numPr>
        <w:tabs>
          <w:tab w:val="clear" w:pos="360"/>
          <w:tab w:val="num" w:pos="0"/>
        </w:tabs>
        <w:spacing w:before="0" w:after="0"/>
        <w:ind w:left="0" w:firstLine="567"/>
        <w:jc w:val="both"/>
        <w:rPr>
          <w:rFonts w:ascii="Courier New" w:hAnsi="Courier New"/>
          <w:sz w:val="28"/>
        </w:rPr>
      </w:pPr>
      <w:r>
        <w:rPr>
          <w:rFonts w:ascii="Courier New" w:hAnsi="Courier New"/>
          <w:sz w:val="28"/>
        </w:rPr>
        <w:t xml:space="preserve">обращение особого внимания на реформирование государственной службы и судебной системы. </w:t>
      </w:r>
    </w:p>
    <w:p w:rsidR="001124F2" w:rsidRDefault="001124F2">
      <w:pPr>
        <w:pStyle w:val="11"/>
        <w:spacing w:before="0" w:after="0"/>
        <w:ind w:firstLine="567"/>
        <w:jc w:val="both"/>
        <w:rPr>
          <w:rFonts w:ascii="Courier New" w:hAnsi="Courier New"/>
          <w:sz w:val="28"/>
        </w:rPr>
      </w:pPr>
      <w:r>
        <w:rPr>
          <w:rFonts w:ascii="Courier New" w:hAnsi="Courier New"/>
          <w:sz w:val="28"/>
        </w:rPr>
        <w:t>Помимо этих вопросов, Бюджетное послание Президента РФ также определяет направления деятельности бюджетной политики в области межбюджетных отношений и управления государственным долгом. В нем поставлены задачи по совершенствованию правоотношений в сфере казначейских технологий и управления государственными финансами.</w:t>
      </w:r>
    </w:p>
    <w:p w:rsidR="001124F2" w:rsidRDefault="001124F2">
      <w:pPr>
        <w:pStyle w:val="11"/>
      </w:pPr>
    </w:p>
    <w:p w:rsidR="001124F2" w:rsidRDefault="001124F2">
      <w:pPr>
        <w:pStyle w:val="11"/>
        <w:spacing w:before="0" w:after="0"/>
        <w:ind w:firstLine="567"/>
        <w:jc w:val="both"/>
        <w:rPr>
          <w:rFonts w:ascii="Courier New" w:hAnsi="Courier New"/>
          <w:sz w:val="28"/>
        </w:rPr>
      </w:pPr>
    </w:p>
    <w:p w:rsidR="001124F2" w:rsidRDefault="001124F2">
      <w:pPr>
        <w:pStyle w:val="11"/>
        <w:spacing w:before="0" w:after="0"/>
        <w:jc w:val="center"/>
        <w:rPr>
          <w:rFonts w:ascii="Courier New" w:hAnsi="Courier New"/>
          <w:b/>
          <w:sz w:val="28"/>
        </w:rPr>
      </w:pPr>
      <w:r>
        <w:rPr>
          <w:rFonts w:ascii="Courier New" w:hAnsi="Courier New"/>
          <w:sz w:val="28"/>
        </w:rPr>
        <w:br w:type="page"/>
      </w:r>
      <w:r>
        <w:rPr>
          <w:rFonts w:ascii="Courier New" w:hAnsi="Courier New"/>
          <w:b/>
          <w:sz w:val="28"/>
        </w:rPr>
        <w:t>Приложение к Федеральному закону "О федеральном бюджете на 2002 год"</w:t>
      </w:r>
    </w:p>
    <w:p w:rsidR="001124F2" w:rsidRDefault="001124F2">
      <w:pPr>
        <w:pStyle w:val="11"/>
        <w:spacing w:before="0" w:after="0"/>
        <w:jc w:val="right"/>
        <w:rPr>
          <w:sz w:val="28"/>
        </w:rPr>
      </w:pPr>
    </w:p>
    <w:p w:rsidR="001124F2" w:rsidRDefault="001124F2">
      <w:pPr>
        <w:pStyle w:val="11"/>
        <w:spacing w:before="0" w:after="0"/>
        <w:jc w:val="center"/>
        <w:rPr>
          <w:sz w:val="28"/>
        </w:rPr>
      </w:pPr>
      <w:r>
        <w:rPr>
          <w:b/>
          <w:sz w:val="28"/>
        </w:rPr>
        <w:t>Поступления доходов в федеральный бюджет в 2002 году</w:t>
      </w:r>
    </w:p>
    <w:p w:rsidR="001124F2" w:rsidRDefault="001124F2">
      <w:pPr>
        <w:pStyle w:val="11"/>
        <w:spacing w:before="0" w:after="0"/>
        <w:jc w:val="right"/>
        <w:rPr>
          <w:sz w:val="28"/>
        </w:rPr>
      </w:pPr>
      <w:r>
        <w:rPr>
          <w:i/>
          <w:sz w:val="28"/>
        </w:rPr>
        <w:t>(тыс. рублей)</w:t>
      </w:r>
    </w:p>
    <w:tbl>
      <w:tblPr>
        <w:tblW w:w="0" w:type="auto"/>
        <w:jc w:val="center"/>
        <w:tblLayout w:type="fixed"/>
        <w:tblCellMar>
          <w:left w:w="45" w:type="dxa"/>
          <w:right w:w="45" w:type="dxa"/>
        </w:tblCellMar>
        <w:tblLook w:val="0000" w:firstRow="0" w:lastRow="0" w:firstColumn="0" w:lastColumn="0" w:noHBand="0" w:noVBand="0"/>
      </w:tblPr>
      <w:tblGrid>
        <w:gridCol w:w="1895"/>
        <w:gridCol w:w="6076"/>
        <w:gridCol w:w="2054"/>
      </w:tblGrid>
      <w:tr w:rsidR="001124F2">
        <w:trPr>
          <w:jc w:val="center"/>
        </w:trPr>
        <w:tc>
          <w:tcPr>
            <w:tcW w:w="1895"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jc w:val="center"/>
              <w:rPr>
                <w:b/>
                <w:sz w:val="20"/>
              </w:rPr>
            </w:pPr>
            <w:r>
              <w:rPr>
                <w:b/>
                <w:sz w:val="20"/>
              </w:rPr>
              <w:t>Код бюджетной классификации Российской Федерации</w:t>
            </w:r>
          </w:p>
        </w:tc>
        <w:tc>
          <w:tcPr>
            <w:tcW w:w="6076"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jc w:val="center"/>
              <w:rPr>
                <w:b/>
                <w:sz w:val="20"/>
              </w:rPr>
            </w:pPr>
            <w:r>
              <w:rPr>
                <w:b/>
                <w:sz w:val="20"/>
              </w:rPr>
              <w:t>Наименование налога (сбора)</w:t>
            </w:r>
          </w:p>
        </w:tc>
        <w:tc>
          <w:tcPr>
            <w:tcW w:w="2054"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jc w:val="center"/>
              <w:rPr>
                <w:b/>
                <w:sz w:val="20"/>
              </w:rPr>
            </w:pPr>
            <w:r>
              <w:rPr>
                <w:b/>
                <w:sz w:val="20"/>
              </w:rPr>
              <w:t>Сумма</w:t>
            </w:r>
          </w:p>
        </w:tc>
      </w:tr>
      <w:tr w:rsidR="001124F2">
        <w:trPr>
          <w:jc w:val="center"/>
        </w:trPr>
        <w:tc>
          <w:tcPr>
            <w:tcW w:w="1895"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rPr>
                <w:sz w:val="20"/>
              </w:rPr>
            </w:pPr>
            <w:r>
              <w:rPr>
                <w:sz w:val="20"/>
              </w:rPr>
              <w:t>1000000</w:t>
            </w:r>
          </w:p>
        </w:tc>
        <w:tc>
          <w:tcPr>
            <w:tcW w:w="6076"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rPr>
                <w:sz w:val="20"/>
              </w:rPr>
            </w:pPr>
            <w:r>
              <w:rPr>
                <w:sz w:val="20"/>
              </w:rPr>
              <w:t>Налоговые доходы, всего в том числе:</w:t>
            </w:r>
          </w:p>
        </w:tc>
        <w:tc>
          <w:tcPr>
            <w:tcW w:w="2054"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jc w:val="right"/>
              <w:rPr>
                <w:sz w:val="20"/>
              </w:rPr>
            </w:pPr>
            <w:r>
              <w:rPr>
                <w:sz w:val="20"/>
              </w:rPr>
              <w:t>1 726 310 100 000</w:t>
            </w:r>
          </w:p>
        </w:tc>
      </w:tr>
      <w:tr w:rsidR="001124F2">
        <w:trPr>
          <w:jc w:val="center"/>
        </w:trPr>
        <w:tc>
          <w:tcPr>
            <w:tcW w:w="1895"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rPr>
                <w:sz w:val="20"/>
              </w:rPr>
            </w:pPr>
            <w:r>
              <w:rPr>
                <w:sz w:val="20"/>
              </w:rPr>
              <w:t>1010100</w:t>
            </w:r>
          </w:p>
        </w:tc>
        <w:tc>
          <w:tcPr>
            <w:tcW w:w="6076"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rPr>
                <w:sz w:val="20"/>
              </w:rPr>
            </w:pPr>
            <w:r>
              <w:rPr>
                <w:sz w:val="20"/>
              </w:rPr>
              <w:t>Налог на прибыль (доход) организаций</w:t>
            </w:r>
          </w:p>
        </w:tc>
        <w:tc>
          <w:tcPr>
            <w:tcW w:w="2054"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jc w:val="right"/>
              <w:rPr>
                <w:sz w:val="20"/>
              </w:rPr>
            </w:pPr>
            <w:r>
              <w:rPr>
                <w:sz w:val="20"/>
              </w:rPr>
              <w:t>207 443 700</w:t>
            </w:r>
          </w:p>
        </w:tc>
      </w:tr>
      <w:tr w:rsidR="001124F2">
        <w:trPr>
          <w:jc w:val="center"/>
        </w:trPr>
        <w:tc>
          <w:tcPr>
            <w:tcW w:w="1895"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rPr>
                <w:sz w:val="20"/>
              </w:rPr>
            </w:pPr>
            <w:r>
              <w:rPr>
                <w:sz w:val="20"/>
              </w:rPr>
              <w:t>1010400</w:t>
            </w:r>
          </w:p>
        </w:tc>
        <w:tc>
          <w:tcPr>
            <w:tcW w:w="6076"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rPr>
                <w:sz w:val="20"/>
              </w:rPr>
            </w:pPr>
            <w:r>
              <w:rPr>
                <w:sz w:val="20"/>
              </w:rPr>
              <w:t>Налог на игорный бизнес</w:t>
            </w:r>
          </w:p>
        </w:tc>
        <w:tc>
          <w:tcPr>
            <w:tcW w:w="2054"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jc w:val="right"/>
              <w:rPr>
                <w:sz w:val="20"/>
              </w:rPr>
            </w:pPr>
            <w:r>
              <w:rPr>
                <w:sz w:val="20"/>
              </w:rPr>
              <w:t>1 009 200,0</w:t>
            </w:r>
          </w:p>
        </w:tc>
      </w:tr>
      <w:tr w:rsidR="001124F2">
        <w:trPr>
          <w:jc w:val="center"/>
        </w:trPr>
        <w:tc>
          <w:tcPr>
            <w:tcW w:w="1895"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rPr>
                <w:sz w:val="20"/>
              </w:rPr>
            </w:pPr>
            <w:r>
              <w:rPr>
                <w:sz w:val="20"/>
              </w:rPr>
              <w:t>1020100</w:t>
            </w:r>
          </w:p>
        </w:tc>
        <w:tc>
          <w:tcPr>
            <w:tcW w:w="6076"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rPr>
                <w:sz w:val="20"/>
              </w:rPr>
            </w:pPr>
            <w:r>
              <w:rPr>
                <w:sz w:val="20"/>
              </w:rPr>
              <w:t>Налог на добавленную стоимость в том числе:</w:t>
            </w:r>
          </w:p>
        </w:tc>
        <w:tc>
          <w:tcPr>
            <w:tcW w:w="2054"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jc w:val="right"/>
              <w:rPr>
                <w:sz w:val="20"/>
              </w:rPr>
            </w:pPr>
            <w:r>
              <w:rPr>
                <w:sz w:val="20"/>
              </w:rPr>
              <w:t>773 508 000</w:t>
            </w:r>
          </w:p>
        </w:tc>
      </w:tr>
      <w:tr w:rsidR="001124F2">
        <w:trPr>
          <w:jc w:val="center"/>
        </w:trPr>
        <w:tc>
          <w:tcPr>
            <w:tcW w:w="1895"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rPr>
                <w:sz w:val="20"/>
              </w:rPr>
            </w:pPr>
            <w:r>
              <w:rPr>
                <w:sz w:val="20"/>
              </w:rPr>
              <w:t>1020101,</w:t>
            </w:r>
          </w:p>
        </w:tc>
        <w:tc>
          <w:tcPr>
            <w:tcW w:w="6076"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rPr>
                <w:sz w:val="20"/>
              </w:rPr>
            </w:pPr>
            <w:r>
              <w:rPr>
                <w:sz w:val="20"/>
              </w:rPr>
              <w:t xml:space="preserve">налог на добавленную стоимость на товары </w:t>
            </w:r>
          </w:p>
        </w:tc>
        <w:tc>
          <w:tcPr>
            <w:tcW w:w="2054"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jc w:val="right"/>
              <w:rPr>
                <w:sz w:val="20"/>
              </w:rPr>
            </w:pPr>
          </w:p>
        </w:tc>
      </w:tr>
      <w:tr w:rsidR="001124F2">
        <w:trPr>
          <w:jc w:val="center"/>
        </w:trPr>
        <w:tc>
          <w:tcPr>
            <w:tcW w:w="1895"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rPr>
                <w:sz w:val="20"/>
              </w:rPr>
            </w:pPr>
            <w:r>
              <w:rPr>
                <w:sz w:val="20"/>
              </w:rPr>
              <w:t>1020102</w:t>
            </w:r>
          </w:p>
        </w:tc>
        <w:tc>
          <w:tcPr>
            <w:tcW w:w="6076"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rPr>
                <w:sz w:val="20"/>
              </w:rPr>
            </w:pPr>
            <w:r>
              <w:rPr>
                <w:sz w:val="20"/>
              </w:rPr>
              <w:t>(работы, услуги), производимые на территории Российской Федерации из него:</w:t>
            </w:r>
          </w:p>
        </w:tc>
        <w:tc>
          <w:tcPr>
            <w:tcW w:w="2054"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jc w:val="right"/>
              <w:rPr>
                <w:sz w:val="20"/>
              </w:rPr>
            </w:pPr>
            <w:r>
              <w:rPr>
                <w:sz w:val="20"/>
              </w:rPr>
              <w:t>577 987 500,0</w:t>
            </w:r>
          </w:p>
        </w:tc>
      </w:tr>
      <w:tr w:rsidR="001124F2">
        <w:trPr>
          <w:cantSplit/>
          <w:trHeight w:val="1364"/>
          <w:jc w:val="center"/>
        </w:trPr>
        <w:tc>
          <w:tcPr>
            <w:tcW w:w="1895" w:type="dxa"/>
            <w:tcBorders>
              <w:top w:val="threeDEmboss" w:sz="6" w:space="0" w:color="808080"/>
              <w:left w:val="threeDEmboss" w:sz="6" w:space="0" w:color="808080"/>
              <w:bottom w:val="nil"/>
              <w:right w:val="threeDEmboss" w:sz="6" w:space="0" w:color="808080"/>
            </w:tcBorders>
            <w:vAlign w:val="center"/>
          </w:tcPr>
          <w:p w:rsidR="001124F2" w:rsidRDefault="001124F2">
            <w:pPr>
              <w:pStyle w:val="11"/>
              <w:spacing w:before="0" w:after="0"/>
              <w:rPr>
                <w:sz w:val="20"/>
              </w:rPr>
            </w:pPr>
            <w:r>
              <w:rPr>
                <w:sz w:val="20"/>
              </w:rPr>
              <w:t>1020111,</w:t>
            </w:r>
          </w:p>
          <w:p w:rsidR="001124F2" w:rsidRDefault="001124F2">
            <w:pPr>
              <w:pStyle w:val="11"/>
              <w:spacing w:before="0" w:after="0"/>
              <w:rPr>
                <w:sz w:val="20"/>
              </w:rPr>
            </w:pPr>
            <w:r>
              <w:rPr>
                <w:sz w:val="20"/>
              </w:rPr>
              <w:t>1020112</w:t>
            </w:r>
          </w:p>
        </w:tc>
        <w:tc>
          <w:tcPr>
            <w:tcW w:w="6076" w:type="dxa"/>
            <w:tcBorders>
              <w:top w:val="threeDEmboss" w:sz="6" w:space="0" w:color="808080"/>
              <w:left w:val="threeDEmboss" w:sz="6" w:space="0" w:color="808080"/>
              <w:bottom w:val="nil"/>
              <w:right w:val="threeDEmboss" w:sz="6" w:space="0" w:color="808080"/>
            </w:tcBorders>
            <w:vAlign w:val="center"/>
          </w:tcPr>
          <w:p w:rsidR="001124F2" w:rsidRDefault="001124F2">
            <w:pPr>
              <w:pStyle w:val="11"/>
              <w:spacing w:before="0" w:after="0"/>
              <w:rPr>
                <w:sz w:val="20"/>
              </w:rPr>
            </w:pPr>
            <w:r>
              <w:rPr>
                <w:sz w:val="20"/>
              </w:rPr>
              <w:t>возмещение налога на добавленную стоимость, уплаченного поставщикам материальных ресурсов, использованных при производстве экспортной продукции</w:t>
            </w:r>
          </w:p>
        </w:tc>
        <w:tc>
          <w:tcPr>
            <w:tcW w:w="2054"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jc w:val="right"/>
              <w:rPr>
                <w:sz w:val="20"/>
              </w:rPr>
            </w:pPr>
            <w:r>
              <w:rPr>
                <w:sz w:val="20"/>
              </w:rPr>
              <w:t>201 000000,0</w:t>
            </w:r>
          </w:p>
        </w:tc>
      </w:tr>
      <w:tr w:rsidR="001124F2">
        <w:trPr>
          <w:cantSplit/>
          <w:trHeight w:val="1243"/>
          <w:jc w:val="center"/>
        </w:trPr>
        <w:tc>
          <w:tcPr>
            <w:tcW w:w="1895" w:type="dxa"/>
            <w:tcBorders>
              <w:top w:val="threeDEmboss" w:sz="6" w:space="0" w:color="808080"/>
              <w:left w:val="threeDEmboss" w:sz="6" w:space="0" w:color="808080"/>
              <w:bottom w:val="nil"/>
              <w:right w:val="threeDEmboss" w:sz="6" w:space="0" w:color="808080"/>
            </w:tcBorders>
            <w:vAlign w:val="center"/>
          </w:tcPr>
          <w:p w:rsidR="001124F2" w:rsidRDefault="001124F2">
            <w:pPr>
              <w:pStyle w:val="11"/>
              <w:spacing w:before="0" w:after="0"/>
              <w:rPr>
                <w:sz w:val="20"/>
              </w:rPr>
            </w:pPr>
            <w:r>
              <w:rPr>
                <w:sz w:val="20"/>
              </w:rPr>
              <w:t>1020103,</w:t>
            </w:r>
          </w:p>
          <w:p w:rsidR="001124F2" w:rsidRDefault="001124F2">
            <w:pPr>
              <w:pStyle w:val="11"/>
              <w:spacing w:before="0" w:after="0"/>
              <w:rPr>
                <w:sz w:val="20"/>
              </w:rPr>
            </w:pPr>
            <w:r>
              <w:rPr>
                <w:sz w:val="20"/>
              </w:rPr>
              <w:t>1020104</w:t>
            </w:r>
          </w:p>
        </w:tc>
        <w:tc>
          <w:tcPr>
            <w:tcW w:w="6076" w:type="dxa"/>
            <w:tcBorders>
              <w:top w:val="threeDEmboss" w:sz="6" w:space="0" w:color="808080"/>
              <w:left w:val="threeDEmboss" w:sz="6" w:space="0" w:color="808080"/>
              <w:bottom w:val="nil"/>
              <w:right w:val="threeDEmboss" w:sz="6" w:space="0" w:color="808080"/>
            </w:tcBorders>
            <w:vAlign w:val="center"/>
          </w:tcPr>
          <w:p w:rsidR="001124F2" w:rsidRDefault="001124F2">
            <w:pPr>
              <w:pStyle w:val="11"/>
              <w:spacing w:before="0" w:after="0"/>
              <w:rPr>
                <w:sz w:val="20"/>
              </w:rPr>
            </w:pPr>
            <w:r>
              <w:rPr>
                <w:sz w:val="20"/>
              </w:rPr>
              <w:t>налог на добавленную стоимость на товары (работы, услуги), ввозимые на территорию Российской Федерации</w:t>
            </w:r>
          </w:p>
        </w:tc>
        <w:tc>
          <w:tcPr>
            <w:tcW w:w="2054"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jc w:val="right"/>
              <w:rPr>
                <w:sz w:val="20"/>
              </w:rPr>
            </w:pPr>
            <w:r>
              <w:rPr>
                <w:sz w:val="20"/>
              </w:rPr>
              <w:t>195 520 500,0</w:t>
            </w:r>
          </w:p>
        </w:tc>
      </w:tr>
      <w:tr w:rsidR="001124F2">
        <w:trPr>
          <w:jc w:val="center"/>
        </w:trPr>
        <w:tc>
          <w:tcPr>
            <w:tcW w:w="1895"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rPr>
                <w:sz w:val="20"/>
              </w:rPr>
            </w:pPr>
            <w:r>
              <w:rPr>
                <w:sz w:val="20"/>
              </w:rPr>
              <w:t>1020200</w:t>
            </w:r>
          </w:p>
        </w:tc>
        <w:tc>
          <w:tcPr>
            <w:tcW w:w="6076"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rPr>
                <w:sz w:val="20"/>
              </w:rPr>
            </w:pPr>
            <w:r>
              <w:rPr>
                <w:sz w:val="20"/>
              </w:rPr>
              <w:t>Акцизы по подакцизным товарам (продукции) и отдельным видам минерального сырья, производимым на территории Российской Федерации в том числе:</w:t>
            </w:r>
          </w:p>
        </w:tc>
        <w:tc>
          <w:tcPr>
            <w:tcW w:w="2054"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jc w:val="right"/>
              <w:rPr>
                <w:sz w:val="20"/>
              </w:rPr>
            </w:pPr>
            <w:r>
              <w:rPr>
                <w:sz w:val="20"/>
              </w:rPr>
              <w:t>221 259 800,0</w:t>
            </w:r>
          </w:p>
        </w:tc>
      </w:tr>
      <w:tr w:rsidR="001124F2">
        <w:trPr>
          <w:jc w:val="center"/>
        </w:trPr>
        <w:tc>
          <w:tcPr>
            <w:tcW w:w="1895"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rPr>
                <w:sz w:val="20"/>
              </w:rPr>
            </w:pPr>
            <w:r>
              <w:rPr>
                <w:sz w:val="20"/>
              </w:rPr>
              <w:t>1020201-,</w:t>
            </w:r>
          </w:p>
        </w:tc>
        <w:tc>
          <w:tcPr>
            <w:tcW w:w="6076"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rPr>
                <w:sz w:val="20"/>
              </w:rPr>
            </w:pPr>
            <w:r>
              <w:rPr>
                <w:sz w:val="20"/>
              </w:rPr>
              <w:t>этиловый спирт-сырец из всех видов сырья</w:t>
            </w:r>
          </w:p>
        </w:tc>
        <w:tc>
          <w:tcPr>
            <w:tcW w:w="2054"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jc w:val="right"/>
              <w:rPr>
                <w:sz w:val="20"/>
              </w:rPr>
            </w:pPr>
            <w:r>
              <w:rPr>
                <w:sz w:val="20"/>
              </w:rPr>
              <w:t>4454100,0</w:t>
            </w:r>
          </w:p>
        </w:tc>
      </w:tr>
      <w:tr w:rsidR="001124F2">
        <w:trPr>
          <w:jc w:val="center"/>
        </w:trPr>
        <w:tc>
          <w:tcPr>
            <w:tcW w:w="1895"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rPr>
                <w:sz w:val="20"/>
              </w:rPr>
            </w:pPr>
            <w:r>
              <w:rPr>
                <w:sz w:val="20"/>
              </w:rPr>
              <w:t>1020203</w:t>
            </w:r>
          </w:p>
        </w:tc>
        <w:tc>
          <w:tcPr>
            <w:tcW w:w="6076"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rPr>
                <w:sz w:val="20"/>
              </w:rPr>
            </w:pPr>
            <w:r>
              <w:rPr>
                <w:sz w:val="20"/>
              </w:rPr>
              <w:t>спирт этиловый из всех видов сырья, спирт питьевой, спиртосодержащие растворы</w:t>
            </w:r>
          </w:p>
        </w:tc>
        <w:tc>
          <w:tcPr>
            <w:tcW w:w="2054"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jc w:val="right"/>
              <w:rPr>
                <w:sz w:val="20"/>
              </w:rPr>
            </w:pPr>
          </w:p>
        </w:tc>
      </w:tr>
      <w:tr w:rsidR="001124F2">
        <w:trPr>
          <w:jc w:val="center"/>
        </w:trPr>
        <w:tc>
          <w:tcPr>
            <w:tcW w:w="1895"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rPr>
                <w:sz w:val="20"/>
              </w:rPr>
            </w:pPr>
            <w:r>
              <w:rPr>
                <w:sz w:val="20"/>
              </w:rPr>
              <w:t>1020204</w:t>
            </w:r>
          </w:p>
        </w:tc>
        <w:tc>
          <w:tcPr>
            <w:tcW w:w="6076"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rPr>
                <w:sz w:val="20"/>
              </w:rPr>
            </w:pPr>
            <w:r>
              <w:rPr>
                <w:sz w:val="20"/>
              </w:rPr>
              <w:t>водка, ликероводочные изделия</w:t>
            </w:r>
          </w:p>
        </w:tc>
        <w:tc>
          <w:tcPr>
            <w:tcW w:w="2054"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jc w:val="right"/>
              <w:rPr>
                <w:sz w:val="20"/>
              </w:rPr>
            </w:pPr>
            <w:r>
              <w:rPr>
                <w:sz w:val="20"/>
              </w:rPr>
              <w:t>18289100,0</w:t>
            </w:r>
          </w:p>
        </w:tc>
      </w:tr>
      <w:tr w:rsidR="001124F2">
        <w:trPr>
          <w:jc w:val="center"/>
        </w:trPr>
        <w:tc>
          <w:tcPr>
            <w:tcW w:w="1895"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rPr>
                <w:sz w:val="20"/>
              </w:rPr>
            </w:pPr>
            <w:r>
              <w:rPr>
                <w:sz w:val="20"/>
              </w:rPr>
              <w:t>1020210</w:t>
            </w:r>
          </w:p>
        </w:tc>
        <w:tc>
          <w:tcPr>
            <w:tcW w:w="6076"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rPr>
                <w:sz w:val="20"/>
              </w:rPr>
            </w:pPr>
            <w:r>
              <w:rPr>
                <w:sz w:val="20"/>
              </w:rPr>
              <w:t>бензин автомобильный</w:t>
            </w:r>
          </w:p>
        </w:tc>
        <w:tc>
          <w:tcPr>
            <w:tcW w:w="2054"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jc w:val="right"/>
              <w:rPr>
                <w:sz w:val="20"/>
              </w:rPr>
            </w:pPr>
            <w:r>
              <w:rPr>
                <w:sz w:val="20"/>
              </w:rPr>
              <w:t>42715200,0</w:t>
            </w:r>
          </w:p>
        </w:tc>
      </w:tr>
      <w:tr w:rsidR="001124F2">
        <w:trPr>
          <w:jc w:val="center"/>
        </w:trPr>
        <w:tc>
          <w:tcPr>
            <w:tcW w:w="1895"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rPr>
                <w:sz w:val="20"/>
              </w:rPr>
            </w:pPr>
            <w:r>
              <w:rPr>
                <w:sz w:val="20"/>
              </w:rPr>
              <w:t>1020211</w:t>
            </w:r>
          </w:p>
        </w:tc>
        <w:tc>
          <w:tcPr>
            <w:tcW w:w="6076"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rPr>
                <w:sz w:val="20"/>
              </w:rPr>
            </w:pPr>
            <w:r>
              <w:rPr>
                <w:sz w:val="20"/>
              </w:rPr>
              <w:t>легковые автомобили и мотоциклы</w:t>
            </w:r>
          </w:p>
        </w:tc>
        <w:tc>
          <w:tcPr>
            <w:tcW w:w="2054"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jc w:val="right"/>
              <w:rPr>
                <w:sz w:val="20"/>
              </w:rPr>
            </w:pPr>
            <w:r>
              <w:rPr>
                <w:sz w:val="20"/>
              </w:rPr>
              <w:t>309 100,0</w:t>
            </w:r>
          </w:p>
        </w:tc>
      </w:tr>
      <w:tr w:rsidR="001124F2">
        <w:trPr>
          <w:jc w:val="center"/>
        </w:trPr>
        <w:tc>
          <w:tcPr>
            <w:tcW w:w="1895"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rPr>
                <w:sz w:val="20"/>
              </w:rPr>
            </w:pPr>
            <w:r>
              <w:rPr>
                <w:sz w:val="20"/>
              </w:rPr>
              <w:t>1020212</w:t>
            </w:r>
          </w:p>
        </w:tc>
        <w:tc>
          <w:tcPr>
            <w:tcW w:w="6076"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rPr>
                <w:sz w:val="20"/>
              </w:rPr>
            </w:pPr>
            <w:r>
              <w:rPr>
                <w:sz w:val="20"/>
              </w:rPr>
              <w:t>природный газ</w:t>
            </w:r>
          </w:p>
        </w:tc>
        <w:tc>
          <w:tcPr>
            <w:tcW w:w="2054"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jc w:val="right"/>
              <w:rPr>
                <w:sz w:val="20"/>
              </w:rPr>
            </w:pPr>
            <w:r>
              <w:rPr>
                <w:sz w:val="20"/>
              </w:rPr>
              <w:t>134153500,0</w:t>
            </w:r>
          </w:p>
        </w:tc>
      </w:tr>
      <w:tr w:rsidR="001124F2">
        <w:trPr>
          <w:jc w:val="center"/>
        </w:trPr>
        <w:tc>
          <w:tcPr>
            <w:tcW w:w="1895"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rPr>
                <w:sz w:val="20"/>
              </w:rPr>
            </w:pPr>
            <w:r>
              <w:rPr>
                <w:sz w:val="20"/>
              </w:rPr>
              <w:t>1020213</w:t>
            </w:r>
          </w:p>
        </w:tc>
        <w:tc>
          <w:tcPr>
            <w:tcW w:w="6076"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rPr>
                <w:sz w:val="20"/>
              </w:rPr>
            </w:pPr>
            <w:r>
              <w:rPr>
                <w:sz w:val="20"/>
              </w:rPr>
              <w:t>нефть и стабильный газовый конденсат</w:t>
            </w:r>
          </w:p>
        </w:tc>
        <w:tc>
          <w:tcPr>
            <w:tcW w:w="2054"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jc w:val="right"/>
              <w:rPr>
                <w:sz w:val="20"/>
              </w:rPr>
            </w:pPr>
            <w:r>
              <w:rPr>
                <w:sz w:val="20"/>
              </w:rPr>
              <w:t>1 580 000,0</w:t>
            </w:r>
          </w:p>
        </w:tc>
      </w:tr>
      <w:tr w:rsidR="001124F2">
        <w:trPr>
          <w:jc w:val="center"/>
        </w:trPr>
        <w:tc>
          <w:tcPr>
            <w:tcW w:w="1895"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rPr>
                <w:sz w:val="20"/>
              </w:rPr>
            </w:pPr>
            <w:r>
              <w:rPr>
                <w:sz w:val="20"/>
              </w:rPr>
              <w:t>1020214</w:t>
            </w:r>
          </w:p>
        </w:tc>
        <w:tc>
          <w:tcPr>
            <w:tcW w:w="6076"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rPr>
                <w:sz w:val="20"/>
              </w:rPr>
            </w:pPr>
            <w:r>
              <w:rPr>
                <w:sz w:val="20"/>
              </w:rPr>
              <w:t>дизельное топливо</w:t>
            </w:r>
          </w:p>
        </w:tc>
        <w:tc>
          <w:tcPr>
            <w:tcW w:w="2054"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jc w:val="right"/>
              <w:rPr>
                <w:sz w:val="20"/>
              </w:rPr>
            </w:pPr>
            <w:r>
              <w:rPr>
                <w:sz w:val="20"/>
              </w:rPr>
              <w:t>17709700,0</w:t>
            </w:r>
          </w:p>
        </w:tc>
      </w:tr>
      <w:tr w:rsidR="001124F2">
        <w:trPr>
          <w:jc w:val="center"/>
        </w:trPr>
        <w:tc>
          <w:tcPr>
            <w:tcW w:w="1895"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rPr>
                <w:sz w:val="20"/>
              </w:rPr>
            </w:pPr>
            <w:r>
              <w:rPr>
                <w:sz w:val="20"/>
              </w:rPr>
              <w:t>1020215</w:t>
            </w:r>
          </w:p>
        </w:tc>
        <w:tc>
          <w:tcPr>
            <w:tcW w:w="6076"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rPr>
                <w:sz w:val="20"/>
              </w:rPr>
            </w:pPr>
            <w:r>
              <w:rPr>
                <w:sz w:val="20"/>
              </w:rPr>
              <w:t>моторные масла для дизельных и карбюраторных (инжекторных) двигателей</w:t>
            </w:r>
          </w:p>
        </w:tc>
        <w:tc>
          <w:tcPr>
            <w:tcW w:w="2054"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jc w:val="right"/>
              <w:rPr>
                <w:sz w:val="20"/>
              </w:rPr>
            </w:pPr>
            <w:r>
              <w:rPr>
                <w:sz w:val="20"/>
              </w:rPr>
              <w:t>2 049 100,0</w:t>
            </w:r>
          </w:p>
        </w:tc>
      </w:tr>
      <w:tr w:rsidR="001124F2">
        <w:trPr>
          <w:jc w:val="center"/>
        </w:trPr>
        <w:tc>
          <w:tcPr>
            <w:tcW w:w="1895"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rPr>
                <w:sz w:val="20"/>
              </w:rPr>
            </w:pPr>
            <w:r>
              <w:rPr>
                <w:sz w:val="20"/>
              </w:rPr>
              <w:t>1020300</w:t>
            </w:r>
          </w:p>
        </w:tc>
        <w:tc>
          <w:tcPr>
            <w:tcW w:w="6076"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rPr>
                <w:sz w:val="20"/>
              </w:rPr>
            </w:pPr>
            <w:r>
              <w:rPr>
                <w:sz w:val="20"/>
              </w:rPr>
              <w:t>Акцизы по подакцизным товарам и продукции, ввозимым на территорию Российской Федерации</w:t>
            </w:r>
          </w:p>
        </w:tc>
        <w:tc>
          <w:tcPr>
            <w:tcW w:w="2054"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jc w:val="right"/>
              <w:rPr>
                <w:sz w:val="20"/>
              </w:rPr>
            </w:pPr>
            <w:r>
              <w:rPr>
                <w:sz w:val="20"/>
              </w:rPr>
              <w:t>3 555 200,0</w:t>
            </w:r>
          </w:p>
        </w:tc>
      </w:tr>
      <w:tr w:rsidR="001124F2">
        <w:trPr>
          <w:jc w:val="center"/>
        </w:trPr>
        <w:tc>
          <w:tcPr>
            <w:tcW w:w="1895"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rPr>
                <w:sz w:val="20"/>
              </w:rPr>
            </w:pPr>
            <w:r>
              <w:rPr>
                <w:sz w:val="20"/>
              </w:rPr>
              <w:t>1020400</w:t>
            </w:r>
          </w:p>
        </w:tc>
        <w:tc>
          <w:tcPr>
            <w:tcW w:w="6076"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rPr>
                <w:sz w:val="20"/>
              </w:rPr>
            </w:pPr>
            <w:r>
              <w:rPr>
                <w:sz w:val="20"/>
              </w:rPr>
              <w:t>Лицензионные и регистрационные сборы</w:t>
            </w:r>
          </w:p>
        </w:tc>
        <w:tc>
          <w:tcPr>
            <w:tcW w:w="2054"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jc w:val="right"/>
              <w:rPr>
                <w:sz w:val="20"/>
              </w:rPr>
            </w:pPr>
            <w:r>
              <w:rPr>
                <w:sz w:val="20"/>
              </w:rPr>
              <w:t>804 100,0</w:t>
            </w:r>
          </w:p>
        </w:tc>
      </w:tr>
      <w:tr w:rsidR="001124F2">
        <w:trPr>
          <w:jc w:val="center"/>
        </w:trPr>
        <w:tc>
          <w:tcPr>
            <w:tcW w:w="1895"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rPr>
                <w:sz w:val="20"/>
              </w:rPr>
            </w:pPr>
            <w:r>
              <w:rPr>
                <w:sz w:val="20"/>
              </w:rPr>
              <w:t>1020600</w:t>
            </w:r>
          </w:p>
        </w:tc>
        <w:tc>
          <w:tcPr>
            <w:tcW w:w="6076"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rPr>
                <w:sz w:val="20"/>
              </w:rPr>
            </w:pPr>
            <w:r>
              <w:rPr>
                <w:sz w:val="20"/>
              </w:rPr>
              <w:t>Налог на покупку иностранных денежных знаков и платежных документов, выраженных в иностранной валюте</w:t>
            </w:r>
          </w:p>
        </w:tc>
        <w:tc>
          <w:tcPr>
            <w:tcW w:w="2054"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jc w:val="right"/>
              <w:rPr>
                <w:sz w:val="20"/>
              </w:rPr>
            </w:pPr>
            <w:r>
              <w:rPr>
                <w:sz w:val="20"/>
              </w:rPr>
              <w:t>1 849 400,0</w:t>
            </w:r>
          </w:p>
        </w:tc>
      </w:tr>
      <w:tr w:rsidR="001124F2">
        <w:trPr>
          <w:jc w:val="center"/>
        </w:trPr>
        <w:tc>
          <w:tcPr>
            <w:tcW w:w="1895"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rPr>
                <w:sz w:val="20"/>
              </w:rPr>
            </w:pPr>
            <w:r>
              <w:rPr>
                <w:sz w:val="20"/>
              </w:rPr>
              <w:t>1030000</w:t>
            </w:r>
          </w:p>
        </w:tc>
        <w:tc>
          <w:tcPr>
            <w:tcW w:w="6076"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rPr>
                <w:sz w:val="20"/>
              </w:rPr>
            </w:pPr>
            <w:r>
              <w:rPr>
                <w:sz w:val="20"/>
              </w:rPr>
              <w:t>Налоги на совокупный доход в том числе:</w:t>
            </w:r>
          </w:p>
        </w:tc>
        <w:tc>
          <w:tcPr>
            <w:tcW w:w="2054"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jc w:val="right"/>
              <w:rPr>
                <w:sz w:val="20"/>
              </w:rPr>
            </w:pPr>
            <w:r>
              <w:rPr>
                <w:sz w:val="20"/>
              </w:rPr>
              <w:t>5 677 600,0</w:t>
            </w:r>
          </w:p>
        </w:tc>
      </w:tr>
      <w:tr w:rsidR="001124F2">
        <w:trPr>
          <w:jc w:val="center"/>
        </w:trPr>
        <w:tc>
          <w:tcPr>
            <w:tcW w:w="1895"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rPr>
                <w:sz w:val="20"/>
              </w:rPr>
            </w:pPr>
            <w:r>
              <w:rPr>
                <w:sz w:val="20"/>
              </w:rPr>
              <w:t>1030100</w:t>
            </w:r>
          </w:p>
        </w:tc>
        <w:tc>
          <w:tcPr>
            <w:tcW w:w="6076"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rPr>
                <w:sz w:val="20"/>
              </w:rPr>
            </w:pPr>
            <w:r>
              <w:rPr>
                <w:sz w:val="20"/>
              </w:rPr>
              <w:t>единый налог, взимаемый в связи с применением упрощенной системы налогообложения, учета и отчетности для субъектов малого предпринимательства</w:t>
            </w:r>
          </w:p>
        </w:tc>
        <w:tc>
          <w:tcPr>
            <w:tcW w:w="2054"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jc w:val="right"/>
              <w:rPr>
                <w:sz w:val="20"/>
              </w:rPr>
            </w:pPr>
            <w:r>
              <w:rPr>
                <w:sz w:val="20"/>
              </w:rPr>
              <w:t>2 392 600,0</w:t>
            </w:r>
          </w:p>
        </w:tc>
      </w:tr>
      <w:tr w:rsidR="001124F2">
        <w:trPr>
          <w:jc w:val="center"/>
        </w:trPr>
        <w:tc>
          <w:tcPr>
            <w:tcW w:w="1895"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rPr>
                <w:sz w:val="20"/>
              </w:rPr>
            </w:pPr>
            <w:r>
              <w:rPr>
                <w:sz w:val="20"/>
              </w:rPr>
              <w:t>1030200</w:t>
            </w:r>
          </w:p>
        </w:tc>
        <w:tc>
          <w:tcPr>
            <w:tcW w:w="6076"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rPr>
                <w:sz w:val="20"/>
              </w:rPr>
            </w:pPr>
            <w:r>
              <w:rPr>
                <w:sz w:val="20"/>
              </w:rPr>
              <w:t>единый налог на вмененный доход для определенных видов деятельности</w:t>
            </w:r>
          </w:p>
        </w:tc>
        <w:tc>
          <w:tcPr>
            <w:tcW w:w="2054"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jc w:val="right"/>
              <w:rPr>
                <w:sz w:val="20"/>
              </w:rPr>
            </w:pPr>
            <w:r>
              <w:rPr>
                <w:sz w:val="20"/>
              </w:rPr>
              <w:t>3 285 000,0</w:t>
            </w:r>
          </w:p>
        </w:tc>
      </w:tr>
      <w:tr w:rsidR="001124F2">
        <w:trPr>
          <w:jc w:val="center"/>
        </w:trPr>
        <w:tc>
          <w:tcPr>
            <w:tcW w:w="1895"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rPr>
                <w:sz w:val="20"/>
              </w:rPr>
            </w:pPr>
            <w:r>
              <w:rPr>
                <w:sz w:val="20"/>
              </w:rPr>
              <w:t>1040000</w:t>
            </w:r>
          </w:p>
        </w:tc>
        <w:tc>
          <w:tcPr>
            <w:tcW w:w="6076"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rPr>
                <w:sz w:val="20"/>
              </w:rPr>
            </w:pPr>
            <w:r>
              <w:rPr>
                <w:sz w:val="20"/>
              </w:rPr>
              <w:t>Налоги на имущество в том числе:</w:t>
            </w:r>
          </w:p>
        </w:tc>
        <w:tc>
          <w:tcPr>
            <w:tcW w:w="2054"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jc w:val="right"/>
              <w:rPr>
                <w:sz w:val="20"/>
              </w:rPr>
            </w:pPr>
            <w:r>
              <w:rPr>
                <w:sz w:val="20"/>
              </w:rPr>
              <w:t>920 000,0</w:t>
            </w:r>
          </w:p>
        </w:tc>
      </w:tr>
      <w:tr w:rsidR="001124F2">
        <w:trPr>
          <w:jc w:val="center"/>
        </w:trPr>
        <w:tc>
          <w:tcPr>
            <w:tcW w:w="1895"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rPr>
                <w:sz w:val="20"/>
              </w:rPr>
            </w:pPr>
            <w:r>
              <w:rPr>
                <w:sz w:val="20"/>
              </w:rPr>
              <w:t>1040400</w:t>
            </w:r>
          </w:p>
        </w:tc>
        <w:tc>
          <w:tcPr>
            <w:tcW w:w="6076"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rPr>
                <w:sz w:val="20"/>
              </w:rPr>
            </w:pPr>
            <w:r>
              <w:rPr>
                <w:sz w:val="20"/>
              </w:rPr>
              <w:t>налог на операции с ценными бумагами</w:t>
            </w:r>
          </w:p>
        </w:tc>
        <w:tc>
          <w:tcPr>
            <w:tcW w:w="2054"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jc w:val="right"/>
              <w:rPr>
                <w:sz w:val="20"/>
              </w:rPr>
            </w:pPr>
            <w:r>
              <w:rPr>
                <w:sz w:val="20"/>
              </w:rPr>
              <w:t>920 000,0</w:t>
            </w:r>
          </w:p>
        </w:tc>
      </w:tr>
      <w:tr w:rsidR="001124F2">
        <w:trPr>
          <w:jc w:val="center"/>
        </w:trPr>
        <w:tc>
          <w:tcPr>
            <w:tcW w:w="1895"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rPr>
                <w:sz w:val="20"/>
              </w:rPr>
            </w:pPr>
            <w:r>
              <w:rPr>
                <w:sz w:val="20"/>
              </w:rPr>
              <w:t>1050000</w:t>
            </w:r>
          </w:p>
        </w:tc>
        <w:tc>
          <w:tcPr>
            <w:tcW w:w="6076"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rPr>
                <w:sz w:val="20"/>
              </w:rPr>
            </w:pPr>
            <w:r>
              <w:rPr>
                <w:sz w:val="20"/>
              </w:rPr>
              <w:t>Платежи за пользование природными ресурсами в том числе:</w:t>
            </w:r>
          </w:p>
        </w:tc>
        <w:tc>
          <w:tcPr>
            <w:tcW w:w="2054"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jc w:val="right"/>
              <w:rPr>
                <w:sz w:val="20"/>
              </w:rPr>
            </w:pPr>
            <w:r>
              <w:rPr>
                <w:sz w:val="20"/>
              </w:rPr>
              <w:t>183715700,0</w:t>
            </w:r>
          </w:p>
        </w:tc>
      </w:tr>
      <w:tr w:rsidR="001124F2">
        <w:trPr>
          <w:jc w:val="center"/>
        </w:trPr>
        <w:tc>
          <w:tcPr>
            <w:tcW w:w="1895"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rPr>
                <w:sz w:val="20"/>
              </w:rPr>
            </w:pPr>
            <w:r>
              <w:rPr>
                <w:sz w:val="20"/>
              </w:rPr>
              <w:t>1050100</w:t>
            </w:r>
          </w:p>
        </w:tc>
        <w:tc>
          <w:tcPr>
            <w:tcW w:w="6076"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rPr>
                <w:sz w:val="20"/>
              </w:rPr>
            </w:pPr>
            <w:r>
              <w:rPr>
                <w:sz w:val="20"/>
              </w:rPr>
              <w:t>платежи за пользование недрами из них:</w:t>
            </w:r>
          </w:p>
        </w:tc>
        <w:tc>
          <w:tcPr>
            <w:tcW w:w="2054"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jc w:val="right"/>
              <w:rPr>
                <w:sz w:val="20"/>
              </w:rPr>
            </w:pPr>
            <w:r>
              <w:rPr>
                <w:sz w:val="20"/>
              </w:rPr>
              <w:t>2 043 000,0</w:t>
            </w:r>
          </w:p>
        </w:tc>
      </w:tr>
      <w:tr w:rsidR="001124F2">
        <w:trPr>
          <w:jc w:val="center"/>
        </w:trPr>
        <w:tc>
          <w:tcPr>
            <w:tcW w:w="1895"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rPr>
                <w:sz w:val="20"/>
              </w:rPr>
            </w:pPr>
            <w:r>
              <w:rPr>
                <w:sz w:val="20"/>
              </w:rPr>
              <w:t>1050160</w:t>
            </w:r>
          </w:p>
        </w:tc>
        <w:tc>
          <w:tcPr>
            <w:tcW w:w="6076"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rPr>
                <w:sz w:val="20"/>
              </w:rPr>
            </w:pPr>
            <w:r>
              <w:rPr>
                <w:sz w:val="20"/>
              </w:rPr>
              <w:t>платежи при реализации соглашений о разделе продукции</w:t>
            </w:r>
          </w:p>
        </w:tc>
        <w:tc>
          <w:tcPr>
            <w:tcW w:w="2054"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jc w:val="right"/>
              <w:rPr>
                <w:sz w:val="20"/>
              </w:rPr>
            </w:pPr>
            <w:r>
              <w:rPr>
                <w:sz w:val="20"/>
              </w:rPr>
              <w:t>263 000,0</w:t>
            </w:r>
          </w:p>
        </w:tc>
      </w:tr>
      <w:tr w:rsidR="001124F2">
        <w:trPr>
          <w:jc w:val="center"/>
        </w:trPr>
        <w:tc>
          <w:tcPr>
            <w:tcW w:w="1895"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rPr>
                <w:sz w:val="20"/>
              </w:rPr>
            </w:pPr>
            <w:r>
              <w:rPr>
                <w:sz w:val="20"/>
              </w:rPr>
              <w:t>1050300</w:t>
            </w:r>
          </w:p>
        </w:tc>
        <w:tc>
          <w:tcPr>
            <w:tcW w:w="6076"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rPr>
                <w:sz w:val="20"/>
              </w:rPr>
            </w:pPr>
            <w:r>
              <w:rPr>
                <w:sz w:val="20"/>
              </w:rPr>
              <w:t>налог на добычу полезных ископаемых</w:t>
            </w:r>
          </w:p>
        </w:tc>
        <w:tc>
          <w:tcPr>
            <w:tcW w:w="2054"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jc w:val="right"/>
              <w:rPr>
                <w:sz w:val="20"/>
              </w:rPr>
            </w:pPr>
            <w:r>
              <w:rPr>
                <w:sz w:val="20"/>
              </w:rPr>
              <w:t>173 126600,0</w:t>
            </w:r>
          </w:p>
        </w:tc>
      </w:tr>
      <w:tr w:rsidR="001124F2">
        <w:trPr>
          <w:jc w:val="center"/>
        </w:trPr>
        <w:tc>
          <w:tcPr>
            <w:tcW w:w="1895"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rPr>
                <w:sz w:val="20"/>
              </w:rPr>
            </w:pPr>
            <w:r>
              <w:rPr>
                <w:sz w:val="20"/>
              </w:rPr>
              <w:t>1050600</w:t>
            </w:r>
          </w:p>
        </w:tc>
        <w:tc>
          <w:tcPr>
            <w:tcW w:w="6076"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rPr>
                <w:sz w:val="20"/>
              </w:rPr>
            </w:pPr>
            <w:r>
              <w:rPr>
                <w:sz w:val="20"/>
              </w:rPr>
              <w:t>плата за нормативные и сверхнормативные выбросы и сбросы вредных веществ, размещение отходов</w:t>
            </w:r>
          </w:p>
        </w:tc>
        <w:tc>
          <w:tcPr>
            <w:tcW w:w="2054"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jc w:val="right"/>
              <w:rPr>
                <w:sz w:val="20"/>
              </w:rPr>
            </w:pPr>
            <w:r>
              <w:rPr>
                <w:sz w:val="20"/>
              </w:rPr>
              <w:t>1 613 200,0</w:t>
            </w:r>
          </w:p>
        </w:tc>
      </w:tr>
      <w:tr w:rsidR="001124F2">
        <w:trPr>
          <w:jc w:val="center"/>
        </w:trPr>
        <w:tc>
          <w:tcPr>
            <w:tcW w:w="1895"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rPr>
                <w:sz w:val="20"/>
              </w:rPr>
            </w:pPr>
            <w:r>
              <w:rPr>
                <w:sz w:val="20"/>
              </w:rPr>
              <w:t>1050700</w:t>
            </w:r>
          </w:p>
        </w:tc>
        <w:tc>
          <w:tcPr>
            <w:tcW w:w="6076"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rPr>
                <w:sz w:val="20"/>
              </w:rPr>
            </w:pPr>
            <w:r>
              <w:rPr>
                <w:sz w:val="20"/>
              </w:rPr>
              <w:t>земельный налог</w:t>
            </w:r>
          </w:p>
        </w:tc>
        <w:tc>
          <w:tcPr>
            <w:tcW w:w="2054"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jc w:val="right"/>
              <w:rPr>
                <w:sz w:val="20"/>
              </w:rPr>
            </w:pPr>
            <w:r>
              <w:rPr>
                <w:sz w:val="20"/>
              </w:rPr>
              <w:t>4 830 400,0</w:t>
            </w:r>
          </w:p>
        </w:tc>
      </w:tr>
      <w:tr w:rsidR="001124F2">
        <w:trPr>
          <w:jc w:val="center"/>
        </w:trPr>
        <w:tc>
          <w:tcPr>
            <w:tcW w:w="1895"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rPr>
                <w:sz w:val="20"/>
              </w:rPr>
            </w:pPr>
            <w:r>
              <w:rPr>
                <w:sz w:val="20"/>
              </w:rPr>
              <w:t>1050900</w:t>
            </w:r>
          </w:p>
        </w:tc>
        <w:tc>
          <w:tcPr>
            <w:tcW w:w="6076"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rPr>
                <w:sz w:val="20"/>
              </w:rPr>
            </w:pPr>
            <w:r>
              <w:rPr>
                <w:sz w:val="20"/>
              </w:rPr>
              <w:t>отчисления на воспроизводство минеральносырьевой базы</w:t>
            </w:r>
          </w:p>
        </w:tc>
        <w:tc>
          <w:tcPr>
            <w:tcW w:w="2054"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jc w:val="right"/>
              <w:rPr>
                <w:sz w:val="20"/>
              </w:rPr>
            </w:pPr>
            <w:r>
              <w:rPr>
                <w:sz w:val="20"/>
              </w:rPr>
              <w:t>2 102 500,0</w:t>
            </w:r>
          </w:p>
        </w:tc>
      </w:tr>
      <w:tr w:rsidR="001124F2">
        <w:trPr>
          <w:jc w:val="center"/>
        </w:trPr>
        <w:tc>
          <w:tcPr>
            <w:tcW w:w="1895"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rPr>
                <w:sz w:val="20"/>
              </w:rPr>
            </w:pPr>
            <w:r>
              <w:rPr>
                <w:sz w:val="20"/>
              </w:rPr>
              <w:t>1060100</w:t>
            </w:r>
          </w:p>
        </w:tc>
        <w:tc>
          <w:tcPr>
            <w:tcW w:w="6076"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rPr>
                <w:sz w:val="20"/>
              </w:rPr>
            </w:pPr>
            <w:r>
              <w:rPr>
                <w:sz w:val="20"/>
              </w:rPr>
              <w:t>Таможенные пошлины в том числе:</w:t>
            </w:r>
          </w:p>
        </w:tc>
        <w:tc>
          <w:tcPr>
            <w:tcW w:w="2054"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jc w:val="right"/>
              <w:rPr>
                <w:sz w:val="20"/>
              </w:rPr>
            </w:pPr>
            <w:r>
              <w:rPr>
                <w:sz w:val="20"/>
              </w:rPr>
              <w:t>324 108 900,0</w:t>
            </w:r>
          </w:p>
        </w:tc>
      </w:tr>
      <w:tr w:rsidR="001124F2">
        <w:trPr>
          <w:jc w:val="center"/>
        </w:trPr>
        <w:tc>
          <w:tcPr>
            <w:tcW w:w="1895"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rPr>
                <w:sz w:val="20"/>
              </w:rPr>
            </w:pPr>
            <w:r>
              <w:rPr>
                <w:sz w:val="20"/>
              </w:rPr>
              <w:t>1060101</w:t>
            </w:r>
          </w:p>
        </w:tc>
        <w:tc>
          <w:tcPr>
            <w:tcW w:w="6076"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rPr>
                <w:sz w:val="20"/>
              </w:rPr>
            </w:pPr>
            <w:r>
              <w:rPr>
                <w:sz w:val="20"/>
              </w:rPr>
              <w:t>ввозные таможенные пошлины</w:t>
            </w:r>
          </w:p>
        </w:tc>
        <w:tc>
          <w:tcPr>
            <w:tcW w:w="2054"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jc w:val="right"/>
              <w:rPr>
                <w:sz w:val="20"/>
              </w:rPr>
            </w:pPr>
            <w:r>
              <w:rPr>
                <w:sz w:val="20"/>
              </w:rPr>
              <w:t>118669000,0</w:t>
            </w:r>
          </w:p>
        </w:tc>
      </w:tr>
      <w:tr w:rsidR="001124F2">
        <w:trPr>
          <w:jc w:val="center"/>
        </w:trPr>
        <w:tc>
          <w:tcPr>
            <w:tcW w:w="1895"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rPr>
                <w:sz w:val="20"/>
              </w:rPr>
            </w:pPr>
            <w:r>
              <w:rPr>
                <w:sz w:val="20"/>
              </w:rPr>
              <w:t>1060102</w:t>
            </w:r>
          </w:p>
        </w:tc>
        <w:tc>
          <w:tcPr>
            <w:tcW w:w="6076"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rPr>
                <w:sz w:val="20"/>
              </w:rPr>
            </w:pPr>
            <w:r>
              <w:rPr>
                <w:sz w:val="20"/>
              </w:rPr>
              <w:t>вывозные таможенные пошлины</w:t>
            </w:r>
          </w:p>
        </w:tc>
        <w:tc>
          <w:tcPr>
            <w:tcW w:w="2054"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jc w:val="right"/>
              <w:rPr>
                <w:sz w:val="20"/>
              </w:rPr>
            </w:pPr>
            <w:r>
              <w:rPr>
                <w:sz w:val="20"/>
              </w:rPr>
              <w:t>205 439 900,0</w:t>
            </w:r>
          </w:p>
        </w:tc>
      </w:tr>
      <w:tr w:rsidR="001124F2">
        <w:trPr>
          <w:jc w:val="center"/>
        </w:trPr>
        <w:tc>
          <w:tcPr>
            <w:tcW w:w="1895"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rPr>
                <w:sz w:val="20"/>
              </w:rPr>
            </w:pPr>
            <w:r>
              <w:rPr>
                <w:sz w:val="20"/>
              </w:rPr>
              <w:t>1400000</w:t>
            </w:r>
          </w:p>
        </w:tc>
        <w:tc>
          <w:tcPr>
            <w:tcW w:w="6076"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rPr>
                <w:sz w:val="20"/>
              </w:rPr>
            </w:pPr>
            <w:r>
              <w:rPr>
                <w:sz w:val="20"/>
              </w:rPr>
              <w:t>Прочие налоги, пошлины и сборы в том числе:</w:t>
            </w:r>
          </w:p>
        </w:tc>
        <w:tc>
          <w:tcPr>
            <w:tcW w:w="2054"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jc w:val="right"/>
              <w:rPr>
                <w:sz w:val="20"/>
              </w:rPr>
            </w:pPr>
            <w:r>
              <w:rPr>
                <w:sz w:val="20"/>
              </w:rPr>
              <w:t>2 458 500,0</w:t>
            </w:r>
          </w:p>
        </w:tc>
      </w:tr>
      <w:tr w:rsidR="001124F2">
        <w:trPr>
          <w:jc w:val="center"/>
        </w:trPr>
        <w:tc>
          <w:tcPr>
            <w:tcW w:w="1895"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rPr>
                <w:sz w:val="20"/>
              </w:rPr>
            </w:pPr>
            <w:r>
              <w:rPr>
                <w:sz w:val="20"/>
              </w:rPr>
              <w:t>1400100</w:t>
            </w:r>
          </w:p>
        </w:tc>
        <w:tc>
          <w:tcPr>
            <w:tcW w:w="6076"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rPr>
                <w:sz w:val="20"/>
              </w:rPr>
            </w:pPr>
            <w:r>
              <w:rPr>
                <w:sz w:val="20"/>
              </w:rPr>
              <w:t>государственная пошлина</w:t>
            </w:r>
          </w:p>
        </w:tc>
        <w:tc>
          <w:tcPr>
            <w:tcW w:w="2054"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jc w:val="right"/>
              <w:rPr>
                <w:sz w:val="20"/>
              </w:rPr>
            </w:pPr>
            <w:r>
              <w:rPr>
                <w:sz w:val="20"/>
              </w:rPr>
              <w:t>1 045 000,0</w:t>
            </w:r>
          </w:p>
        </w:tc>
      </w:tr>
      <w:tr w:rsidR="001124F2">
        <w:trPr>
          <w:jc w:val="center"/>
        </w:trPr>
        <w:tc>
          <w:tcPr>
            <w:tcW w:w="1895"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rPr>
                <w:sz w:val="20"/>
              </w:rPr>
            </w:pPr>
            <w:r>
              <w:rPr>
                <w:sz w:val="20"/>
              </w:rPr>
              <w:t>1400300</w:t>
            </w:r>
          </w:p>
        </w:tc>
        <w:tc>
          <w:tcPr>
            <w:tcW w:w="6076"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rPr>
                <w:sz w:val="20"/>
              </w:rPr>
            </w:pPr>
            <w:r>
              <w:rPr>
                <w:sz w:val="20"/>
              </w:rPr>
              <w:t>прочие федеральные налоги</w:t>
            </w:r>
          </w:p>
        </w:tc>
        <w:tc>
          <w:tcPr>
            <w:tcW w:w="2054"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jc w:val="right"/>
              <w:rPr>
                <w:sz w:val="20"/>
              </w:rPr>
            </w:pPr>
            <w:r>
              <w:rPr>
                <w:sz w:val="20"/>
              </w:rPr>
              <w:t>1 413 500,0</w:t>
            </w:r>
          </w:p>
        </w:tc>
      </w:tr>
      <w:tr w:rsidR="001124F2">
        <w:trPr>
          <w:jc w:val="center"/>
        </w:trPr>
        <w:tc>
          <w:tcPr>
            <w:tcW w:w="1895"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rPr>
                <w:sz w:val="20"/>
              </w:rPr>
            </w:pPr>
            <w:r>
              <w:rPr>
                <w:sz w:val="20"/>
              </w:rPr>
              <w:t>2000000</w:t>
            </w:r>
          </w:p>
        </w:tc>
        <w:tc>
          <w:tcPr>
            <w:tcW w:w="6076"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rPr>
                <w:sz w:val="20"/>
              </w:rPr>
            </w:pPr>
            <w:r>
              <w:rPr>
                <w:sz w:val="20"/>
              </w:rPr>
              <w:t>Неналоговые доходы, всего в том числе:</w:t>
            </w:r>
          </w:p>
        </w:tc>
        <w:tc>
          <w:tcPr>
            <w:tcW w:w="2054"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jc w:val="right"/>
              <w:rPr>
                <w:sz w:val="20"/>
              </w:rPr>
            </w:pPr>
            <w:r>
              <w:rPr>
                <w:sz w:val="20"/>
              </w:rPr>
              <w:t>104 284 200,0</w:t>
            </w:r>
          </w:p>
        </w:tc>
      </w:tr>
      <w:tr w:rsidR="001124F2">
        <w:trPr>
          <w:jc w:val="center"/>
        </w:trPr>
        <w:tc>
          <w:tcPr>
            <w:tcW w:w="1895"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rPr>
                <w:sz w:val="20"/>
              </w:rPr>
            </w:pPr>
            <w:r>
              <w:rPr>
                <w:sz w:val="20"/>
              </w:rPr>
              <w:t>2010000</w:t>
            </w:r>
          </w:p>
        </w:tc>
        <w:tc>
          <w:tcPr>
            <w:tcW w:w="6076"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rPr>
                <w:sz w:val="20"/>
              </w:rPr>
            </w:pPr>
            <w:r>
              <w:rPr>
                <w:sz w:val="20"/>
              </w:rPr>
              <w:t>Доходы от имущества, находящегося в государственной собственности, или от деятельности государственных организаций в том числе:</w:t>
            </w:r>
          </w:p>
        </w:tc>
        <w:tc>
          <w:tcPr>
            <w:tcW w:w="2054"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jc w:val="right"/>
              <w:rPr>
                <w:sz w:val="20"/>
              </w:rPr>
            </w:pPr>
            <w:r>
              <w:rPr>
                <w:sz w:val="20"/>
              </w:rPr>
              <w:t>50 472 500,0</w:t>
            </w:r>
          </w:p>
        </w:tc>
      </w:tr>
      <w:tr w:rsidR="001124F2">
        <w:trPr>
          <w:jc w:val="center"/>
        </w:trPr>
        <w:tc>
          <w:tcPr>
            <w:tcW w:w="1895"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rPr>
                <w:sz w:val="20"/>
              </w:rPr>
            </w:pPr>
            <w:r>
              <w:rPr>
                <w:sz w:val="20"/>
              </w:rPr>
              <w:t>2010100</w:t>
            </w:r>
          </w:p>
        </w:tc>
        <w:tc>
          <w:tcPr>
            <w:tcW w:w="6076"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rPr>
                <w:sz w:val="20"/>
              </w:rPr>
            </w:pPr>
            <w:r>
              <w:rPr>
                <w:sz w:val="20"/>
              </w:rPr>
              <w:t>дивиденды по акциям, принадлежащим государству</w:t>
            </w:r>
          </w:p>
        </w:tc>
        <w:tc>
          <w:tcPr>
            <w:tcW w:w="2054"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jc w:val="right"/>
              <w:rPr>
                <w:sz w:val="20"/>
              </w:rPr>
            </w:pPr>
            <w:r>
              <w:rPr>
                <w:sz w:val="20"/>
              </w:rPr>
              <w:t>7 555 000,0</w:t>
            </w:r>
          </w:p>
        </w:tc>
      </w:tr>
      <w:tr w:rsidR="001124F2">
        <w:trPr>
          <w:jc w:val="center"/>
        </w:trPr>
        <w:tc>
          <w:tcPr>
            <w:tcW w:w="1895"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rPr>
                <w:sz w:val="20"/>
              </w:rPr>
            </w:pPr>
            <w:r>
              <w:rPr>
                <w:sz w:val="20"/>
              </w:rPr>
              <w:t>2010200</w:t>
            </w:r>
          </w:p>
        </w:tc>
        <w:tc>
          <w:tcPr>
            <w:tcW w:w="6076"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rPr>
                <w:sz w:val="20"/>
              </w:rPr>
            </w:pPr>
            <w:r>
              <w:rPr>
                <w:sz w:val="20"/>
              </w:rPr>
              <w:t>доходы от сдачи в аренду имущества, находящегося в государственной собственности</w:t>
            </w:r>
          </w:p>
        </w:tc>
        <w:tc>
          <w:tcPr>
            <w:tcW w:w="2054"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jc w:val="right"/>
              <w:rPr>
                <w:sz w:val="20"/>
              </w:rPr>
            </w:pPr>
            <w:r>
              <w:rPr>
                <w:sz w:val="20"/>
              </w:rPr>
              <w:t>8 393 400,0</w:t>
            </w:r>
          </w:p>
        </w:tc>
      </w:tr>
      <w:tr w:rsidR="00901A89" w:rsidTr="00901A89">
        <w:trPr>
          <w:jc w:val="center"/>
        </w:trPr>
        <w:tc>
          <w:tcPr>
            <w:tcW w:w="10025" w:type="dxa"/>
            <w:gridSpan w:val="3"/>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rPr>
                <w:sz w:val="20"/>
              </w:rPr>
            </w:pPr>
            <w:r>
              <w:rPr>
                <w:sz w:val="20"/>
              </w:rPr>
              <w:t>в том числе:</w:t>
            </w:r>
          </w:p>
        </w:tc>
      </w:tr>
      <w:tr w:rsidR="001124F2">
        <w:trPr>
          <w:jc w:val="center"/>
        </w:trPr>
        <w:tc>
          <w:tcPr>
            <w:tcW w:w="1895"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rPr>
                <w:sz w:val="20"/>
              </w:rPr>
            </w:pPr>
            <w:r>
              <w:rPr>
                <w:sz w:val="20"/>
              </w:rPr>
              <w:t>2010201, 2010202</w:t>
            </w:r>
          </w:p>
        </w:tc>
        <w:tc>
          <w:tcPr>
            <w:tcW w:w="6076"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rPr>
                <w:sz w:val="20"/>
              </w:rPr>
            </w:pPr>
            <w:r>
              <w:rPr>
                <w:sz w:val="20"/>
              </w:rPr>
              <w:t>арендная плата за землю</w:t>
            </w:r>
          </w:p>
        </w:tc>
        <w:tc>
          <w:tcPr>
            <w:tcW w:w="2054"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jc w:val="right"/>
              <w:rPr>
                <w:sz w:val="20"/>
              </w:rPr>
            </w:pPr>
            <w:r>
              <w:rPr>
                <w:sz w:val="20"/>
              </w:rPr>
              <w:t>4 393 400,0</w:t>
            </w:r>
          </w:p>
        </w:tc>
      </w:tr>
      <w:tr w:rsidR="001124F2">
        <w:trPr>
          <w:jc w:val="center"/>
        </w:trPr>
        <w:tc>
          <w:tcPr>
            <w:tcW w:w="1895"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rPr>
                <w:sz w:val="20"/>
              </w:rPr>
            </w:pPr>
            <w:r>
              <w:rPr>
                <w:sz w:val="20"/>
              </w:rPr>
              <w:t>20102052010240</w:t>
            </w:r>
          </w:p>
        </w:tc>
        <w:tc>
          <w:tcPr>
            <w:tcW w:w="6076"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rPr>
                <w:sz w:val="20"/>
              </w:rPr>
            </w:pPr>
            <w:r>
              <w:rPr>
                <w:sz w:val="20"/>
              </w:rPr>
              <w:t>доходы от сдачи в аренду имущества</w:t>
            </w:r>
          </w:p>
        </w:tc>
        <w:tc>
          <w:tcPr>
            <w:tcW w:w="2054"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jc w:val="right"/>
              <w:rPr>
                <w:sz w:val="20"/>
              </w:rPr>
            </w:pPr>
            <w:r>
              <w:rPr>
                <w:sz w:val="20"/>
              </w:rPr>
              <w:t>4 000 000,0</w:t>
            </w:r>
          </w:p>
        </w:tc>
      </w:tr>
      <w:tr w:rsidR="001124F2">
        <w:trPr>
          <w:jc w:val="center"/>
        </w:trPr>
        <w:tc>
          <w:tcPr>
            <w:tcW w:w="1895"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rPr>
                <w:sz w:val="20"/>
              </w:rPr>
            </w:pPr>
            <w:r>
              <w:rPr>
                <w:sz w:val="20"/>
              </w:rPr>
              <w:t>2010600</w:t>
            </w:r>
          </w:p>
        </w:tc>
        <w:tc>
          <w:tcPr>
            <w:tcW w:w="6076"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rPr>
                <w:sz w:val="20"/>
              </w:rPr>
            </w:pPr>
            <w:r>
              <w:rPr>
                <w:sz w:val="20"/>
              </w:rPr>
              <w:t>доходы от оказания услуг или компенсации затрат государства в том числе:</w:t>
            </w:r>
          </w:p>
        </w:tc>
        <w:tc>
          <w:tcPr>
            <w:tcW w:w="2054"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jc w:val="right"/>
              <w:rPr>
                <w:sz w:val="20"/>
              </w:rPr>
            </w:pPr>
            <w:r>
              <w:rPr>
                <w:sz w:val="20"/>
              </w:rPr>
              <w:t>2 779 400,0</w:t>
            </w:r>
          </w:p>
        </w:tc>
      </w:tr>
      <w:tr w:rsidR="001124F2">
        <w:trPr>
          <w:jc w:val="center"/>
        </w:trPr>
        <w:tc>
          <w:tcPr>
            <w:tcW w:w="1895"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rPr>
                <w:sz w:val="20"/>
              </w:rPr>
            </w:pPr>
            <w:r>
              <w:rPr>
                <w:sz w:val="20"/>
              </w:rPr>
              <w:t>2010601</w:t>
            </w:r>
          </w:p>
        </w:tc>
        <w:tc>
          <w:tcPr>
            <w:tcW w:w="6076"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rPr>
                <w:sz w:val="20"/>
              </w:rPr>
            </w:pPr>
            <w:r>
              <w:rPr>
                <w:sz w:val="20"/>
              </w:rPr>
              <w:t>консульский сбор, взимаемый на территории Российской Федерации</w:t>
            </w:r>
          </w:p>
        </w:tc>
        <w:tc>
          <w:tcPr>
            <w:tcW w:w="2054"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jc w:val="right"/>
              <w:rPr>
                <w:sz w:val="20"/>
              </w:rPr>
            </w:pPr>
            <w:r>
              <w:rPr>
                <w:sz w:val="20"/>
              </w:rPr>
              <w:t>230 000,0</w:t>
            </w:r>
          </w:p>
        </w:tc>
      </w:tr>
      <w:tr w:rsidR="001124F2">
        <w:trPr>
          <w:jc w:val="center"/>
        </w:trPr>
        <w:tc>
          <w:tcPr>
            <w:tcW w:w="1895"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rPr>
                <w:sz w:val="20"/>
              </w:rPr>
            </w:pPr>
            <w:r>
              <w:rPr>
                <w:sz w:val="20"/>
              </w:rPr>
              <w:t>2010602</w:t>
            </w:r>
          </w:p>
        </w:tc>
        <w:tc>
          <w:tcPr>
            <w:tcW w:w="6076"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rPr>
                <w:sz w:val="20"/>
              </w:rPr>
            </w:pPr>
            <w:r>
              <w:rPr>
                <w:sz w:val="20"/>
              </w:rPr>
              <w:t>плата за выдаваемые паспорта</w:t>
            </w:r>
          </w:p>
        </w:tc>
        <w:tc>
          <w:tcPr>
            <w:tcW w:w="2054"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jc w:val="right"/>
              <w:rPr>
                <w:sz w:val="20"/>
              </w:rPr>
            </w:pPr>
            <w:r>
              <w:rPr>
                <w:sz w:val="20"/>
              </w:rPr>
              <w:t>1 155 000,0</w:t>
            </w:r>
          </w:p>
        </w:tc>
      </w:tr>
      <w:tr w:rsidR="001124F2">
        <w:trPr>
          <w:jc w:val="center"/>
        </w:trPr>
        <w:tc>
          <w:tcPr>
            <w:tcW w:w="1895"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rPr>
                <w:sz w:val="20"/>
              </w:rPr>
            </w:pPr>
            <w:r>
              <w:rPr>
                <w:sz w:val="20"/>
              </w:rPr>
              <w:t>2010605</w:t>
            </w:r>
          </w:p>
        </w:tc>
        <w:tc>
          <w:tcPr>
            <w:tcW w:w="6076"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rPr>
                <w:sz w:val="20"/>
              </w:rPr>
            </w:pPr>
            <w:r>
              <w:rPr>
                <w:sz w:val="20"/>
              </w:rPr>
              <w:t>плата за опробование и клеймение изделий и сплавов из драгоценных металлов</w:t>
            </w:r>
          </w:p>
        </w:tc>
        <w:tc>
          <w:tcPr>
            <w:tcW w:w="2054"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jc w:val="right"/>
              <w:rPr>
                <w:sz w:val="20"/>
              </w:rPr>
            </w:pPr>
            <w:r>
              <w:rPr>
                <w:sz w:val="20"/>
              </w:rPr>
              <w:t>72 000,0</w:t>
            </w:r>
          </w:p>
        </w:tc>
      </w:tr>
      <w:tr w:rsidR="001124F2">
        <w:trPr>
          <w:jc w:val="center"/>
        </w:trPr>
        <w:tc>
          <w:tcPr>
            <w:tcW w:w="1895"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rPr>
                <w:sz w:val="20"/>
              </w:rPr>
            </w:pPr>
            <w:r>
              <w:rPr>
                <w:sz w:val="20"/>
              </w:rPr>
              <w:t>2010608 2010612</w:t>
            </w:r>
          </w:p>
        </w:tc>
        <w:tc>
          <w:tcPr>
            <w:tcW w:w="6076"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rPr>
                <w:sz w:val="20"/>
              </w:rPr>
            </w:pPr>
            <w:r>
              <w:rPr>
                <w:sz w:val="20"/>
              </w:rPr>
              <w:t>-доходы от платных услуг, оказываемых федеральными органами власти</w:t>
            </w:r>
          </w:p>
        </w:tc>
        <w:tc>
          <w:tcPr>
            <w:tcW w:w="2054"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jc w:val="right"/>
              <w:rPr>
                <w:sz w:val="20"/>
              </w:rPr>
            </w:pPr>
            <w:r>
              <w:rPr>
                <w:sz w:val="20"/>
              </w:rPr>
              <w:t>698 900,0</w:t>
            </w:r>
          </w:p>
        </w:tc>
      </w:tr>
      <w:tr w:rsidR="001124F2">
        <w:trPr>
          <w:jc w:val="center"/>
        </w:trPr>
        <w:tc>
          <w:tcPr>
            <w:tcW w:w="1895"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rPr>
                <w:sz w:val="20"/>
              </w:rPr>
            </w:pPr>
            <w:r>
              <w:rPr>
                <w:sz w:val="20"/>
              </w:rPr>
              <w:t>2010603, 2010604, 2010606, 2010640</w:t>
            </w:r>
          </w:p>
        </w:tc>
        <w:tc>
          <w:tcPr>
            <w:tcW w:w="6076"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rPr>
                <w:sz w:val="20"/>
              </w:rPr>
            </w:pPr>
            <w:r>
              <w:rPr>
                <w:sz w:val="20"/>
              </w:rPr>
              <w:t>прочие доходы</w:t>
            </w:r>
          </w:p>
        </w:tc>
        <w:tc>
          <w:tcPr>
            <w:tcW w:w="2054"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jc w:val="right"/>
              <w:rPr>
                <w:sz w:val="20"/>
              </w:rPr>
            </w:pPr>
            <w:r>
              <w:rPr>
                <w:sz w:val="20"/>
              </w:rPr>
              <w:t>623 500,0</w:t>
            </w:r>
          </w:p>
        </w:tc>
      </w:tr>
      <w:tr w:rsidR="001124F2">
        <w:trPr>
          <w:jc w:val="center"/>
        </w:trPr>
        <w:tc>
          <w:tcPr>
            <w:tcW w:w="1895"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rPr>
                <w:sz w:val="20"/>
              </w:rPr>
            </w:pPr>
            <w:r>
              <w:rPr>
                <w:sz w:val="20"/>
              </w:rPr>
              <w:t>2010700</w:t>
            </w:r>
          </w:p>
        </w:tc>
        <w:tc>
          <w:tcPr>
            <w:tcW w:w="6076"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rPr>
                <w:sz w:val="20"/>
              </w:rPr>
            </w:pPr>
            <w:r>
              <w:rPr>
                <w:sz w:val="20"/>
              </w:rPr>
              <w:t>перечисление прибыли Центрального банка Российской Федерации</w:t>
            </w:r>
          </w:p>
        </w:tc>
        <w:tc>
          <w:tcPr>
            <w:tcW w:w="2054"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jc w:val="right"/>
              <w:rPr>
                <w:sz w:val="20"/>
              </w:rPr>
            </w:pPr>
            <w:r>
              <w:rPr>
                <w:sz w:val="20"/>
              </w:rPr>
              <w:t>4 000 000,0</w:t>
            </w:r>
          </w:p>
        </w:tc>
      </w:tr>
      <w:tr w:rsidR="001124F2">
        <w:trPr>
          <w:jc w:val="center"/>
        </w:trPr>
        <w:tc>
          <w:tcPr>
            <w:tcW w:w="1895"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rPr>
                <w:sz w:val="20"/>
              </w:rPr>
            </w:pPr>
            <w:r>
              <w:rPr>
                <w:sz w:val="20"/>
              </w:rPr>
              <w:t>2010800</w:t>
            </w:r>
          </w:p>
        </w:tc>
        <w:tc>
          <w:tcPr>
            <w:tcW w:w="6076"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rPr>
                <w:sz w:val="20"/>
              </w:rPr>
            </w:pPr>
            <w:r>
              <w:rPr>
                <w:sz w:val="20"/>
              </w:rPr>
              <w:t>платежи от государственных организаций в том числе:</w:t>
            </w:r>
          </w:p>
        </w:tc>
        <w:tc>
          <w:tcPr>
            <w:tcW w:w="2054"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jc w:val="right"/>
              <w:rPr>
                <w:sz w:val="20"/>
              </w:rPr>
            </w:pPr>
            <w:r>
              <w:rPr>
                <w:sz w:val="20"/>
              </w:rPr>
              <w:t>13972400,0</w:t>
            </w:r>
          </w:p>
        </w:tc>
      </w:tr>
      <w:tr w:rsidR="001124F2">
        <w:trPr>
          <w:jc w:val="center"/>
        </w:trPr>
        <w:tc>
          <w:tcPr>
            <w:tcW w:w="1895"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rPr>
                <w:sz w:val="20"/>
              </w:rPr>
            </w:pPr>
            <w:r>
              <w:rPr>
                <w:sz w:val="20"/>
              </w:rPr>
              <w:t>2010801</w:t>
            </w:r>
          </w:p>
        </w:tc>
        <w:tc>
          <w:tcPr>
            <w:tcW w:w="6076"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rPr>
                <w:sz w:val="20"/>
              </w:rPr>
            </w:pPr>
            <w:r>
              <w:rPr>
                <w:sz w:val="20"/>
              </w:rPr>
              <w:t>патентные пошлины и регистрационные сборы за официальную регистрацию программ для ЭВМ, баз данных и топологий интегральных микросхем</w:t>
            </w:r>
          </w:p>
        </w:tc>
        <w:tc>
          <w:tcPr>
            <w:tcW w:w="2054"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jc w:val="right"/>
              <w:rPr>
                <w:sz w:val="20"/>
              </w:rPr>
            </w:pPr>
            <w:r>
              <w:rPr>
                <w:sz w:val="20"/>
              </w:rPr>
              <w:t>1 002 300,0</w:t>
            </w:r>
          </w:p>
        </w:tc>
      </w:tr>
      <w:tr w:rsidR="001124F2">
        <w:trPr>
          <w:jc w:val="center"/>
        </w:trPr>
        <w:tc>
          <w:tcPr>
            <w:tcW w:w="1895"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rPr>
                <w:sz w:val="20"/>
              </w:rPr>
            </w:pPr>
            <w:r>
              <w:rPr>
                <w:sz w:val="20"/>
              </w:rPr>
              <w:t>2010802</w:t>
            </w:r>
          </w:p>
        </w:tc>
        <w:tc>
          <w:tcPr>
            <w:tcW w:w="6076"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rPr>
                <w:sz w:val="20"/>
              </w:rPr>
            </w:pPr>
            <w:r>
              <w:rPr>
                <w:sz w:val="20"/>
              </w:rPr>
              <w:t>доходы от деятельности совместного предприятия "Вьетсовпетро "</w:t>
            </w:r>
          </w:p>
        </w:tc>
        <w:tc>
          <w:tcPr>
            <w:tcW w:w="2054"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jc w:val="right"/>
              <w:rPr>
                <w:sz w:val="20"/>
              </w:rPr>
            </w:pPr>
            <w:r>
              <w:rPr>
                <w:sz w:val="20"/>
              </w:rPr>
              <w:t>12 380 100,0</w:t>
            </w:r>
          </w:p>
        </w:tc>
      </w:tr>
      <w:tr w:rsidR="001124F2">
        <w:trPr>
          <w:jc w:val="center"/>
        </w:trPr>
        <w:tc>
          <w:tcPr>
            <w:tcW w:w="1895"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rPr>
                <w:sz w:val="20"/>
              </w:rPr>
            </w:pPr>
            <w:r>
              <w:rPr>
                <w:sz w:val="20"/>
              </w:rPr>
              <w:t>2010803</w:t>
            </w:r>
          </w:p>
        </w:tc>
        <w:tc>
          <w:tcPr>
            <w:tcW w:w="6076"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rPr>
                <w:sz w:val="20"/>
              </w:rPr>
            </w:pPr>
            <w:r>
              <w:rPr>
                <w:sz w:val="20"/>
              </w:rPr>
              <w:t>перечисление части прибыли государственных федеральных унитарных предприятий, остающейся после уплаты налогов и иных обязательных платежей</w:t>
            </w:r>
          </w:p>
        </w:tc>
        <w:tc>
          <w:tcPr>
            <w:tcW w:w="2054"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jc w:val="right"/>
              <w:rPr>
                <w:sz w:val="20"/>
              </w:rPr>
            </w:pPr>
            <w:r>
              <w:rPr>
                <w:sz w:val="20"/>
              </w:rPr>
              <w:t>500 000,0</w:t>
            </w:r>
          </w:p>
        </w:tc>
      </w:tr>
      <w:tr w:rsidR="001124F2">
        <w:trPr>
          <w:jc w:val="center"/>
        </w:trPr>
        <w:tc>
          <w:tcPr>
            <w:tcW w:w="1895"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rPr>
                <w:sz w:val="20"/>
              </w:rPr>
            </w:pPr>
            <w:r>
              <w:rPr>
                <w:sz w:val="20"/>
              </w:rPr>
              <w:t>2010840</w:t>
            </w:r>
          </w:p>
        </w:tc>
        <w:tc>
          <w:tcPr>
            <w:tcW w:w="6076"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rPr>
                <w:sz w:val="20"/>
              </w:rPr>
            </w:pPr>
            <w:r>
              <w:rPr>
                <w:sz w:val="20"/>
              </w:rPr>
              <w:t>прочие доходы</w:t>
            </w:r>
          </w:p>
        </w:tc>
        <w:tc>
          <w:tcPr>
            <w:tcW w:w="2054"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jc w:val="right"/>
              <w:rPr>
                <w:sz w:val="20"/>
              </w:rPr>
            </w:pPr>
            <w:r>
              <w:rPr>
                <w:sz w:val="20"/>
              </w:rPr>
              <w:t>90 000,0</w:t>
            </w:r>
          </w:p>
        </w:tc>
      </w:tr>
      <w:tr w:rsidR="001124F2">
        <w:trPr>
          <w:jc w:val="center"/>
        </w:trPr>
        <w:tc>
          <w:tcPr>
            <w:tcW w:w="1895"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rPr>
                <w:sz w:val="20"/>
              </w:rPr>
            </w:pPr>
            <w:r>
              <w:rPr>
                <w:sz w:val="20"/>
              </w:rPr>
              <w:t>2017000</w:t>
            </w:r>
          </w:p>
        </w:tc>
        <w:tc>
          <w:tcPr>
            <w:tcW w:w="6076"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rPr>
                <w:sz w:val="20"/>
              </w:rPr>
            </w:pPr>
            <w:r>
              <w:rPr>
                <w:sz w:val="20"/>
              </w:rPr>
              <w:t>плата за пользование водными биологическими ресурсами</w:t>
            </w:r>
          </w:p>
        </w:tc>
        <w:tc>
          <w:tcPr>
            <w:tcW w:w="2054"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jc w:val="right"/>
              <w:rPr>
                <w:sz w:val="20"/>
              </w:rPr>
            </w:pPr>
            <w:r>
              <w:rPr>
                <w:sz w:val="20"/>
              </w:rPr>
              <w:t>7 000 000,0</w:t>
            </w:r>
          </w:p>
        </w:tc>
      </w:tr>
      <w:tr w:rsidR="001124F2">
        <w:trPr>
          <w:trHeight w:val="594"/>
          <w:jc w:val="center"/>
        </w:trPr>
        <w:tc>
          <w:tcPr>
            <w:tcW w:w="1895"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rPr>
                <w:sz w:val="20"/>
              </w:rPr>
            </w:pPr>
            <w:r>
              <w:rPr>
                <w:sz w:val="20"/>
              </w:rPr>
              <w:t>2020000</w:t>
            </w:r>
          </w:p>
        </w:tc>
        <w:tc>
          <w:tcPr>
            <w:tcW w:w="6076"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rPr>
                <w:sz w:val="20"/>
              </w:rPr>
            </w:pPr>
            <w:r>
              <w:rPr>
                <w:sz w:val="20"/>
              </w:rPr>
              <w:t>доходы от использования лесного фонда</w:t>
            </w:r>
          </w:p>
        </w:tc>
        <w:tc>
          <w:tcPr>
            <w:tcW w:w="2054"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jc w:val="right"/>
              <w:rPr>
                <w:sz w:val="20"/>
              </w:rPr>
            </w:pPr>
            <w:r>
              <w:rPr>
                <w:sz w:val="20"/>
              </w:rPr>
              <w:t>1 950 000,0</w:t>
            </w:r>
          </w:p>
        </w:tc>
      </w:tr>
      <w:tr w:rsidR="001124F2">
        <w:trPr>
          <w:cantSplit/>
          <w:trHeight w:val="2205"/>
          <w:jc w:val="center"/>
        </w:trPr>
        <w:tc>
          <w:tcPr>
            <w:tcW w:w="1895" w:type="dxa"/>
            <w:tcBorders>
              <w:top w:val="threeDEmboss" w:sz="6" w:space="0" w:color="808080"/>
              <w:left w:val="threeDEmboss" w:sz="6" w:space="0" w:color="808080"/>
              <w:bottom w:val="nil"/>
              <w:right w:val="threeDEmboss" w:sz="6" w:space="0" w:color="808080"/>
            </w:tcBorders>
            <w:vAlign w:val="center"/>
          </w:tcPr>
          <w:p w:rsidR="001124F2" w:rsidRDefault="001124F2">
            <w:pPr>
              <w:pStyle w:val="11"/>
              <w:spacing w:before="0" w:after="0"/>
              <w:rPr>
                <w:sz w:val="20"/>
              </w:rPr>
            </w:pPr>
            <w:r>
              <w:rPr>
                <w:sz w:val="20"/>
              </w:rPr>
              <w:t>2010300,</w:t>
            </w:r>
          </w:p>
          <w:p w:rsidR="001124F2" w:rsidRDefault="001124F2">
            <w:pPr>
              <w:pStyle w:val="11"/>
              <w:spacing w:before="0" w:after="0"/>
              <w:rPr>
                <w:sz w:val="20"/>
              </w:rPr>
            </w:pPr>
            <w:r>
              <w:rPr>
                <w:sz w:val="20"/>
              </w:rPr>
              <w:t>2010400,</w:t>
            </w:r>
          </w:p>
          <w:p w:rsidR="001124F2" w:rsidRDefault="001124F2">
            <w:pPr>
              <w:pStyle w:val="11"/>
              <w:spacing w:before="0" w:after="0"/>
              <w:rPr>
                <w:sz w:val="20"/>
              </w:rPr>
            </w:pPr>
            <w:r>
              <w:rPr>
                <w:sz w:val="20"/>
              </w:rPr>
              <w:t>2010900,</w:t>
            </w:r>
          </w:p>
          <w:p w:rsidR="001124F2" w:rsidRDefault="001124F2">
            <w:pPr>
              <w:pStyle w:val="11"/>
              <w:spacing w:before="0" w:after="0"/>
              <w:rPr>
                <w:sz w:val="20"/>
              </w:rPr>
            </w:pPr>
            <w:r>
              <w:rPr>
                <w:sz w:val="20"/>
              </w:rPr>
              <w:t>2011000,</w:t>
            </w:r>
          </w:p>
          <w:p w:rsidR="001124F2" w:rsidRDefault="001124F2">
            <w:pPr>
              <w:pStyle w:val="11"/>
              <w:spacing w:before="0" w:after="0"/>
              <w:rPr>
                <w:sz w:val="20"/>
              </w:rPr>
            </w:pPr>
            <w:r>
              <w:rPr>
                <w:sz w:val="20"/>
              </w:rPr>
              <w:t>2012000,</w:t>
            </w:r>
          </w:p>
          <w:p w:rsidR="001124F2" w:rsidRDefault="001124F2">
            <w:pPr>
              <w:pStyle w:val="11"/>
              <w:spacing w:before="0" w:after="0"/>
              <w:rPr>
                <w:sz w:val="20"/>
              </w:rPr>
            </w:pPr>
            <w:r>
              <w:rPr>
                <w:sz w:val="20"/>
              </w:rPr>
              <w:t>2013000,</w:t>
            </w:r>
          </w:p>
          <w:p w:rsidR="001124F2" w:rsidRDefault="001124F2">
            <w:pPr>
              <w:pStyle w:val="11"/>
              <w:spacing w:before="0" w:after="0"/>
              <w:rPr>
                <w:sz w:val="20"/>
              </w:rPr>
            </w:pPr>
            <w:r>
              <w:rPr>
                <w:sz w:val="20"/>
              </w:rPr>
              <w:t>2015000,</w:t>
            </w:r>
          </w:p>
          <w:p w:rsidR="001124F2" w:rsidRDefault="001124F2">
            <w:pPr>
              <w:pStyle w:val="11"/>
              <w:spacing w:before="0" w:after="0"/>
              <w:rPr>
                <w:sz w:val="20"/>
              </w:rPr>
            </w:pPr>
            <w:r>
              <w:rPr>
                <w:sz w:val="20"/>
              </w:rPr>
              <w:t>2018000,</w:t>
            </w:r>
          </w:p>
          <w:p w:rsidR="001124F2" w:rsidRDefault="001124F2">
            <w:pPr>
              <w:pStyle w:val="11"/>
              <w:spacing w:before="0" w:after="0"/>
              <w:rPr>
                <w:sz w:val="20"/>
              </w:rPr>
            </w:pPr>
            <w:r>
              <w:rPr>
                <w:sz w:val="20"/>
              </w:rPr>
              <w:t>2030000</w:t>
            </w:r>
          </w:p>
        </w:tc>
        <w:tc>
          <w:tcPr>
            <w:tcW w:w="6076" w:type="dxa"/>
            <w:tcBorders>
              <w:top w:val="threeDEmboss" w:sz="6" w:space="0" w:color="808080"/>
              <w:left w:val="threeDEmboss" w:sz="6" w:space="0" w:color="808080"/>
              <w:bottom w:val="nil"/>
              <w:right w:val="threeDEmboss" w:sz="6" w:space="0" w:color="808080"/>
            </w:tcBorders>
            <w:vAlign w:val="center"/>
          </w:tcPr>
          <w:p w:rsidR="001124F2" w:rsidRDefault="001124F2">
            <w:pPr>
              <w:pStyle w:val="11"/>
              <w:spacing w:before="0" w:after="0"/>
              <w:jc w:val="both"/>
              <w:rPr>
                <w:sz w:val="20"/>
              </w:rPr>
            </w:pPr>
            <w:r>
              <w:rPr>
                <w:sz w:val="20"/>
              </w:rPr>
              <w:t>прочие поступления от имущества, находящегося в государственной собственности, или от деятельности государственных организаций</w:t>
            </w:r>
          </w:p>
        </w:tc>
        <w:tc>
          <w:tcPr>
            <w:tcW w:w="2054"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jc w:val="right"/>
              <w:rPr>
                <w:sz w:val="20"/>
              </w:rPr>
            </w:pPr>
            <w:r>
              <w:rPr>
                <w:sz w:val="20"/>
              </w:rPr>
              <w:t>4 822 300,0</w:t>
            </w:r>
          </w:p>
        </w:tc>
      </w:tr>
      <w:tr w:rsidR="001124F2">
        <w:trPr>
          <w:jc w:val="center"/>
        </w:trPr>
        <w:tc>
          <w:tcPr>
            <w:tcW w:w="1895"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rPr>
                <w:sz w:val="20"/>
              </w:rPr>
            </w:pPr>
            <w:r>
              <w:rPr>
                <w:sz w:val="20"/>
              </w:rPr>
              <w:t>2040000</w:t>
            </w:r>
          </w:p>
        </w:tc>
        <w:tc>
          <w:tcPr>
            <w:tcW w:w="6076"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rPr>
                <w:sz w:val="20"/>
              </w:rPr>
            </w:pPr>
            <w:r>
              <w:rPr>
                <w:sz w:val="20"/>
              </w:rPr>
              <w:t>Доходы от продажи земли и нематериальных активов</w:t>
            </w:r>
          </w:p>
        </w:tc>
        <w:tc>
          <w:tcPr>
            <w:tcW w:w="2054"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jc w:val="right"/>
              <w:rPr>
                <w:sz w:val="20"/>
              </w:rPr>
            </w:pPr>
            <w:r>
              <w:rPr>
                <w:sz w:val="20"/>
              </w:rPr>
              <w:t>290 000,0</w:t>
            </w:r>
          </w:p>
        </w:tc>
      </w:tr>
      <w:tr w:rsidR="001124F2">
        <w:trPr>
          <w:jc w:val="center"/>
        </w:trPr>
        <w:tc>
          <w:tcPr>
            <w:tcW w:w="1895"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rPr>
                <w:sz w:val="20"/>
              </w:rPr>
            </w:pPr>
            <w:r>
              <w:rPr>
                <w:sz w:val="20"/>
              </w:rPr>
              <w:t>2060000</w:t>
            </w:r>
          </w:p>
        </w:tc>
        <w:tc>
          <w:tcPr>
            <w:tcW w:w="6076"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rPr>
                <w:sz w:val="20"/>
              </w:rPr>
            </w:pPr>
            <w:r>
              <w:rPr>
                <w:sz w:val="20"/>
              </w:rPr>
              <w:t>Административные платежи и сборы</w:t>
            </w:r>
          </w:p>
        </w:tc>
        <w:tc>
          <w:tcPr>
            <w:tcW w:w="2054"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jc w:val="right"/>
              <w:rPr>
                <w:sz w:val="20"/>
              </w:rPr>
            </w:pPr>
            <w:r>
              <w:rPr>
                <w:sz w:val="20"/>
              </w:rPr>
              <w:t>804 100,0</w:t>
            </w:r>
          </w:p>
        </w:tc>
      </w:tr>
      <w:tr w:rsidR="001124F2">
        <w:trPr>
          <w:jc w:val="center"/>
        </w:trPr>
        <w:tc>
          <w:tcPr>
            <w:tcW w:w="1895"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rPr>
                <w:sz w:val="20"/>
              </w:rPr>
            </w:pPr>
            <w:r>
              <w:rPr>
                <w:sz w:val="20"/>
              </w:rPr>
              <w:t>2070000</w:t>
            </w:r>
          </w:p>
        </w:tc>
        <w:tc>
          <w:tcPr>
            <w:tcW w:w="6076"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rPr>
                <w:sz w:val="20"/>
              </w:rPr>
            </w:pPr>
            <w:r>
              <w:rPr>
                <w:sz w:val="20"/>
              </w:rPr>
              <w:t>Штрафные санкции, возмещение ущерба</w:t>
            </w:r>
          </w:p>
        </w:tc>
        <w:tc>
          <w:tcPr>
            <w:tcW w:w="2054"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jc w:val="right"/>
              <w:rPr>
                <w:sz w:val="20"/>
              </w:rPr>
            </w:pPr>
            <w:r>
              <w:rPr>
                <w:sz w:val="20"/>
              </w:rPr>
              <w:t>1 691 400,0</w:t>
            </w:r>
          </w:p>
        </w:tc>
      </w:tr>
      <w:tr w:rsidR="001124F2">
        <w:trPr>
          <w:jc w:val="center"/>
        </w:trPr>
        <w:tc>
          <w:tcPr>
            <w:tcW w:w="1895"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rPr>
                <w:sz w:val="20"/>
              </w:rPr>
            </w:pPr>
            <w:r>
              <w:rPr>
                <w:sz w:val="20"/>
              </w:rPr>
              <w:t>2080000</w:t>
            </w:r>
          </w:p>
        </w:tc>
        <w:tc>
          <w:tcPr>
            <w:tcW w:w="6076"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rPr>
                <w:sz w:val="20"/>
              </w:rPr>
            </w:pPr>
            <w:r>
              <w:rPr>
                <w:sz w:val="20"/>
              </w:rPr>
              <w:t>Доходы от внешнеэкономической деятельности в том числе:</w:t>
            </w:r>
          </w:p>
        </w:tc>
        <w:tc>
          <w:tcPr>
            <w:tcW w:w="2054"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jc w:val="right"/>
              <w:rPr>
                <w:sz w:val="20"/>
              </w:rPr>
            </w:pPr>
            <w:r>
              <w:rPr>
                <w:sz w:val="20"/>
              </w:rPr>
              <w:t>47911900,0</w:t>
            </w:r>
          </w:p>
        </w:tc>
      </w:tr>
      <w:tr w:rsidR="001124F2">
        <w:trPr>
          <w:jc w:val="center"/>
        </w:trPr>
        <w:tc>
          <w:tcPr>
            <w:tcW w:w="1895"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rPr>
                <w:sz w:val="20"/>
              </w:rPr>
            </w:pPr>
            <w:r>
              <w:rPr>
                <w:sz w:val="20"/>
              </w:rPr>
              <w:t>2080100</w:t>
            </w:r>
          </w:p>
        </w:tc>
        <w:tc>
          <w:tcPr>
            <w:tcW w:w="6076"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rPr>
                <w:sz w:val="20"/>
              </w:rPr>
            </w:pPr>
            <w:r>
              <w:rPr>
                <w:sz w:val="20"/>
              </w:rPr>
              <w:t>проценты по государственным кредитам</w:t>
            </w:r>
          </w:p>
        </w:tc>
        <w:tc>
          <w:tcPr>
            <w:tcW w:w="2054"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jc w:val="right"/>
              <w:rPr>
                <w:sz w:val="20"/>
              </w:rPr>
            </w:pPr>
            <w:r>
              <w:rPr>
                <w:sz w:val="20"/>
              </w:rPr>
              <w:t>13684900,0</w:t>
            </w:r>
          </w:p>
        </w:tc>
      </w:tr>
      <w:tr w:rsidR="001124F2">
        <w:trPr>
          <w:jc w:val="center"/>
        </w:trPr>
        <w:tc>
          <w:tcPr>
            <w:tcW w:w="1895"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rPr>
                <w:sz w:val="20"/>
              </w:rPr>
            </w:pPr>
            <w:r>
              <w:rPr>
                <w:sz w:val="20"/>
              </w:rPr>
              <w:t>2080400</w:t>
            </w:r>
          </w:p>
        </w:tc>
        <w:tc>
          <w:tcPr>
            <w:tcW w:w="6076"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rPr>
                <w:sz w:val="20"/>
              </w:rPr>
            </w:pPr>
            <w:r>
              <w:rPr>
                <w:sz w:val="20"/>
              </w:rPr>
              <w:t>таможенные сборы</w:t>
            </w:r>
          </w:p>
        </w:tc>
        <w:tc>
          <w:tcPr>
            <w:tcW w:w="2054"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jc w:val="right"/>
              <w:rPr>
                <w:sz w:val="20"/>
              </w:rPr>
            </w:pPr>
            <w:r>
              <w:rPr>
                <w:sz w:val="20"/>
              </w:rPr>
              <w:t>34 227 000,0</w:t>
            </w:r>
          </w:p>
        </w:tc>
      </w:tr>
      <w:tr w:rsidR="001124F2">
        <w:trPr>
          <w:jc w:val="center"/>
        </w:trPr>
        <w:tc>
          <w:tcPr>
            <w:tcW w:w="1895"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rPr>
                <w:sz w:val="20"/>
              </w:rPr>
            </w:pPr>
            <w:r>
              <w:rPr>
                <w:sz w:val="20"/>
              </w:rPr>
              <w:t>2090000</w:t>
            </w:r>
          </w:p>
        </w:tc>
        <w:tc>
          <w:tcPr>
            <w:tcW w:w="6076"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rPr>
                <w:sz w:val="20"/>
              </w:rPr>
            </w:pPr>
            <w:r>
              <w:rPr>
                <w:sz w:val="20"/>
              </w:rPr>
              <w:t>Прочие неналоговые доходы в том числе:</w:t>
            </w:r>
          </w:p>
        </w:tc>
        <w:tc>
          <w:tcPr>
            <w:tcW w:w="2054"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jc w:val="right"/>
              <w:rPr>
                <w:sz w:val="20"/>
              </w:rPr>
            </w:pPr>
            <w:r>
              <w:rPr>
                <w:sz w:val="20"/>
              </w:rPr>
              <w:t>3 114300,0</w:t>
            </w:r>
          </w:p>
        </w:tc>
      </w:tr>
      <w:tr w:rsidR="001124F2">
        <w:trPr>
          <w:jc w:val="center"/>
        </w:trPr>
        <w:tc>
          <w:tcPr>
            <w:tcW w:w="1895"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rPr>
                <w:sz w:val="20"/>
              </w:rPr>
            </w:pPr>
            <w:r>
              <w:rPr>
                <w:sz w:val="20"/>
              </w:rPr>
              <w:t>2090100</w:t>
            </w:r>
          </w:p>
        </w:tc>
        <w:tc>
          <w:tcPr>
            <w:tcW w:w="6076"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rPr>
                <w:sz w:val="20"/>
              </w:rPr>
            </w:pPr>
            <w:r>
              <w:rPr>
                <w:sz w:val="20"/>
              </w:rPr>
              <w:t>доходы от реализации и (или) использования высокообогащенного урана и природного сырьевого компонента низкообогащенного урана, специального сырья и делящихся материалов</w:t>
            </w:r>
          </w:p>
        </w:tc>
        <w:tc>
          <w:tcPr>
            <w:tcW w:w="2054"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jc w:val="right"/>
              <w:rPr>
                <w:sz w:val="20"/>
              </w:rPr>
            </w:pPr>
            <w:r>
              <w:rPr>
                <w:sz w:val="20"/>
              </w:rPr>
              <w:t>2814300,0</w:t>
            </w:r>
          </w:p>
        </w:tc>
      </w:tr>
      <w:tr w:rsidR="001124F2">
        <w:trPr>
          <w:jc w:val="center"/>
        </w:trPr>
        <w:tc>
          <w:tcPr>
            <w:tcW w:w="1895"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rPr>
                <w:sz w:val="20"/>
              </w:rPr>
            </w:pPr>
            <w:r>
              <w:rPr>
                <w:sz w:val="20"/>
              </w:rPr>
              <w:t>2090200</w:t>
            </w:r>
          </w:p>
        </w:tc>
        <w:tc>
          <w:tcPr>
            <w:tcW w:w="6076"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rPr>
                <w:sz w:val="20"/>
              </w:rPr>
            </w:pPr>
            <w:r>
              <w:rPr>
                <w:sz w:val="20"/>
              </w:rPr>
              <w:t>прочие доходы</w:t>
            </w:r>
          </w:p>
        </w:tc>
        <w:tc>
          <w:tcPr>
            <w:tcW w:w="2054"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jc w:val="right"/>
              <w:rPr>
                <w:sz w:val="20"/>
              </w:rPr>
            </w:pPr>
            <w:r>
              <w:rPr>
                <w:sz w:val="20"/>
              </w:rPr>
              <w:t>300 000,0</w:t>
            </w:r>
          </w:p>
        </w:tc>
      </w:tr>
      <w:tr w:rsidR="001124F2">
        <w:trPr>
          <w:jc w:val="center"/>
        </w:trPr>
        <w:tc>
          <w:tcPr>
            <w:tcW w:w="1895"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rPr>
                <w:sz w:val="20"/>
              </w:rPr>
            </w:pPr>
            <w:r>
              <w:rPr>
                <w:sz w:val="20"/>
              </w:rPr>
              <w:t>4000000</w:t>
            </w:r>
          </w:p>
        </w:tc>
        <w:tc>
          <w:tcPr>
            <w:tcW w:w="6076"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rPr>
                <w:sz w:val="20"/>
              </w:rPr>
            </w:pPr>
            <w:r>
              <w:rPr>
                <w:sz w:val="20"/>
              </w:rPr>
              <w:t>Доходы целевых бюджетных фондов, всего в том числе:</w:t>
            </w:r>
          </w:p>
        </w:tc>
        <w:tc>
          <w:tcPr>
            <w:tcW w:w="2054"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jc w:val="right"/>
              <w:rPr>
                <w:sz w:val="20"/>
              </w:rPr>
            </w:pPr>
            <w:r>
              <w:rPr>
                <w:sz w:val="20"/>
              </w:rPr>
              <w:t>13 893 900,0</w:t>
            </w:r>
          </w:p>
        </w:tc>
      </w:tr>
      <w:tr w:rsidR="001124F2">
        <w:trPr>
          <w:jc w:val="center"/>
        </w:trPr>
        <w:tc>
          <w:tcPr>
            <w:tcW w:w="1895"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rPr>
                <w:sz w:val="20"/>
              </w:rPr>
            </w:pPr>
            <w:r>
              <w:rPr>
                <w:sz w:val="20"/>
              </w:rPr>
              <w:t>4080000</w:t>
            </w:r>
          </w:p>
        </w:tc>
        <w:tc>
          <w:tcPr>
            <w:tcW w:w="6076"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rPr>
                <w:sz w:val="20"/>
              </w:rPr>
            </w:pPr>
            <w:r>
              <w:rPr>
                <w:sz w:val="20"/>
              </w:rPr>
              <w:t>Фонд Министерства Российской Федерации по атомной энергии</w:t>
            </w:r>
          </w:p>
        </w:tc>
        <w:tc>
          <w:tcPr>
            <w:tcW w:w="2054"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jc w:val="right"/>
              <w:rPr>
                <w:sz w:val="20"/>
              </w:rPr>
            </w:pPr>
            <w:r>
              <w:rPr>
                <w:sz w:val="20"/>
              </w:rPr>
              <w:t>13 893 900,0</w:t>
            </w:r>
          </w:p>
        </w:tc>
      </w:tr>
      <w:tr w:rsidR="001124F2">
        <w:trPr>
          <w:jc w:val="center"/>
        </w:trPr>
        <w:tc>
          <w:tcPr>
            <w:tcW w:w="1895"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rPr>
                <w:sz w:val="20"/>
              </w:rPr>
            </w:pPr>
            <w:r>
              <w:rPr>
                <w:sz w:val="20"/>
              </w:rPr>
              <w:t>1010510</w:t>
            </w:r>
          </w:p>
        </w:tc>
        <w:tc>
          <w:tcPr>
            <w:tcW w:w="6076"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rPr>
                <w:sz w:val="20"/>
              </w:rPr>
            </w:pPr>
            <w:r>
              <w:rPr>
                <w:sz w:val="20"/>
              </w:rPr>
              <w:t>Единый социальный налог (взнос), зачисляемый в федеральный бюджет</w:t>
            </w:r>
          </w:p>
        </w:tc>
        <w:tc>
          <w:tcPr>
            <w:tcW w:w="2054"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jc w:val="right"/>
              <w:rPr>
                <w:sz w:val="20"/>
              </w:rPr>
            </w:pPr>
            <w:r>
              <w:rPr>
                <w:sz w:val="20"/>
              </w:rPr>
              <w:t>281 230 000,0</w:t>
            </w:r>
          </w:p>
        </w:tc>
      </w:tr>
      <w:tr w:rsidR="001124F2">
        <w:trPr>
          <w:jc w:val="center"/>
        </w:trPr>
        <w:tc>
          <w:tcPr>
            <w:tcW w:w="1895"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rPr>
                <w:sz w:val="20"/>
              </w:rPr>
            </w:pPr>
          </w:p>
        </w:tc>
        <w:tc>
          <w:tcPr>
            <w:tcW w:w="6076"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jc w:val="right"/>
              <w:rPr>
                <w:sz w:val="20"/>
              </w:rPr>
            </w:pPr>
            <w:r>
              <w:rPr>
                <w:sz w:val="20"/>
              </w:rPr>
              <w:t>Всего доходов</w:t>
            </w:r>
          </w:p>
        </w:tc>
        <w:tc>
          <w:tcPr>
            <w:tcW w:w="2054" w:type="dxa"/>
            <w:tcBorders>
              <w:top w:val="threeDEmboss" w:sz="6" w:space="0" w:color="808080"/>
              <w:left w:val="threeDEmboss" w:sz="6" w:space="0" w:color="808080"/>
              <w:bottom w:val="threeDEmboss" w:sz="6" w:space="0" w:color="808080"/>
              <w:right w:val="threeDEmboss" w:sz="6" w:space="0" w:color="808080"/>
            </w:tcBorders>
            <w:vAlign w:val="center"/>
          </w:tcPr>
          <w:p w:rsidR="001124F2" w:rsidRDefault="001124F2">
            <w:pPr>
              <w:pStyle w:val="11"/>
              <w:spacing w:before="0" w:after="0"/>
              <w:jc w:val="right"/>
              <w:rPr>
                <w:sz w:val="20"/>
              </w:rPr>
            </w:pPr>
            <w:r>
              <w:rPr>
                <w:sz w:val="20"/>
              </w:rPr>
              <w:t>2 125 718 200,0</w:t>
            </w:r>
          </w:p>
        </w:tc>
      </w:tr>
    </w:tbl>
    <w:p w:rsidR="001124F2" w:rsidRDefault="001124F2">
      <w:pPr>
        <w:pStyle w:val="11"/>
        <w:spacing w:before="0" w:after="0"/>
        <w:ind w:firstLine="567"/>
        <w:jc w:val="both"/>
        <w:rPr>
          <w:rFonts w:ascii="Courier New" w:hAnsi="Courier New"/>
          <w:sz w:val="28"/>
        </w:rPr>
      </w:pPr>
    </w:p>
    <w:p w:rsidR="001124F2" w:rsidRDefault="001124F2">
      <w:pPr>
        <w:pStyle w:val="11"/>
        <w:jc w:val="center"/>
        <w:rPr>
          <w:rFonts w:ascii="Courier New" w:hAnsi="Courier New"/>
          <w:b/>
          <w:sz w:val="28"/>
        </w:rPr>
      </w:pPr>
      <w:r>
        <w:rPr>
          <w:rFonts w:ascii="Courier New" w:hAnsi="Courier New"/>
          <w:sz w:val="28"/>
        </w:rPr>
        <w:br w:type="page"/>
      </w:r>
      <w:r>
        <w:rPr>
          <w:rFonts w:ascii="Courier New" w:hAnsi="Courier New"/>
          <w:b/>
          <w:sz w:val="28"/>
        </w:rPr>
        <w:t>Анализ отклонений фактических объемов налоговых и неналоговых доходов от утверждаемых в федеральных законах о федеральном бюджете млрд. рублей</w:t>
      </w:r>
    </w:p>
    <w:tbl>
      <w:tblPr>
        <w:tblW w:w="0" w:type="auto"/>
        <w:jc w:val="center"/>
        <w:tblLayout w:type="fixed"/>
        <w:tblCellMar>
          <w:left w:w="0" w:type="dxa"/>
          <w:right w:w="0" w:type="dxa"/>
        </w:tblCellMar>
        <w:tblLook w:val="0000" w:firstRow="0" w:lastRow="0" w:firstColumn="0" w:lastColumn="0" w:noHBand="0" w:noVBand="0"/>
      </w:tblPr>
      <w:tblGrid>
        <w:gridCol w:w="2686"/>
        <w:gridCol w:w="816"/>
        <w:gridCol w:w="714"/>
        <w:gridCol w:w="714"/>
        <w:gridCol w:w="714"/>
        <w:gridCol w:w="714"/>
        <w:gridCol w:w="714"/>
        <w:gridCol w:w="714"/>
        <w:gridCol w:w="714"/>
        <w:gridCol w:w="714"/>
        <w:gridCol w:w="816"/>
      </w:tblGrid>
      <w:tr w:rsidR="00901A89" w:rsidTr="00901A89">
        <w:trPr>
          <w:cantSplit/>
          <w:jc w:val="center"/>
        </w:trPr>
        <w:tc>
          <w:tcPr>
            <w:tcW w:w="2686" w:type="dxa"/>
            <w:vMerge w:val="restart"/>
            <w:tcBorders>
              <w:top w:val="threeDEmboss" w:sz="6" w:space="0" w:color="auto"/>
              <w:left w:val="threeDEmboss" w:sz="6" w:space="0" w:color="auto"/>
              <w:bottom w:val="threeDEmboss" w:sz="6" w:space="0" w:color="auto"/>
              <w:right w:val="threeDEmboss" w:sz="6" w:space="0" w:color="auto"/>
            </w:tcBorders>
          </w:tcPr>
          <w:p w:rsidR="001124F2" w:rsidRDefault="001124F2">
            <w:pPr>
              <w:pStyle w:val="11"/>
              <w:jc w:val="center"/>
              <w:rPr>
                <w:rFonts w:ascii="Arial" w:hAnsi="Arial"/>
                <w:sz w:val="20"/>
              </w:rPr>
            </w:pPr>
            <w:r>
              <w:rPr>
                <w:rFonts w:ascii="Arial" w:hAnsi="Arial"/>
                <w:sz w:val="20"/>
              </w:rPr>
              <w:t>Наименования показателей</w:t>
            </w:r>
          </w:p>
        </w:tc>
        <w:tc>
          <w:tcPr>
            <w:tcW w:w="7344" w:type="dxa"/>
            <w:gridSpan w:val="10"/>
            <w:tcBorders>
              <w:top w:val="threeDEmboss" w:sz="6" w:space="0" w:color="auto"/>
              <w:left w:val="threeDEmboss" w:sz="6" w:space="0" w:color="auto"/>
              <w:bottom w:val="threeDEmboss" w:sz="6" w:space="0" w:color="auto"/>
              <w:right w:val="threeDEmboss" w:sz="6" w:space="0" w:color="auto"/>
            </w:tcBorders>
          </w:tcPr>
          <w:p w:rsidR="001124F2" w:rsidRDefault="001124F2">
            <w:pPr>
              <w:pStyle w:val="11"/>
              <w:jc w:val="center"/>
              <w:rPr>
                <w:rFonts w:ascii="Arial" w:hAnsi="Arial"/>
                <w:sz w:val="20"/>
              </w:rPr>
            </w:pPr>
            <w:r>
              <w:rPr>
                <w:rFonts w:ascii="Arial" w:hAnsi="Arial"/>
                <w:sz w:val="20"/>
              </w:rPr>
              <w:t>Отклонение фактического исполнения от утвержденных показателей на год</w:t>
            </w:r>
          </w:p>
        </w:tc>
      </w:tr>
      <w:tr w:rsidR="00901A89" w:rsidTr="00901A89">
        <w:trPr>
          <w:cantSplit/>
          <w:jc w:val="center"/>
        </w:trPr>
        <w:tc>
          <w:tcPr>
            <w:tcW w:w="2686" w:type="dxa"/>
            <w:vMerge/>
            <w:tcBorders>
              <w:top w:val="threeDEmboss" w:sz="6" w:space="0" w:color="auto"/>
              <w:left w:val="threeDEmboss" w:sz="6" w:space="0" w:color="auto"/>
              <w:bottom w:val="threeDEmboss" w:sz="6" w:space="0" w:color="auto"/>
              <w:right w:val="threeDEmboss" w:sz="6" w:space="0" w:color="auto"/>
            </w:tcBorders>
            <w:vAlign w:val="center"/>
          </w:tcPr>
          <w:p w:rsidR="001124F2" w:rsidRDefault="001124F2">
            <w:pPr>
              <w:pStyle w:val="11"/>
              <w:rPr>
                <w:rFonts w:ascii="Arial" w:hAnsi="Arial"/>
                <w:sz w:val="20"/>
              </w:rPr>
            </w:pPr>
          </w:p>
        </w:tc>
        <w:tc>
          <w:tcPr>
            <w:tcW w:w="1530" w:type="dxa"/>
            <w:gridSpan w:val="2"/>
            <w:tcBorders>
              <w:top w:val="threeDEmboss" w:sz="6" w:space="0" w:color="auto"/>
              <w:left w:val="threeDEmboss" w:sz="6" w:space="0" w:color="auto"/>
              <w:bottom w:val="threeDEmboss" w:sz="6" w:space="0" w:color="auto"/>
              <w:right w:val="threeDEmboss" w:sz="6" w:space="0" w:color="auto"/>
            </w:tcBorders>
          </w:tcPr>
          <w:p w:rsidR="001124F2" w:rsidRDefault="001124F2">
            <w:pPr>
              <w:pStyle w:val="11"/>
              <w:jc w:val="center"/>
              <w:rPr>
                <w:rFonts w:ascii="Arial" w:hAnsi="Arial"/>
                <w:sz w:val="20"/>
              </w:rPr>
            </w:pPr>
            <w:r>
              <w:rPr>
                <w:rFonts w:ascii="Arial" w:hAnsi="Arial"/>
                <w:sz w:val="20"/>
              </w:rPr>
              <w:t>1997 год</w:t>
            </w:r>
          </w:p>
        </w:tc>
        <w:tc>
          <w:tcPr>
            <w:tcW w:w="1428" w:type="dxa"/>
            <w:gridSpan w:val="2"/>
            <w:tcBorders>
              <w:top w:val="threeDEmboss" w:sz="6" w:space="0" w:color="auto"/>
              <w:left w:val="threeDEmboss" w:sz="6" w:space="0" w:color="auto"/>
              <w:bottom w:val="threeDEmboss" w:sz="6" w:space="0" w:color="auto"/>
              <w:right w:val="threeDEmboss" w:sz="6" w:space="0" w:color="auto"/>
            </w:tcBorders>
          </w:tcPr>
          <w:p w:rsidR="001124F2" w:rsidRDefault="001124F2">
            <w:pPr>
              <w:pStyle w:val="11"/>
              <w:jc w:val="center"/>
              <w:rPr>
                <w:rFonts w:ascii="Arial" w:hAnsi="Arial"/>
                <w:sz w:val="20"/>
              </w:rPr>
            </w:pPr>
            <w:r>
              <w:rPr>
                <w:rFonts w:ascii="Arial" w:hAnsi="Arial"/>
                <w:sz w:val="20"/>
              </w:rPr>
              <w:t xml:space="preserve">1998 год </w:t>
            </w:r>
          </w:p>
        </w:tc>
        <w:tc>
          <w:tcPr>
            <w:tcW w:w="1428" w:type="dxa"/>
            <w:gridSpan w:val="2"/>
            <w:tcBorders>
              <w:top w:val="threeDEmboss" w:sz="6" w:space="0" w:color="auto"/>
              <w:left w:val="threeDEmboss" w:sz="6" w:space="0" w:color="auto"/>
              <w:bottom w:val="threeDEmboss" w:sz="6" w:space="0" w:color="auto"/>
              <w:right w:val="threeDEmboss" w:sz="6" w:space="0" w:color="auto"/>
            </w:tcBorders>
          </w:tcPr>
          <w:p w:rsidR="001124F2" w:rsidRDefault="001124F2">
            <w:pPr>
              <w:pStyle w:val="11"/>
              <w:jc w:val="center"/>
              <w:rPr>
                <w:rFonts w:ascii="Arial" w:hAnsi="Arial"/>
                <w:sz w:val="20"/>
              </w:rPr>
            </w:pPr>
            <w:r>
              <w:rPr>
                <w:rFonts w:ascii="Arial" w:hAnsi="Arial"/>
                <w:sz w:val="20"/>
              </w:rPr>
              <w:t>1999 год</w:t>
            </w:r>
          </w:p>
        </w:tc>
        <w:tc>
          <w:tcPr>
            <w:tcW w:w="1428" w:type="dxa"/>
            <w:gridSpan w:val="2"/>
            <w:tcBorders>
              <w:top w:val="threeDEmboss" w:sz="6" w:space="0" w:color="auto"/>
              <w:left w:val="threeDEmboss" w:sz="6" w:space="0" w:color="auto"/>
              <w:bottom w:val="threeDEmboss" w:sz="6" w:space="0" w:color="auto"/>
              <w:right w:val="threeDEmboss" w:sz="6" w:space="0" w:color="auto"/>
            </w:tcBorders>
          </w:tcPr>
          <w:p w:rsidR="001124F2" w:rsidRDefault="001124F2">
            <w:pPr>
              <w:pStyle w:val="11"/>
              <w:jc w:val="center"/>
              <w:rPr>
                <w:rFonts w:ascii="Arial" w:hAnsi="Arial"/>
                <w:sz w:val="20"/>
              </w:rPr>
            </w:pPr>
            <w:r>
              <w:rPr>
                <w:rFonts w:ascii="Arial" w:hAnsi="Arial"/>
                <w:sz w:val="20"/>
              </w:rPr>
              <w:t>2000 год</w:t>
            </w:r>
          </w:p>
        </w:tc>
        <w:tc>
          <w:tcPr>
            <w:tcW w:w="1530" w:type="dxa"/>
            <w:gridSpan w:val="2"/>
            <w:tcBorders>
              <w:top w:val="threeDEmboss" w:sz="6" w:space="0" w:color="auto"/>
              <w:left w:val="threeDEmboss" w:sz="6" w:space="0" w:color="auto"/>
              <w:bottom w:val="threeDEmboss" w:sz="6" w:space="0" w:color="auto"/>
              <w:right w:val="threeDEmboss" w:sz="6" w:space="0" w:color="auto"/>
            </w:tcBorders>
          </w:tcPr>
          <w:p w:rsidR="001124F2" w:rsidRDefault="001124F2">
            <w:pPr>
              <w:pStyle w:val="11"/>
              <w:jc w:val="center"/>
              <w:rPr>
                <w:rFonts w:ascii="Arial" w:hAnsi="Arial"/>
                <w:sz w:val="20"/>
              </w:rPr>
            </w:pPr>
            <w:r>
              <w:rPr>
                <w:rFonts w:ascii="Arial" w:hAnsi="Arial"/>
                <w:sz w:val="20"/>
              </w:rPr>
              <w:t>1 п/г 2001 года</w:t>
            </w:r>
            <w:r>
              <w:rPr>
                <w:rStyle w:val="14"/>
                <w:rFonts w:ascii="Arial" w:hAnsi="Arial"/>
                <w:sz w:val="20"/>
              </w:rPr>
              <w:t>*</w:t>
            </w:r>
          </w:p>
        </w:tc>
      </w:tr>
      <w:tr w:rsidR="001124F2">
        <w:trPr>
          <w:cantSplit/>
          <w:jc w:val="center"/>
        </w:trPr>
        <w:tc>
          <w:tcPr>
            <w:tcW w:w="2686" w:type="dxa"/>
            <w:vMerge/>
            <w:tcBorders>
              <w:top w:val="threeDEmboss" w:sz="6" w:space="0" w:color="auto"/>
              <w:left w:val="threeDEmboss" w:sz="6" w:space="0" w:color="auto"/>
              <w:bottom w:val="threeDEmboss" w:sz="6" w:space="0" w:color="auto"/>
              <w:right w:val="threeDEmboss" w:sz="6" w:space="0" w:color="auto"/>
            </w:tcBorders>
            <w:vAlign w:val="center"/>
          </w:tcPr>
          <w:p w:rsidR="001124F2" w:rsidRDefault="001124F2">
            <w:pPr>
              <w:pStyle w:val="11"/>
              <w:rPr>
                <w:rFonts w:ascii="Arial" w:hAnsi="Arial"/>
                <w:sz w:val="20"/>
              </w:rPr>
            </w:pPr>
          </w:p>
        </w:tc>
        <w:tc>
          <w:tcPr>
            <w:tcW w:w="816" w:type="dxa"/>
            <w:tcBorders>
              <w:top w:val="threeDEmboss" w:sz="6" w:space="0" w:color="auto"/>
              <w:left w:val="threeDEmboss" w:sz="6" w:space="0" w:color="auto"/>
              <w:bottom w:val="threeDEmboss" w:sz="6" w:space="0" w:color="auto"/>
              <w:right w:val="threeDEmboss" w:sz="6" w:space="0" w:color="auto"/>
            </w:tcBorders>
          </w:tcPr>
          <w:p w:rsidR="001124F2" w:rsidRDefault="001124F2">
            <w:pPr>
              <w:pStyle w:val="11"/>
              <w:jc w:val="center"/>
              <w:rPr>
                <w:rFonts w:ascii="Arial" w:hAnsi="Arial"/>
                <w:sz w:val="20"/>
              </w:rPr>
            </w:pPr>
            <w:r>
              <w:rPr>
                <w:rFonts w:ascii="Arial" w:hAnsi="Arial"/>
                <w:sz w:val="20"/>
              </w:rPr>
              <w:t>сумма</w:t>
            </w:r>
          </w:p>
        </w:tc>
        <w:tc>
          <w:tcPr>
            <w:tcW w:w="714" w:type="dxa"/>
            <w:tcBorders>
              <w:top w:val="threeDEmboss" w:sz="6" w:space="0" w:color="auto"/>
              <w:left w:val="threeDEmboss" w:sz="6" w:space="0" w:color="auto"/>
              <w:bottom w:val="threeDEmboss" w:sz="6" w:space="0" w:color="auto"/>
              <w:right w:val="threeDEmboss" w:sz="6" w:space="0" w:color="auto"/>
            </w:tcBorders>
          </w:tcPr>
          <w:p w:rsidR="001124F2" w:rsidRDefault="001124F2">
            <w:pPr>
              <w:pStyle w:val="11"/>
              <w:jc w:val="center"/>
              <w:rPr>
                <w:rFonts w:ascii="Arial" w:hAnsi="Arial"/>
                <w:sz w:val="20"/>
              </w:rPr>
            </w:pPr>
            <w:r>
              <w:rPr>
                <w:rFonts w:ascii="Arial" w:hAnsi="Arial"/>
                <w:sz w:val="20"/>
              </w:rPr>
              <w:t>%</w:t>
            </w:r>
          </w:p>
        </w:tc>
        <w:tc>
          <w:tcPr>
            <w:tcW w:w="714" w:type="dxa"/>
            <w:tcBorders>
              <w:top w:val="threeDEmboss" w:sz="6" w:space="0" w:color="auto"/>
              <w:left w:val="threeDEmboss" w:sz="6" w:space="0" w:color="auto"/>
              <w:bottom w:val="threeDEmboss" w:sz="6" w:space="0" w:color="auto"/>
              <w:right w:val="threeDEmboss" w:sz="6" w:space="0" w:color="auto"/>
            </w:tcBorders>
          </w:tcPr>
          <w:p w:rsidR="001124F2" w:rsidRDefault="001124F2">
            <w:pPr>
              <w:pStyle w:val="11"/>
              <w:jc w:val="center"/>
              <w:rPr>
                <w:rFonts w:ascii="Arial" w:hAnsi="Arial"/>
                <w:sz w:val="20"/>
              </w:rPr>
            </w:pPr>
            <w:r>
              <w:rPr>
                <w:rFonts w:ascii="Arial" w:hAnsi="Arial"/>
                <w:sz w:val="20"/>
              </w:rPr>
              <w:t>сумма</w:t>
            </w:r>
          </w:p>
        </w:tc>
        <w:tc>
          <w:tcPr>
            <w:tcW w:w="714" w:type="dxa"/>
            <w:tcBorders>
              <w:top w:val="threeDEmboss" w:sz="6" w:space="0" w:color="auto"/>
              <w:left w:val="threeDEmboss" w:sz="6" w:space="0" w:color="auto"/>
              <w:bottom w:val="threeDEmboss" w:sz="6" w:space="0" w:color="auto"/>
              <w:right w:val="threeDEmboss" w:sz="6" w:space="0" w:color="auto"/>
            </w:tcBorders>
          </w:tcPr>
          <w:p w:rsidR="001124F2" w:rsidRDefault="001124F2">
            <w:pPr>
              <w:pStyle w:val="11"/>
              <w:jc w:val="center"/>
              <w:rPr>
                <w:rFonts w:ascii="Arial" w:hAnsi="Arial"/>
                <w:sz w:val="20"/>
              </w:rPr>
            </w:pPr>
            <w:r>
              <w:rPr>
                <w:rFonts w:ascii="Arial" w:hAnsi="Arial"/>
                <w:sz w:val="20"/>
              </w:rPr>
              <w:t>%</w:t>
            </w:r>
          </w:p>
        </w:tc>
        <w:tc>
          <w:tcPr>
            <w:tcW w:w="714" w:type="dxa"/>
            <w:tcBorders>
              <w:top w:val="threeDEmboss" w:sz="6" w:space="0" w:color="auto"/>
              <w:left w:val="threeDEmboss" w:sz="6" w:space="0" w:color="auto"/>
              <w:bottom w:val="threeDEmboss" w:sz="6" w:space="0" w:color="auto"/>
              <w:right w:val="threeDEmboss" w:sz="6" w:space="0" w:color="auto"/>
            </w:tcBorders>
          </w:tcPr>
          <w:p w:rsidR="001124F2" w:rsidRDefault="001124F2">
            <w:pPr>
              <w:pStyle w:val="11"/>
              <w:jc w:val="center"/>
              <w:rPr>
                <w:rFonts w:ascii="Arial" w:hAnsi="Arial"/>
                <w:sz w:val="20"/>
              </w:rPr>
            </w:pPr>
            <w:r>
              <w:rPr>
                <w:rFonts w:ascii="Arial" w:hAnsi="Arial"/>
                <w:sz w:val="20"/>
              </w:rPr>
              <w:t>сумма</w:t>
            </w:r>
          </w:p>
        </w:tc>
        <w:tc>
          <w:tcPr>
            <w:tcW w:w="714" w:type="dxa"/>
            <w:tcBorders>
              <w:top w:val="threeDEmboss" w:sz="6" w:space="0" w:color="auto"/>
              <w:left w:val="threeDEmboss" w:sz="6" w:space="0" w:color="auto"/>
              <w:bottom w:val="threeDEmboss" w:sz="6" w:space="0" w:color="auto"/>
              <w:right w:val="threeDEmboss" w:sz="6" w:space="0" w:color="auto"/>
            </w:tcBorders>
          </w:tcPr>
          <w:p w:rsidR="001124F2" w:rsidRDefault="001124F2">
            <w:pPr>
              <w:pStyle w:val="11"/>
              <w:jc w:val="center"/>
              <w:rPr>
                <w:rFonts w:ascii="Arial" w:hAnsi="Arial"/>
                <w:sz w:val="20"/>
              </w:rPr>
            </w:pPr>
            <w:r>
              <w:rPr>
                <w:rFonts w:ascii="Arial" w:hAnsi="Arial"/>
                <w:sz w:val="20"/>
              </w:rPr>
              <w:t>%</w:t>
            </w:r>
          </w:p>
        </w:tc>
        <w:tc>
          <w:tcPr>
            <w:tcW w:w="714" w:type="dxa"/>
            <w:tcBorders>
              <w:top w:val="threeDEmboss" w:sz="6" w:space="0" w:color="auto"/>
              <w:left w:val="threeDEmboss" w:sz="6" w:space="0" w:color="auto"/>
              <w:bottom w:val="threeDEmboss" w:sz="6" w:space="0" w:color="auto"/>
              <w:right w:val="threeDEmboss" w:sz="6" w:space="0" w:color="auto"/>
            </w:tcBorders>
          </w:tcPr>
          <w:p w:rsidR="001124F2" w:rsidRDefault="001124F2">
            <w:pPr>
              <w:pStyle w:val="11"/>
              <w:jc w:val="center"/>
              <w:rPr>
                <w:rFonts w:ascii="Arial" w:hAnsi="Arial"/>
                <w:sz w:val="20"/>
              </w:rPr>
            </w:pPr>
            <w:r>
              <w:rPr>
                <w:rFonts w:ascii="Arial" w:hAnsi="Arial"/>
                <w:sz w:val="20"/>
              </w:rPr>
              <w:t>сумма</w:t>
            </w:r>
          </w:p>
        </w:tc>
        <w:tc>
          <w:tcPr>
            <w:tcW w:w="714" w:type="dxa"/>
            <w:tcBorders>
              <w:top w:val="threeDEmboss" w:sz="6" w:space="0" w:color="auto"/>
              <w:left w:val="threeDEmboss" w:sz="6" w:space="0" w:color="auto"/>
              <w:bottom w:val="threeDEmboss" w:sz="6" w:space="0" w:color="auto"/>
              <w:right w:val="threeDEmboss" w:sz="6" w:space="0" w:color="auto"/>
            </w:tcBorders>
          </w:tcPr>
          <w:p w:rsidR="001124F2" w:rsidRDefault="001124F2">
            <w:pPr>
              <w:pStyle w:val="11"/>
              <w:jc w:val="center"/>
              <w:rPr>
                <w:rFonts w:ascii="Arial" w:hAnsi="Arial"/>
                <w:sz w:val="20"/>
              </w:rPr>
            </w:pPr>
            <w:r>
              <w:rPr>
                <w:rFonts w:ascii="Arial" w:hAnsi="Arial"/>
                <w:sz w:val="20"/>
              </w:rPr>
              <w:t>%</w:t>
            </w:r>
          </w:p>
        </w:tc>
        <w:tc>
          <w:tcPr>
            <w:tcW w:w="714" w:type="dxa"/>
            <w:tcBorders>
              <w:top w:val="threeDEmboss" w:sz="6" w:space="0" w:color="auto"/>
              <w:left w:val="threeDEmboss" w:sz="6" w:space="0" w:color="auto"/>
              <w:bottom w:val="threeDEmboss" w:sz="6" w:space="0" w:color="auto"/>
              <w:right w:val="threeDEmboss" w:sz="6" w:space="0" w:color="auto"/>
            </w:tcBorders>
          </w:tcPr>
          <w:p w:rsidR="001124F2" w:rsidRDefault="001124F2">
            <w:pPr>
              <w:pStyle w:val="11"/>
              <w:jc w:val="center"/>
              <w:rPr>
                <w:rFonts w:ascii="Arial" w:hAnsi="Arial"/>
                <w:sz w:val="20"/>
              </w:rPr>
            </w:pPr>
            <w:r>
              <w:rPr>
                <w:rFonts w:ascii="Arial" w:hAnsi="Arial"/>
                <w:sz w:val="20"/>
              </w:rPr>
              <w:t>сумма</w:t>
            </w:r>
          </w:p>
        </w:tc>
        <w:tc>
          <w:tcPr>
            <w:tcW w:w="816" w:type="dxa"/>
            <w:tcBorders>
              <w:top w:val="threeDEmboss" w:sz="6" w:space="0" w:color="auto"/>
              <w:left w:val="threeDEmboss" w:sz="6" w:space="0" w:color="auto"/>
              <w:bottom w:val="threeDEmboss" w:sz="6" w:space="0" w:color="auto"/>
              <w:right w:val="threeDEmboss" w:sz="6" w:space="0" w:color="auto"/>
            </w:tcBorders>
          </w:tcPr>
          <w:p w:rsidR="001124F2" w:rsidRDefault="001124F2">
            <w:pPr>
              <w:pStyle w:val="11"/>
              <w:jc w:val="center"/>
              <w:rPr>
                <w:rFonts w:ascii="Arial" w:hAnsi="Arial"/>
                <w:sz w:val="20"/>
              </w:rPr>
            </w:pPr>
            <w:r>
              <w:rPr>
                <w:rFonts w:ascii="Arial" w:hAnsi="Arial"/>
                <w:sz w:val="20"/>
              </w:rPr>
              <w:t>%</w:t>
            </w:r>
          </w:p>
        </w:tc>
      </w:tr>
      <w:tr w:rsidR="001124F2">
        <w:trPr>
          <w:jc w:val="center"/>
        </w:trPr>
        <w:tc>
          <w:tcPr>
            <w:tcW w:w="2686" w:type="dxa"/>
            <w:tcBorders>
              <w:top w:val="threeDEmboss" w:sz="6" w:space="0" w:color="auto"/>
              <w:left w:val="threeDEmboss" w:sz="6" w:space="0" w:color="auto"/>
              <w:bottom w:val="threeDEmboss" w:sz="6" w:space="0" w:color="auto"/>
              <w:right w:val="threeDEmboss" w:sz="6" w:space="0" w:color="auto"/>
            </w:tcBorders>
          </w:tcPr>
          <w:p w:rsidR="001124F2" w:rsidRDefault="001124F2">
            <w:pPr>
              <w:pStyle w:val="11"/>
              <w:jc w:val="both"/>
              <w:rPr>
                <w:rFonts w:ascii="Arial" w:hAnsi="Arial"/>
                <w:b/>
                <w:sz w:val="20"/>
              </w:rPr>
            </w:pPr>
            <w:r>
              <w:rPr>
                <w:rFonts w:ascii="Arial" w:hAnsi="Arial"/>
                <w:b/>
                <w:sz w:val="20"/>
              </w:rPr>
              <w:t>НАЛОГОВЫЕ ДОХОДЫ</w:t>
            </w:r>
          </w:p>
        </w:tc>
        <w:tc>
          <w:tcPr>
            <w:tcW w:w="816" w:type="dxa"/>
            <w:tcBorders>
              <w:top w:val="threeDEmboss" w:sz="6" w:space="0" w:color="auto"/>
              <w:left w:val="threeDEmboss" w:sz="6" w:space="0" w:color="auto"/>
              <w:bottom w:val="threeDEmboss" w:sz="6" w:space="0" w:color="auto"/>
              <w:right w:val="threeDEmboss" w:sz="6" w:space="0" w:color="auto"/>
            </w:tcBorders>
          </w:tcPr>
          <w:p w:rsidR="001124F2" w:rsidRDefault="001124F2">
            <w:pPr>
              <w:pStyle w:val="11"/>
              <w:jc w:val="right"/>
              <w:rPr>
                <w:rFonts w:ascii="Arial" w:hAnsi="Arial"/>
                <w:sz w:val="20"/>
              </w:rPr>
            </w:pPr>
            <w:r>
              <w:rPr>
                <w:rFonts w:ascii="Arial" w:hAnsi="Arial"/>
                <w:sz w:val="20"/>
              </w:rPr>
              <w:t>-112,25</w:t>
            </w:r>
          </w:p>
        </w:tc>
        <w:tc>
          <w:tcPr>
            <w:tcW w:w="714" w:type="dxa"/>
            <w:tcBorders>
              <w:top w:val="threeDEmboss" w:sz="6" w:space="0" w:color="auto"/>
              <w:left w:val="threeDEmboss" w:sz="6" w:space="0" w:color="auto"/>
              <w:bottom w:val="threeDEmboss" w:sz="6" w:space="0" w:color="auto"/>
              <w:right w:val="threeDEmboss" w:sz="6" w:space="0" w:color="auto"/>
            </w:tcBorders>
          </w:tcPr>
          <w:p w:rsidR="001124F2" w:rsidRDefault="001124F2">
            <w:pPr>
              <w:pStyle w:val="11"/>
              <w:jc w:val="right"/>
              <w:rPr>
                <w:rFonts w:ascii="Arial" w:hAnsi="Arial"/>
                <w:sz w:val="20"/>
              </w:rPr>
            </w:pPr>
            <w:r>
              <w:rPr>
                <w:rFonts w:ascii="Arial" w:hAnsi="Arial"/>
                <w:sz w:val="20"/>
              </w:rPr>
              <w:t>-30,15</w:t>
            </w:r>
          </w:p>
        </w:tc>
        <w:tc>
          <w:tcPr>
            <w:tcW w:w="714" w:type="dxa"/>
            <w:tcBorders>
              <w:top w:val="threeDEmboss" w:sz="6" w:space="0" w:color="auto"/>
              <w:left w:val="threeDEmboss" w:sz="6" w:space="0" w:color="auto"/>
              <w:bottom w:val="threeDEmboss" w:sz="6" w:space="0" w:color="auto"/>
              <w:right w:val="threeDEmboss" w:sz="6" w:space="0" w:color="auto"/>
            </w:tcBorders>
          </w:tcPr>
          <w:p w:rsidR="001124F2" w:rsidRDefault="001124F2">
            <w:pPr>
              <w:pStyle w:val="11"/>
              <w:jc w:val="right"/>
              <w:rPr>
                <w:rFonts w:ascii="Arial" w:hAnsi="Arial"/>
                <w:sz w:val="20"/>
              </w:rPr>
            </w:pPr>
            <w:r>
              <w:rPr>
                <w:rFonts w:ascii="Arial" w:hAnsi="Arial"/>
                <w:sz w:val="20"/>
              </w:rPr>
              <w:t>-53,71</w:t>
            </w:r>
          </w:p>
        </w:tc>
        <w:tc>
          <w:tcPr>
            <w:tcW w:w="714" w:type="dxa"/>
            <w:tcBorders>
              <w:top w:val="threeDEmboss" w:sz="6" w:space="0" w:color="auto"/>
              <w:left w:val="threeDEmboss" w:sz="6" w:space="0" w:color="auto"/>
              <w:bottom w:val="threeDEmboss" w:sz="6" w:space="0" w:color="auto"/>
              <w:right w:val="threeDEmboss" w:sz="6" w:space="0" w:color="auto"/>
            </w:tcBorders>
          </w:tcPr>
          <w:p w:rsidR="001124F2" w:rsidRDefault="001124F2">
            <w:pPr>
              <w:pStyle w:val="11"/>
              <w:jc w:val="right"/>
              <w:rPr>
                <w:rFonts w:ascii="Arial" w:hAnsi="Arial"/>
                <w:sz w:val="20"/>
              </w:rPr>
            </w:pPr>
            <w:r>
              <w:rPr>
                <w:rFonts w:ascii="Arial" w:hAnsi="Arial"/>
                <w:sz w:val="20"/>
              </w:rPr>
              <w:t>-17,50</w:t>
            </w:r>
          </w:p>
        </w:tc>
        <w:tc>
          <w:tcPr>
            <w:tcW w:w="714" w:type="dxa"/>
            <w:tcBorders>
              <w:top w:val="threeDEmboss" w:sz="6" w:space="0" w:color="auto"/>
              <w:left w:val="threeDEmboss" w:sz="6" w:space="0" w:color="auto"/>
              <w:bottom w:val="threeDEmboss" w:sz="6" w:space="0" w:color="auto"/>
              <w:right w:val="threeDEmboss" w:sz="6" w:space="0" w:color="auto"/>
            </w:tcBorders>
          </w:tcPr>
          <w:p w:rsidR="001124F2" w:rsidRDefault="001124F2">
            <w:pPr>
              <w:pStyle w:val="11"/>
              <w:jc w:val="right"/>
              <w:rPr>
                <w:rFonts w:ascii="Arial" w:hAnsi="Arial"/>
                <w:sz w:val="20"/>
              </w:rPr>
            </w:pPr>
            <w:r>
              <w:rPr>
                <w:rFonts w:ascii="Arial" w:hAnsi="Arial"/>
                <w:sz w:val="20"/>
              </w:rPr>
              <w:t>+110,2</w:t>
            </w:r>
          </w:p>
        </w:tc>
        <w:tc>
          <w:tcPr>
            <w:tcW w:w="714" w:type="dxa"/>
            <w:tcBorders>
              <w:top w:val="threeDEmboss" w:sz="6" w:space="0" w:color="auto"/>
              <w:left w:val="threeDEmboss" w:sz="6" w:space="0" w:color="auto"/>
              <w:bottom w:val="threeDEmboss" w:sz="6" w:space="0" w:color="auto"/>
              <w:right w:val="threeDEmboss" w:sz="6" w:space="0" w:color="auto"/>
            </w:tcBorders>
          </w:tcPr>
          <w:p w:rsidR="001124F2" w:rsidRDefault="001124F2">
            <w:pPr>
              <w:pStyle w:val="11"/>
              <w:jc w:val="right"/>
              <w:rPr>
                <w:rFonts w:ascii="Arial" w:hAnsi="Arial"/>
                <w:sz w:val="20"/>
              </w:rPr>
            </w:pPr>
            <w:r>
              <w:rPr>
                <w:rFonts w:ascii="Arial" w:hAnsi="Arial"/>
                <w:sz w:val="20"/>
              </w:rPr>
              <w:t>+27,58</w:t>
            </w:r>
          </w:p>
        </w:tc>
        <w:tc>
          <w:tcPr>
            <w:tcW w:w="714" w:type="dxa"/>
            <w:tcBorders>
              <w:top w:val="threeDEmboss" w:sz="6" w:space="0" w:color="auto"/>
              <w:left w:val="threeDEmboss" w:sz="6" w:space="0" w:color="auto"/>
              <w:bottom w:val="threeDEmboss" w:sz="6" w:space="0" w:color="auto"/>
              <w:right w:val="threeDEmboss" w:sz="6" w:space="0" w:color="auto"/>
            </w:tcBorders>
          </w:tcPr>
          <w:p w:rsidR="001124F2" w:rsidRDefault="001124F2">
            <w:pPr>
              <w:pStyle w:val="11"/>
              <w:jc w:val="right"/>
              <w:rPr>
                <w:rFonts w:ascii="Arial" w:hAnsi="Arial"/>
                <w:sz w:val="20"/>
              </w:rPr>
            </w:pPr>
            <w:r>
              <w:rPr>
                <w:rFonts w:ascii="Arial" w:hAnsi="Arial"/>
                <w:sz w:val="20"/>
              </w:rPr>
              <w:t>+14,87</w:t>
            </w:r>
          </w:p>
        </w:tc>
        <w:tc>
          <w:tcPr>
            <w:tcW w:w="714" w:type="dxa"/>
            <w:tcBorders>
              <w:top w:val="threeDEmboss" w:sz="6" w:space="0" w:color="auto"/>
              <w:left w:val="threeDEmboss" w:sz="6" w:space="0" w:color="auto"/>
              <w:bottom w:val="threeDEmboss" w:sz="6" w:space="0" w:color="auto"/>
              <w:right w:val="threeDEmboss" w:sz="6" w:space="0" w:color="auto"/>
            </w:tcBorders>
          </w:tcPr>
          <w:p w:rsidR="001124F2" w:rsidRDefault="001124F2">
            <w:pPr>
              <w:pStyle w:val="11"/>
              <w:jc w:val="right"/>
              <w:rPr>
                <w:rFonts w:ascii="Arial" w:hAnsi="Arial"/>
                <w:sz w:val="20"/>
              </w:rPr>
            </w:pPr>
            <w:r>
              <w:rPr>
                <w:rFonts w:ascii="Arial" w:hAnsi="Arial"/>
                <w:sz w:val="20"/>
              </w:rPr>
              <w:t>+1,56</w:t>
            </w:r>
          </w:p>
        </w:tc>
        <w:tc>
          <w:tcPr>
            <w:tcW w:w="714" w:type="dxa"/>
            <w:tcBorders>
              <w:top w:val="threeDEmboss" w:sz="6" w:space="0" w:color="auto"/>
              <w:left w:val="threeDEmboss" w:sz="6" w:space="0" w:color="auto"/>
              <w:bottom w:val="threeDEmboss" w:sz="6" w:space="0" w:color="auto"/>
              <w:right w:val="threeDEmboss" w:sz="6" w:space="0" w:color="auto"/>
            </w:tcBorders>
          </w:tcPr>
          <w:p w:rsidR="001124F2" w:rsidRDefault="001124F2">
            <w:pPr>
              <w:pStyle w:val="11"/>
              <w:jc w:val="right"/>
              <w:rPr>
                <w:rFonts w:ascii="Arial" w:hAnsi="Arial"/>
                <w:sz w:val="20"/>
              </w:rPr>
            </w:pPr>
            <w:r>
              <w:rPr>
                <w:rFonts w:ascii="Arial" w:hAnsi="Arial"/>
                <w:sz w:val="20"/>
              </w:rPr>
              <w:t>+40,89</w:t>
            </w:r>
          </w:p>
        </w:tc>
        <w:tc>
          <w:tcPr>
            <w:tcW w:w="816" w:type="dxa"/>
            <w:tcBorders>
              <w:top w:val="threeDEmboss" w:sz="6" w:space="0" w:color="auto"/>
              <w:left w:val="threeDEmboss" w:sz="6" w:space="0" w:color="auto"/>
              <w:bottom w:val="threeDEmboss" w:sz="6" w:space="0" w:color="auto"/>
              <w:right w:val="threeDEmboss" w:sz="6" w:space="0" w:color="auto"/>
            </w:tcBorders>
          </w:tcPr>
          <w:p w:rsidR="001124F2" w:rsidRDefault="001124F2">
            <w:pPr>
              <w:pStyle w:val="11"/>
              <w:jc w:val="right"/>
              <w:rPr>
                <w:rFonts w:ascii="Arial" w:hAnsi="Arial"/>
                <w:sz w:val="20"/>
              </w:rPr>
            </w:pPr>
            <w:r>
              <w:rPr>
                <w:rFonts w:ascii="Arial" w:hAnsi="Arial"/>
                <w:sz w:val="20"/>
              </w:rPr>
              <w:t>+6,59</w:t>
            </w:r>
          </w:p>
        </w:tc>
      </w:tr>
      <w:tr w:rsidR="001124F2">
        <w:trPr>
          <w:jc w:val="center"/>
        </w:trPr>
        <w:tc>
          <w:tcPr>
            <w:tcW w:w="2686" w:type="dxa"/>
            <w:tcBorders>
              <w:top w:val="threeDEmboss" w:sz="6" w:space="0" w:color="auto"/>
              <w:left w:val="threeDEmboss" w:sz="6" w:space="0" w:color="auto"/>
              <w:bottom w:val="threeDEmboss" w:sz="6" w:space="0" w:color="auto"/>
              <w:right w:val="threeDEmboss" w:sz="6" w:space="0" w:color="auto"/>
            </w:tcBorders>
          </w:tcPr>
          <w:p w:rsidR="001124F2" w:rsidRDefault="001124F2">
            <w:pPr>
              <w:pStyle w:val="11"/>
              <w:jc w:val="both"/>
              <w:rPr>
                <w:rFonts w:ascii="Arial" w:hAnsi="Arial"/>
                <w:sz w:val="20"/>
              </w:rPr>
            </w:pPr>
            <w:r>
              <w:rPr>
                <w:rFonts w:ascii="Arial" w:hAnsi="Arial"/>
                <w:sz w:val="20"/>
              </w:rPr>
              <w:t>Налог на прибыль (доход) предприятий и организаций</w:t>
            </w:r>
          </w:p>
        </w:tc>
        <w:tc>
          <w:tcPr>
            <w:tcW w:w="816" w:type="dxa"/>
            <w:tcBorders>
              <w:top w:val="threeDEmboss" w:sz="6" w:space="0" w:color="auto"/>
              <w:left w:val="threeDEmboss" w:sz="6" w:space="0" w:color="auto"/>
              <w:bottom w:val="threeDEmboss" w:sz="6" w:space="0" w:color="auto"/>
              <w:right w:val="threeDEmboss" w:sz="6" w:space="0" w:color="auto"/>
            </w:tcBorders>
          </w:tcPr>
          <w:p w:rsidR="001124F2" w:rsidRDefault="001124F2">
            <w:pPr>
              <w:pStyle w:val="11"/>
              <w:jc w:val="right"/>
              <w:rPr>
                <w:rFonts w:ascii="Arial" w:hAnsi="Arial"/>
                <w:sz w:val="20"/>
              </w:rPr>
            </w:pPr>
            <w:r>
              <w:rPr>
                <w:rFonts w:ascii="Arial" w:hAnsi="Arial"/>
                <w:sz w:val="20"/>
              </w:rPr>
              <w:t>-40,07</w:t>
            </w:r>
          </w:p>
        </w:tc>
        <w:tc>
          <w:tcPr>
            <w:tcW w:w="714" w:type="dxa"/>
            <w:tcBorders>
              <w:top w:val="threeDEmboss" w:sz="6" w:space="0" w:color="auto"/>
              <w:left w:val="threeDEmboss" w:sz="6" w:space="0" w:color="auto"/>
              <w:bottom w:val="threeDEmboss" w:sz="6" w:space="0" w:color="auto"/>
              <w:right w:val="threeDEmboss" w:sz="6" w:space="0" w:color="auto"/>
            </w:tcBorders>
          </w:tcPr>
          <w:p w:rsidR="001124F2" w:rsidRDefault="001124F2">
            <w:pPr>
              <w:pStyle w:val="11"/>
              <w:jc w:val="right"/>
              <w:rPr>
                <w:rFonts w:ascii="Arial" w:hAnsi="Arial"/>
                <w:sz w:val="20"/>
              </w:rPr>
            </w:pPr>
            <w:r>
              <w:rPr>
                <w:rFonts w:ascii="Arial" w:hAnsi="Arial"/>
                <w:sz w:val="20"/>
              </w:rPr>
              <w:t>-52,38</w:t>
            </w:r>
          </w:p>
        </w:tc>
        <w:tc>
          <w:tcPr>
            <w:tcW w:w="714" w:type="dxa"/>
            <w:tcBorders>
              <w:top w:val="threeDEmboss" w:sz="6" w:space="0" w:color="auto"/>
              <w:left w:val="threeDEmboss" w:sz="6" w:space="0" w:color="auto"/>
              <w:bottom w:val="threeDEmboss" w:sz="6" w:space="0" w:color="auto"/>
              <w:right w:val="threeDEmboss" w:sz="6" w:space="0" w:color="auto"/>
            </w:tcBorders>
          </w:tcPr>
          <w:p w:rsidR="001124F2" w:rsidRDefault="001124F2">
            <w:pPr>
              <w:pStyle w:val="11"/>
              <w:jc w:val="right"/>
              <w:rPr>
                <w:rFonts w:ascii="Arial" w:hAnsi="Arial"/>
                <w:sz w:val="20"/>
              </w:rPr>
            </w:pPr>
            <w:r>
              <w:rPr>
                <w:rFonts w:ascii="Arial" w:hAnsi="Arial"/>
                <w:sz w:val="20"/>
              </w:rPr>
              <w:t>-11,08</w:t>
            </w:r>
          </w:p>
        </w:tc>
        <w:tc>
          <w:tcPr>
            <w:tcW w:w="714" w:type="dxa"/>
            <w:tcBorders>
              <w:top w:val="threeDEmboss" w:sz="6" w:space="0" w:color="auto"/>
              <w:left w:val="threeDEmboss" w:sz="6" w:space="0" w:color="auto"/>
              <w:bottom w:val="threeDEmboss" w:sz="6" w:space="0" w:color="auto"/>
              <w:right w:val="threeDEmboss" w:sz="6" w:space="0" w:color="auto"/>
            </w:tcBorders>
          </w:tcPr>
          <w:p w:rsidR="001124F2" w:rsidRDefault="001124F2">
            <w:pPr>
              <w:pStyle w:val="11"/>
              <w:jc w:val="right"/>
              <w:rPr>
                <w:rFonts w:ascii="Arial" w:hAnsi="Arial"/>
                <w:sz w:val="20"/>
              </w:rPr>
            </w:pPr>
            <w:r>
              <w:rPr>
                <w:rFonts w:ascii="Arial" w:hAnsi="Arial"/>
                <w:sz w:val="20"/>
              </w:rPr>
              <w:t>-23,02</w:t>
            </w:r>
          </w:p>
        </w:tc>
        <w:tc>
          <w:tcPr>
            <w:tcW w:w="714" w:type="dxa"/>
            <w:tcBorders>
              <w:top w:val="threeDEmboss" w:sz="6" w:space="0" w:color="auto"/>
              <w:left w:val="threeDEmboss" w:sz="6" w:space="0" w:color="auto"/>
              <w:bottom w:val="threeDEmboss" w:sz="6" w:space="0" w:color="auto"/>
              <w:right w:val="threeDEmboss" w:sz="6" w:space="0" w:color="auto"/>
            </w:tcBorders>
          </w:tcPr>
          <w:p w:rsidR="001124F2" w:rsidRDefault="001124F2">
            <w:pPr>
              <w:pStyle w:val="11"/>
              <w:jc w:val="right"/>
              <w:rPr>
                <w:rFonts w:ascii="Arial" w:hAnsi="Arial"/>
                <w:sz w:val="20"/>
              </w:rPr>
            </w:pPr>
            <w:r>
              <w:rPr>
                <w:rFonts w:ascii="Arial" w:hAnsi="Arial"/>
                <w:sz w:val="20"/>
              </w:rPr>
              <w:t>+45,11</w:t>
            </w:r>
          </w:p>
        </w:tc>
        <w:tc>
          <w:tcPr>
            <w:tcW w:w="714" w:type="dxa"/>
            <w:tcBorders>
              <w:top w:val="threeDEmboss" w:sz="6" w:space="0" w:color="auto"/>
              <w:left w:val="threeDEmboss" w:sz="6" w:space="0" w:color="auto"/>
              <w:bottom w:val="threeDEmboss" w:sz="6" w:space="0" w:color="auto"/>
              <w:right w:val="threeDEmboss" w:sz="6" w:space="0" w:color="auto"/>
            </w:tcBorders>
          </w:tcPr>
          <w:p w:rsidR="001124F2" w:rsidRDefault="001124F2">
            <w:pPr>
              <w:pStyle w:val="11"/>
              <w:jc w:val="right"/>
              <w:rPr>
                <w:rFonts w:ascii="Arial" w:hAnsi="Arial"/>
                <w:sz w:val="20"/>
              </w:rPr>
            </w:pPr>
            <w:r>
              <w:rPr>
                <w:rFonts w:ascii="Arial" w:hAnsi="Arial"/>
                <w:sz w:val="20"/>
              </w:rPr>
              <w:t>+125,2</w:t>
            </w:r>
          </w:p>
        </w:tc>
        <w:tc>
          <w:tcPr>
            <w:tcW w:w="714" w:type="dxa"/>
            <w:tcBorders>
              <w:top w:val="threeDEmboss" w:sz="6" w:space="0" w:color="auto"/>
              <w:left w:val="threeDEmboss" w:sz="6" w:space="0" w:color="auto"/>
              <w:bottom w:val="threeDEmboss" w:sz="6" w:space="0" w:color="auto"/>
              <w:right w:val="threeDEmboss" w:sz="6" w:space="0" w:color="auto"/>
            </w:tcBorders>
          </w:tcPr>
          <w:p w:rsidR="001124F2" w:rsidRDefault="001124F2">
            <w:pPr>
              <w:pStyle w:val="11"/>
              <w:jc w:val="right"/>
              <w:rPr>
                <w:rFonts w:ascii="Arial" w:hAnsi="Arial"/>
                <w:sz w:val="20"/>
              </w:rPr>
            </w:pPr>
            <w:r>
              <w:rPr>
                <w:rFonts w:ascii="Arial" w:hAnsi="Arial"/>
                <w:sz w:val="20"/>
              </w:rPr>
              <w:t>+6,94</w:t>
            </w:r>
          </w:p>
        </w:tc>
        <w:tc>
          <w:tcPr>
            <w:tcW w:w="714" w:type="dxa"/>
            <w:tcBorders>
              <w:top w:val="threeDEmboss" w:sz="6" w:space="0" w:color="auto"/>
              <w:left w:val="threeDEmboss" w:sz="6" w:space="0" w:color="auto"/>
              <w:bottom w:val="threeDEmboss" w:sz="6" w:space="0" w:color="auto"/>
              <w:right w:val="threeDEmboss" w:sz="6" w:space="0" w:color="auto"/>
            </w:tcBorders>
          </w:tcPr>
          <w:p w:rsidR="001124F2" w:rsidRDefault="001124F2">
            <w:pPr>
              <w:pStyle w:val="11"/>
              <w:jc w:val="right"/>
              <w:rPr>
                <w:rFonts w:ascii="Arial" w:hAnsi="Arial"/>
                <w:sz w:val="20"/>
              </w:rPr>
            </w:pPr>
            <w:r>
              <w:rPr>
                <w:rFonts w:ascii="Arial" w:hAnsi="Arial"/>
                <w:sz w:val="20"/>
              </w:rPr>
              <w:t>+4,06</w:t>
            </w:r>
          </w:p>
        </w:tc>
        <w:tc>
          <w:tcPr>
            <w:tcW w:w="714" w:type="dxa"/>
            <w:tcBorders>
              <w:top w:val="threeDEmboss" w:sz="6" w:space="0" w:color="auto"/>
              <w:left w:val="threeDEmboss" w:sz="6" w:space="0" w:color="auto"/>
              <w:bottom w:val="threeDEmboss" w:sz="6" w:space="0" w:color="auto"/>
              <w:right w:val="threeDEmboss" w:sz="6" w:space="0" w:color="auto"/>
            </w:tcBorders>
          </w:tcPr>
          <w:p w:rsidR="001124F2" w:rsidRDefault="001124F2">
            <w:pPr>
              <w:pStyle w:val="11"/>
              <w:jc w:val="right"/>
              <w:rPr>
                <w:rFonts w:ascii="Arial" w:hAnsi="Arial"/>
                <w:sz w:val="20"/>
              </w:rPr>
            </w:pPr>
            <w:r>
              <w:rPr>
                <w:rFonts w:ascii="Arial" w:hAnsi="Arial"/>
                <w:sz w:val="20"/>
              </w:rPr>
              <w:t>+5,44</w:t>
            </w:r>
          </w:p>
        </w:tc>
        <w:tc>
          <w:tcPr>
            <w:tcW w:w="816" w:type="dxa"/>
            <w:tcBorders>
              <w:top w:val="threeDEmboss" w:sz="6" w:space="0" w:color="auto"/>
              <w:left w:val="threeDEmboss" w:sz="6" w:space="0" w:color="auto"/>
              <w:bottom w:val="threeDEmboss" w:sz="6" w:space="0" w:color="auto"/>
              <w:right w:val="threeDEmboss" w:sz="6" w:space="0" w:color="auto"/>
            </w:tcBorders>
          </w:tcPr>
          <w:p w:rsidR="001124F2" w:rsidRDefault="001124F2">
            <w:pPr>
              <w:pStyle w:val="11"/>
              <w:jc w:val="right"/>
              <w:rPr>
                <w:rFonts w:ascii="Arial" w:hAnsi="Arial"/>
                <w:sz w:val="20"/>
              </w:rPr>
            </w:pPr>
            <w:r>
              <w:rPr>
                <w:rFonts w:ascii="Arial" w:hAnsi="Arial"/>
                <w:sz w:val="20"/>
              </w:rPr>
              <w:t>+5,59</w:t>
            </w:r>
          </w:p>
        </w:tc>
      </w:tr>
      <w:tr w:rsidR="001124F2">
        <w:trPr>
          <w:jc w:val="center"/>
        </w:trPr>
        <w:tc>
          <w:tcPr>
            <w:tcW w:w="2686" w:type="dxa"/>
            <w:tcBorders>
              <w:top w:val="threeDEmboss" w:sz="6" w:space="0" w:color="auto"/>
              <w:left w:val="threeDEmboss" w:sz="6" w:space="0" w:color="auto"/>
              <w:bottom w:val="threeDEmboss" w:sz="6" w:space="0" w:color="auto"/>
              <w:right w:val="threeDEmboss" w:sz="6" w:space="0" w:color="auto"/>
            </w:tcBorders>
          </w:tcPr>
          <w:p w:rsidR="001124F2" w:rsidRDefault="001124F2">
            <w:pPr>
              <w:pStyle w:val="11"/>
              <w:jc w:val="both"/>
              <w:rPr>
                <w:rFonts w:ascii="Arial" w:hAnsi="Arial"/>
                <w:sz w:val="20"/>
              </w:rPr>
            </w:pPr>
            <w:r>
              <w:rPr>
                <w:rFonts w:ascii="Arial" w:hAnsi="Arial"/>
                <w:sz w:val="20"/>
              </w:rPr>
              <w:t>Налог на добавленную стоимость</w:t>
            </w:r>
          </w:p>
        </w:tc>
        <w:tc>
          <w:tcPr>
            <w:tcW w:w="816" w:type="dxa"/>
            <w:tcBorders>
              <w:top w:val="threeDEmboss" w:sz="6" w:space="0" w:color="auto"/>
              <w:left w:val="threeDEmboss" w:sz="6" w:space="0" w:color="auto"/>
              <w:bottom w:val="threeDEmboss" w:sz="6" w:space="0" w:color="auto"/>
              <w:right w:val="threeDEmboss" w:sz="6" w:space="0" w:color="auto"/>
            </w:tcBorders>
          </w:tcPr>
          <w:p w:rsidR="001124F2" w:rsidRDefault="001124F2">
            <w:pPr>
              <w:pStyle w:val="11"/>
              <w:jc w:val="right"/>
              <w:rPr>
                <w:rFonts w:ascii="Arial" w:hAnsi="Arial"/>
                <w:sz w:val="20"/>
              </w:rPr>
            </w:pPr>
            <w:r>
              <w:rPr>
                <w:rFonts w:ascii="Arial" w:hAnsi="Arial"/>
                <w:sz w:val="20"/>
              </w:rPr>
              <w:t>-45,25</w:t>
            </w:r>
          </w:p>
        </w:tc>
        <w:tc>
          <w:tcPr>
            <w:tcW w:w="714" w:type="dxa"/>
            <w:tcBorders>
              <w:top w:val="threeDEmboss" w:sz="6" w:space="0" w:color="auto"/>
              <w:left w:val="threeDEmboss" w:sz="6" w:space="0" w:color="auto"/>
              <w:bottom w:val="threeDEmboss" w:sz="6" w:space="0" w:color="auto"/>
              <w:right w:val="threeDEmboss" w:sz="6" w:space="0" w:color="auto"/>
            </w:tcBorders>
          </w:tcPr>
          <w:p w:rsidR="001124F2" w:rsidRDefault="001124F2">
            <w:pPr>
              <w:pStyle w:val="11"/>
              <w:jc w:val="right"/>
              <w:rPr>
                <w:rFonts w:ascii="Arial" w:hAnsi="Arial"/>
                <w:sz w:val="20"/>
              </w:rPr>
            </w:pPr>
            <w:r>
              <w:rPr>
                <w:rFonts w:ascii="Arial" w:hAnsi="Arial"/>
                <w:sz w:val="20"/>
              </w:rPr>
              <w:t>-26,01</w:t>
            </w:r>
          </w:p>
        </w:tc>
        <w:tc>
          <w:tcPr>
            <w:tcW w:w="714" w:type="dxa"/>
            <w:tcBorders>
              <w:top w:val="threeDEmboss" w:sz="6" w:space="0" w:color="auto"/>
              <w:left w:val="threeDEmboss" w:sz="6" w:space="0" w:color="auto"/>
              <w:bottom w:val="threeDEmboss" w:sz="6" w:space="0" w:color="auto"/>
              <w:right w:val="threeDEmboss" w:sz="6" w:space="0" w:color="auto"/>
            </w:tcBorders>
          </w:tcPr>
          <w:p w:rsidR="001124F2" w:rsidRDefault="001124F2">
            <w:pPr>
              <w:pStyle w:val="11"/>
              <w:jc w:val="right"/>
              <w:rPr>
                <w:rFonts w:ascii="Arial" w:hAnsi="Arial"/>
                <w:sz w:val="20"/>
              </w:rPr>
            </w:pPr>
            <w:r>
              <w:rPr>
                <w:rFonts w:ascii="Arial" w:hAnsi="Arial"/>
                <w:sz w:val="20"/>
              </w:rPr>
              <w:t>-23,90</w:t>
            </w:r>
          </w:p>
        </w:tc>
        <w:tc>
          <w:tcPr>
            <w:tcW w:w="714" w:type="dxa"/>
            <w:tcBorders>
              <w:top w:val="threeDEmboss" w:sz="6" w:space="0" w:color="auto"/>
              <w:left w:val="threeDEmboss" w:sz="6" w:space="0" w:color="auto"/>
              <w:bottom w:val="threeDEmboss" w:sz="6" w:space="0" w:color="auto"/>
              <w:right w:val="threeDEmboss" w:sz="6" w:space="0" w:color="auto"/>
            </w:tcBorders>
          </w:tcPr>
          <w:p w:rsidR="001124F2" w:rsidRDefault="001124F2">
            <w:pPr>
              <w:pStyle w:val="11"/>
              <w:jc w:val="right"/>
              <w:rPr>
                <w:rFonts w:ascii="Arial" w:hAnsi="Arial"/>
                <w:sz w:val="20"/>
              </w:rPr>
            </w:pPr>
            <w:r>
              <w:rPr>
                <w:rFonts w:ascii="Arial" w:hAnsi="Arial"/>
                <w:sz w:val="20"/>
              </w:rPr>
              <w:t>-16,92</w:t>
            </w:r>
          </w:p>
        </w:tc>
        <w:tc>
          <w:tcPr>
            <w:tcW w:w="714" w:type="dxa"/>
            <w:tcBorders>
              <w:top w:val="threeDEmboss" w:sz="6" w:space="0" w:color="auto"/>
              <w:left w:val="threeDEmboss" w:sz="6" w:space="0" w:color="auto"/>
              <w:bottom w:val="threeDEmboss" w:sz="6" w:space="0" w:color="auto"/>
              <w:right w:val="threeDEmboss" w:sz="6" w:space="0" w:color="auto"/>
            </w:tcBorders>
          </w:tcPr>
          <w:p w:rsidR="001124F2" w:rsidRDefault="001124F2">
            <w:pPr>
              <w:pStyle w:val="11"/>
              <w:jc w:val="right"/>
              <w:rPr>
                <w:rFonts w:ascii="Arial" w:hAnsi="Arial"/>
                <w:sz w:val="20"/>
              </w:rPr>
            </w:pPr>
            <w:r>
              <w:rPr>
                <w:rFonts w:ascii="Arial" w:hAnsi="Arial"/>
                <w:sz w:val="20"/>
              </w:rPr>
              <w:t>+77,34</w:t>
            </w:r>
          </w:p>
        </w:tc>
        <w:tc>
          <w:tcPr>
            <w:tcW w:w="714" w:type="dxa"/>
            <w:tcBorders>
              <w:top w:val="threeDEmboss" w:sz="6" w:space="0" w:color="auto"/>
              <w:left w:val="threeDEmboss" w:sz="6" w:space="0" w:color="auto"/>
              <w:bottom w:val="threeDEmboss" w:sz="6" w:space="0" w:color="auto"/>
              <w:right w:val="threeDEmboss" w:sz="6" w:space="0" w:color="auto"/>
            </w:tcBorders>
          </w:tcPr>
          <w:p w:rsidR="001124F2" w:rsidRDefault="001124F2">
            <w:pPr>
              <w:pStyle w:val="11"/>
              <w:jc w:val="right"/>
              <w:rPr>
                <w:rFonts w:ascii="Arial" w:hAnsi="Arial"/>
                <w:sz w:val="20"/>
              </w:rPr>
            </w:pPr>
            <w:r>
              <w:rPr>
                <w:rFonts w:ascii="Arial" w:hAnsi="Arial"/>
                <w:sz w:val="20"/>
              </w:rPr>
              <w:t>+53,81</w:t>
            </w:r>
          </w:p>
        </w:tc>
        <w:tc>
          <w:tcPr>
            <w:tcW w:w="714" w:type="dxa"/>
            <w:tcBorders>
              <w:top w:val="threeDEmboss" w:sz="6" w:space="0" w:color="auto"/>
              <w:left w:val="threeDEmboss" w:sz="6" w:space="0" w:color="auto"/>
              <w:bottom w:val="threeDEmboss" w:sz="6" w:space="0" w:color="auto"/>
              <w:right w:val="threeDEmboss" w:sz="6" w:space="0" w:color="auto"/>
            </w:tcBorders>
          </w:tcPr>
          <w:p w:rsidR="001124F2" w:rsidRDefault="001124F2">
            <w:pPr>
              <w:pStyle w:val="11"/>
              <w:jc w:val="right"/>
              <w:rPr>
                <w:rFonts w:ascii="Arial" w:hAnsi="Arial"/>
                <w:sz w:val="20"/>
              </w:rPr>
            </w:pPr>
            <w:r>
              <w:rPr>
                <w:rFonts w:ascii="Arial" w:hAnsi="Arial"/>
                <w:sz w:val="20"/>
              </w:rPr>
              <w:t>+4,76</w:t>
            </w:r>
          </w:p>
        </w:tc>
        <w:tc>
          <w:tcPr>
            <w:tcW w:w="714" w:type="dxa"/>
            <w:tcBorders>
              <w:top w:val="threeDEmboss" w:sz="6" w:space="0" w:color="auto"/>
              <w:left w:val="threeDEmboss" w:sz="6" w:space="0" w:color="auto"/>
              <w:bottom w:val="threeDEmboss" w:sz="6" w:space="0" w:color="auto"/>
              <w:right w:val="threeDEmboss" w:sz="6" w:space="0" w:color="auto"/>
            </w:tcBorders>
          </w:tcPr>
          <w:p w:rsidR="001124F2" w:rsidRDefault="001124F2">
            <w:pPr>
              <w:pStyle w:val="11"/>
              <w:jc w:val="right"/>
              <w:rPr>
                <w:rFonts w:ascii="Arial" w:hAnsi="Arial"/>
                <w:sz w:val="20"/>
              </w:rPr>
            </w:pPr>
            <w:r>
              <w:rPr>
                <w:rFonts w:ascii="Arial" w:hAnsi="Arial"/>
                <w:sz w:val="20"/>
              </w:rPr>
              <w:t>+1,3</w:t>
            </w:r>
          </w:p>
        </w:tc>
        <w:tc>
          <w:tcPr>
            <w:tcW w:w="714" w:type="dxa"/>
            <w:tcBorders>
              <w:top w:val="threeDEmboss" w:sz="6" w:space="0" w:color="auto"/>
              <w:left w:val="threeDEmboss" w:sz="6" w:space="0" w:color="auto"/>
              <w:bottom w:val="threeDEmboss" w:sz="6" w:space="0" w:color="auto"/>
              <w:right w:val="threeDEmboss" w:sz="6" w:space="0" w:color="auto"/>
            </w:tcBorders>
          </w:tcPr>
          <w:p w:rsidR="001124F2" w:rsidRDefault="001124F2">
            <w:pPr>
              <w:pStyle w:val="11"/>
              <w:jc w:val="right"/>
              <w:rPr>
                <w:rFonts w:ascii="Arial" w:hAnsi="Arial"/>
                <w:sz w:val="20"/>
              </w:rPr>
            </w:pPr>
            <w:r>
              <w:rPr>
                <w:rFonts w:ascii="Arial" w:hAnsi="Arial"/>
                <w:sz w:val="20"/>
              </w:rPr>
              <w:t>+16,05</w:t>
            </w:r>
          </w:p>
        </w:tc>
        <w:tc>
          <w:tcPr>
            <w:tcW w:w="816" w:type="dxa"/>
            <w:tcBorders>
              <w:top w:val="threeDEmboss" w:sz="6" w:space="0" w:color="auto"/>
              <w:left w:val="threeDEmboss" w:sz="6" w:space="0" w:color="auto"/>
              <w:bottom w:val="threeDEmboss" w:sz="6" w:space="0" w:color="auto"/>
              <w:right w:val="threeDEmboss" w:sz="6" w:space="0" w:color="auto"/>
            </w:tcBorders>
          </w:tcPr>
          <w:p w:rsidR="001124F2" w:rsidRDefault="001124F2">
            <w:pPr>
              <w:pStyle w:val="11"/>
              <w:jc w:val="right"/>
              <w:rPr>
                <w:rFonts w:ascii="Arial" w:hAnsi="Arial"/>
                <w:sz w:val="20"/>
              </w:rPr>
            </w:pPr>
            <w:r>
              <w:rPr>
                <w:rFonts w:ascii="Arial" w:hAnsi="Arial"/>
                <w:sz w:val="20"/>
              </w:rPr>
              <w:t>+6,35</w:t>
            </w:r>
          </w:p>
        </w:tc>
      </w:tr>
      <w:tr w:rsidR="001124F2">
        <w:trPr>
          <w:jc w:val="center"/>
        </w:trPr>
        <w:tc>
          <w:tcPr>
            <w:tcW w:w="2686" w:type="dxa"/>
            <w:tcBorders>
              <w:top w:val="threeDEmboss" w:sz="6" w:space="0" w:color="auto"/>
              <w:left w:val="threeDEmboss" w:sz="6" w:space="0" w:color="auto"/>
              <w:bottom w:val="threeDEmboss" w:sz="6" w:space="0" w:color="auto"/>
              <w:right w:val="threeDEmboss" w:sz="6" w:space="0" w:color="auto"/>
            </w:tcBorders>
          </w:tcPr>
          <w:p w:rsidR="001124F2" w:rsidRDefault="001124F2">
            <w:pPr>
              <w:pStyle w:val="11"/>
              <w:jc w:val="both"/>
              <w:rPr>
                <w:rFonts w:ascii="Arial" w:hAnsi="Arial"/>
                <w:sz w:val="20"/>
              </w:rPr>
            </w:pPr>
            <w:r>
              <w:rPr>
                <w:rFonts w:ascii="Arial" w:hAnsi="Arial"/>
                <w:sz w:val="20"/>
              </w:rPr>
              <w:t>Акцизы</w:t>
            </w:r>
          </w:p>
        </w:tc>
        <w:tc>
          <w:tcPr>
            <w:tcW w:w="816" w:type="dxa"/>
            <w:tcBorders>
              <w:top w:val="threeDEmboss" w:sz="6" w:space="0" w:color="auto"/>
              <w:left w:val="threeDEmboss" w:sz="6" w:space="0" w:color="auto"/>
              <w:bottom w:val="threeDEmboss" w:sz="6" w:space="0" w:color="auto"/>
              <w:right w:val="threeDEmboss" w:sz="6" w:space="0" w:color="auto"/>
            </w:tcBorders>
          </w:tcPr>
          <w:p w:rsidR="001124F2" w:rsidRDefault="001124F2">
            <w:pPr>
              <w:pStyle w:val="11"/>
              <w:jc w:val="right"/>
              <w:rPr>
                <w:rFonts w:ascii="Arial" w:hAnsi="Arial"/>
                <w:sz w:val="20"/>
              </w:rPr>
            </w:pPr>
            <w:r>
              <w:rPr>
                <w:rFonts w:ascii="Arial" w:hAnsi="Arial"/>
                <w:sz w:val="20"/>
              </w:rPr>
              <w:t>-20,33</w:t>
            </w:r>
          </w:p>
        </w:tc>
        <w:tc>
          <w:tcPr>
            <w:tcW w:w="714" w:type="dxa"/>
            <w:tcBorders>
              <w:top w:val="threeDEmboss" w:sz="6" w:space="0" w:color="auto"/>
              <w:left w:val="threeDEmboss" w:sz="6" w:space="0" w:color="auto"/>
              <w:bottom w:val="threeDEmboss" w:sz="6" w:space="0" w:color="auto"/>
              <w:right w:val="threeDEmboss" w:sz="6" w:space="0" w:color="auto"/>
            </w:tcBorders>
          </w:tcPr>
          <w:p w:rsidR="001124F2" w:rsidRDefault="001124F2">
            <w:pPr>
              <w:pStyle w:val="11"/>
              <w:jc w:val="right"/>
              <w:rPr>
                <w:rFonts w:ascii="Arial" w:hAnsi="Arial"/>
                <w:sz w:val="20"/>
              </w:rPr>
            </w:pPr>
            <w:r>
              <w:rPr>
                <w:rFonts w:ascii="Arial" w:hAnsi="Arial"/>
                <w:sz w:val="20"/>
              </w:rPr>
              <w:t>-26,8</w:t>
            </w:r>
          </w:p>
        </w:tc>
        <w:tc>
          <w:tcPr>
            <w:tcW w:w="714" w:type="dxa"/>
            <w:tcBorders>
              <w:top w:val="threeDEmboss" w:sz="6" w:space="0" w:color="auto"/>
              <w:left w:val="threeDEmboss" w:sz="6" w:space="0" w:color="auto"/>
              <w:bottom w:val="threeDEmboss" w:sz="6" w:space="0" w:color="auto"/>
              <w:right w:val="threeDEmboss" w:sz="6" w:space="0" w:color="auto"/>
            </w:tcBorders>
          </w:tcPr>
          <w:p w:rsidR="001124F2" w:rsidRDefault="001124F2">
            <w:pPr>
              <w:pStyle w:val="11"/>
              <w:jc w:val="right"/>
              <w:rPr>
                <w:rFonts w:ascii="Arial" w:hAnsi="Arial"/>
                <w:sz w:val="20"/>
              </w:rPr>
            </w:pPr>
            <w:r>
              <w:rPr>
                <w:rFonts w:ascii="Arial" w:hAnsi="Arial"/>
                <w:sz w:val="20"/>
              </w:rPr>
              <w:t>-22,07</w:t>
            </w:r>
          </w:p>
        </w:tc>
        <w:tc>
          <w:tcPr>
            <w:tcW w:w="714" w:type="dxa"/>
            <w:tcBorders>
              <w:top w:val="threeDEmboss" w:sz="6" w:space="0" w:color="auto"/>
              <w:left w:val="threeDEmboss" w:sz="6" w:space="0" w:color="auto"/>
              <w:bottom w:val="threeDEmboss" w:sz="6" w:space="0" w:color="auto"/>
              <w:right w:val="threeDEmboss" w:sz="6" w:space="0" w:color="auto"/>
            </w:tcBorders>
          </w:tcPr>
          <w:p w:rsidR="001124F2" w:rsidRDefault="001124F2">
            <w:pPr>
              <w:pStyle w:val="11"/>
              <w:jc w:val="right"/>
              <w:rPr>
                <w:rFonts w:ascii="Arial" w:hAnsi="Arial"/>
                <w:sz w:val="20"/>
              </w:rPr>
            </w:pPr>
            <w:r>
              <w:rPr>
                <w:rFonts w:ascii="Arial" w:hAnsi="Arial"/>
                <w:sz w:val="20"/>
              </w:rPr>
              <w:t>-28,04</w:t>
            </w:r>
          </w:p>
        </w:tc>
        <w:tc>
          <w:tcPr>
            <w:tcW w:w="714" w:type="dxa"/>
            <w:tcBorders>
              <w:top w:val="threeDEmboss" w:sz="6" w:space="0" w:color="auto"/>
              <w:left w:val="threeDEmboss" w:sz="6" w:space="0" w:color="auto"/>
              <w:bottom w:val="threeDEmboss" w:sz="6" w:space="0" w:color="auto"/>
              <w:right w:val="threeDEmboss" w:sz="6" w:space="0" w:color="auto"/>
            </w:tcBorders>
          </w:tcPr>
          <w:p w:rsidR="001124F2" w:rsidRDefault="001124F2">
            <w:pPr>
              <w:pStyle w:val="11"/>
              <w:jc w:val="right"/>
              <w:rPr>
                <w:rFonts w:ascii="Arial" w:hAnsi="Arial"/>
                <w:sz w:val="20"/>
              </w:rPr>
            </w:pPr>
            <w:r>
              <w:rPr>
                <w:rFonts w:ascii="Arial" w:hAnsi="Arial"/>
                <w:sz w:val="20"/>
              </w:rPr>
              <w:t>-2,91</w:t>
            </w:r>
          </w:p>
        </w:tc>
        <w:tc>
          <w:tcPr>
            <w:tcW w:w="714" w:type="dxa"/>
            <w:tcBorders>
              <w:top w:val="threeDEmboss" w:sz="6" w:space="0" w:color="auto"/>
              <w:left w:val="threeDEmboss" w:sz="6" w:space="0" w:color="auto"/>
              <w:bottom w:val="threeDEmboss" w:sz="6" w:space="0" w:color="auto"/>
              <w:right w:val="threeDEmboss" w:sz="6" w:space="0" w:color="auto"/>
            </w:tcBorders>
          </w:tcPr>
          <w:p w:rsidR="001124F2" w:rsidRDefault="001124F2">
            <w:pPr>
              <w:pStyle w:val="11"/>
              <w:jc w:val="right"/>
              <w:rPr>
                <w:rFonts w:ascii="Arial" w:hAnsi="Arial"/>
                <w:sz w:val="20"/>
              </w:rPr>
            </w:pPr>
            <w:r>
              <w:rPr>
                <w:rFonts w:ascii="Arial" w:hAnsi="Arial"/>
                <w:sz w:val="20"/>
              </w:rPr>
              <w:t>-3,34</w:t>
            </w:r>
          </w:p>
        </w:tc>
        <w:tc>
          <w:tcPr>
            <w:tcW w:w="714" w:type="dxa"/>
            <w:tcBorders>
              <w:top w:val="threeDEmboss" w:sz="6" w:space="0" w:color="auto"/>
              <w:left w:val="threeDEmboss" w:sz="6" w:space="0" w:color="auto"/>
              <w:bottom w:val="threeDEmboss" w:sz="6" w:space="0" w:color="auto"/>
              <w:right w:val="threeDEmboss" w:sz="6" w:space="0" w:color="auto"/>
            </w:tcBorders>
          </w:tcPr>
          <w:p w:rsidR="001124F2" w:rsidRDefault="001124F2">
            <w:pPr>
              <w:pStyle w:val="11"/>
              <w:jc w:val="right"/>
              <w:rPr>
                <w:rFonts w:ascii="Arial" w:hAnsi="Arial"/>
                <w:sz w:val="20"/>
              </w:rPr>
            </w:pPr>
            <w:r>
              <w:rPr>
                <w:rFonts w:ascii="Arial" w:hAnsi="Arial"/>
                <w:sz w:val="20"/>
              </w:rPr>
              <w:t>-0,3</w:t>
            </w:r>
          </w:p>
        </w:tc>
        <w:tc>
          <w:tcPr>
            <w:tcW w:w="714" w:type="dxa"/>
            <w:tcBorders>
              <w:top w:val="threeDEmboss" w:sz="6" w:space="0" w:color="auto"/>
              <w:left w:val="threeDEmboss" w:sz="6" w:space="0" w:color="auto"/>
              <w:bottom w:val="threeDEmboss" w:sz="6" w:space="0" w:color="auto"/>
              <w:right w:val="threeDEmboss" w:sz="6" w:space="0" w:color="auto"/>
            </w:tcBorders>
          </w:tcPr>
          <w:p w:rsidR="001124F2" w:rsidRDefault="001124F2">
            <w:pPr>
              <w:pStyle w:val="11"/>
              <w:jc w:val="right"/>
              <w:rPr>
                <w:rFonts w:ascii="Arial" w:hAnsi="Arial"/>
                <w:sz w:val="20"/>
              </w:rPr>
            </w:pPr>
            <w:r>
              <w:rPr>
                <w:rFonts w:ascii="Arial" w:hAnsi="Arial"/>
                <w:sz w:val="20"/>
              </w:rPr>
              <w:t>-0,2</w:t>
            </w:r>
          </w:p>
        </w:tc>
        <w:tc>
          <w:tcPr>
            <w:tcW w:w="714" w:type="dxa"/>
            <w:tcBorders>
              <w:top w:val="threeDEmboss" w:sz="6" w:space="0" w:color="auto"/>
              <w:left w:val="threeDEmboss" w:sz="6" w:space="0" w:color="auto"/>
              <w:bottom w:val="threeDEmboss" w:sz="6" w:space="0" w:color="auto"/>
              <w:right w:val="threeDEmboss" w:sz="6" w:space="0" w:color="auto"/>
            </w:tcBorders>
          </w:tcPr>
          <w:p w:rsidR="001124F2" w:rsidRDefault="001124F2">
            <w:pPr>
              <w:pStyle w:val="11"/>
              <w:jc w:val="right"/>
              <w:rPr>
                <w:rFonts w:ascii="Arial" w:hAnsi="Arial"/>
                <w:sz w:val="20"/>
              </w:rPr>
            </w:pPr>
            <w:r>
              <w:rPr>
                <w:rFonts w:ascii="Arial" w:hAnsi="Arial"/>
                <w:sz w:val="20"/>
              </w:rPr>
              <w:t>-6,09</w:t>
            </w:r>
          </w:p>
        </w:tc>
        <w:tc>
          <w:tcPr>
            <w:tcW w:w="816" w:type="dxa"/>
            <w:tcBorders>
              <w:top w:val="threeDEmboss" w:sz="6" w:space="0" w:color="auto"/>
              <w:left w:val="threeDEmboss" w:sz="6" w:space="0" w:color="auto"/>
              <w:bottom w:val="threeDEmboss" w:sz="6" w:space="0" w:color="auto"/>
              <w:right w:val="threeDEmboss" w:sz="6" w:space="0" w:color="auto"/>
            </w:tcBorders>
          </w:tcPr>
          <w:p w:rsidR="001124F2" w:rsidRDefault="001124F2">
            <w:pPr>
              <w:pStyle w:val="11"/>
              <w:jc w:val="right"/>
              <w:rPr>
                <w:rFonts w:ascii="Arial" w:hAnsi="Arial"/>
                <w:sz w:val="20"/>
              </w:rPr>
            </w:pPr>
            <w:r>
              <w:rPr>
                <w:rFonts w:ascii="Arial" w:hAnsi="Arial"/>
                <w:sz w:val="20"/>
              </w:rPr>
              <w:t>-5,72</w:t>
            </w:r>
          </w:p>
        </w:tc>
      </w:tr>
      <w:tr w:rsidR="001124F2">
        <w:trPr>
          <w:jc w:val="center"/>
        </w:trPr>
        <w:tc>
          <w:tcPr>
            <w:tcW w:w="2686" w:type="dxa"/>
            <w:tcBorders>
              <w:top w:val="threeDEmboss" w:sz="6" w:space="0" w:color="auto"/>
              <w:left w:val="threeDEmboss" w:sz="6" w:space="0" w:color="auto"/>
              <w:bottom w:val="threeDEmboss" w:sz="6" w:space="0" w:color="auto"/>
              <w:right w:val="threeDEmboss" w:sz="6" w:space="0" w:color="auto"/>
            </w:tcBorders>
          </w:tcPr>
          <w:p w:rsidR="001124F2" w:rsidRDefault="001124F2">
            <w:pPr>
              <w:pStyle w:val="11"/>
              <w:jc w:val="both"/>
              <w:rPr>
                <w:rFonts w:ascii="Arial" w:hAnsi="Arial"/>
                <w:sz w:val="20"/>
              </w:rPr>
            </w:pPr>
            <w:r>
              <w:rPr>
                <w:rFonts w:ascii="Arial" w:hAnsi="Arial"/>
                <w:sz w:val="20"/>
              </w:rPr>
              <w:t>Таможенные пошлины</w:t>
            </w:r>
          </w:p>
        </w:tc>
        <w:tc>
          <w:tcPr>
            <w:tcW w:w="816" w:type="dxa"/>
            <w:tcBorders>
              <w:top w:val="threeDEmboss" w:sz="6" w:space="0" w:color="auto"/>
              <w:left w:val="threeDEmboss" w:sz="6" w:space="0" w:color="auto"/>
              <w:bottom w:val="threeDEmboss" w:sz="6" w:space="0" w:color="auto"/>
              <w:right w:val="threeDEmboss" w:sz="6" w:space="0" w:color="auto"/>
            </w:tcBorders>
          </w:tcPr>
          <w:p w:rsidR="001124F2" w:rsidRDefault="001124F2">
            <w:pPr>
              <w:pStyle w:val="11"/>
              <w:jc w:val="right"/>
              <w:rPr>
                <w:rFonts w:ascii="Arial" w:hAnsi="Arial"/>
                <w:sz w:val="20"/>
              </w:rPr>
            </w:pPr>
            <w:r>
              <w:rPr>
                <w:rFonts w:ascii="Arial" w:hAnsi="Arial"/>
                <w:sz w:val="20"/>
              </w:rPr>
              <w:t>+6,84</w:t>
            </w:r>
          </w:p>
        </w:tc>
        <w:tc>
          <w:tcPr>
            <w:tcW w:w="714" w:type="dxa"/>
            <w:tcBorders>
              <w:top w:val="threeDEmboss" w:sz="6" w:space="0" w:color="auto"/>
              <w:left w:val="threeDEmboss" w:sz="6" w:space="0" w:color="auto"/>
              <w:bottom w:val="threeDEmboss" w:sz="6" w:space="0" w:color="auto"/>
              <w:right w:val="threeDEmboss" w:sz="6" w:space="0" w:color="auto"/>
            </w:tcBorders>
          </w:tcPr>
          <w:p w:rsidR="001124F2" w:rsidRDefault="001124F2">
            <w:pPr>
              <w:pStyle w:val="11"/>
              <w:jc w:val="right"/>
              <w:rPr>
                <w:rFonts w:ascii="Arial" w:hAnsi="Arial"/>
                <w:sz w:val="20"/>
              </w:rPr>
            </w:pPr>
            <w:r>
              <w:rPr>
                <w:rFonts w:ascii="Arial" w:hAnsi="Arial"/>
                <w:sz w:val="20"/>
              </w:rPr>
              <w:t>+23,82</w:t>
            </w:r>
          </w:p>
        </w:tc>
        <w:tc>
          <w:tcPr>
            <w:tcW w:w="714" w:type="dxa"/>
            <w:tcBorders>
              <w:top w:val="threeDEmboss" w:sz="6" w:space="0" w:color="auto"/>
              <w:left w:val="threeDEmboss" w:sz="6" w:space="0" w:color="auto"/>
              <w:bottom w:val="threeDEmboss" w:sz="6" w:space="0" w:color="auto"/>
              <w:right w:val="threeDEmboss" w:sz="6" w:space="0" w:color="auto"/>
            </w:tcBorders>
          </w:tcPr>
          <w:p w:rsidR="001124F2" w:rsidRDefault="001124F2">
            <w:pPr>
              <w:pStyle w:val="11"/>
              <w:jc w:val="right"/>
              <w:rPr>
                <w:rFonts w:ascii="Arial" w:hAnsi="Arial"/>
                <w:sz w:val="20"/>
              </w:rPr>
            </w:pPr>
            <w:r>
              <w:rPr>
                <w:rFonts w:ascii="Arial" w:hAnsi="Arial"/>
                <w:sz w:val="20"/>
              </w:rPr>
              <w:t>+7,98</w:t>
            </w:r>
          </w:p>
        </w:tc>
        <w:tc>
          <w:tcPr>
            <w:tcW w:w="714" w:type="dxa"/>
            <w:tcBorders>
              <w:top w:val="threeDEmboss" w:sz="6" w:space="0" w:color="auto"/>
              <w:left w:val="threeDEmboss" w:sz="6" w:space="0" w:color="auto"/>
              <w:bottom w:val="threeDEmboss" w:sz="6" w:space="0" w:color="auto"/>
              <w:right w:val="threeDEmboss" w:sz="6" w:space="0" w:color="auto"/>
            </w:tcBorders>
          </w:tcPr>
          <w:p w:rsidR="001124F2" w:rsidRDefault="001124F2">
            <w:pPr>
              <w:pStyle w:val="11"/>
              <w:jc w:val="right"/>
              <w:rPr>
                <w:rFonts w:ascii="Arial" w:hAnsi="Arial"/>
                <w:sz w:val="20"/>
              </w:rPr>
            </w:pPr>
            <w:r>
              <w:rPr>
                <w:rFonts w:ascii="Arial" w:hAnsi="Arial"/>
                <w:sz w:val="20"/>
              </w:rPr>
              <w:t>+26,51</w:t>
            </w:r>
          </w:p>
        </w:tc>
        <w:tc>
          <w:tcPr>
            <w:tcW w:w="714" w:type="dxa"/>
            <w:tcBorders>
              <w:top w:val="threeDEmboss" w:sz="6" w:space="0" w:color="auto"/>
              <w:left w:val="threeDEmboss" w:sz="6" w:space="0" w:color="auto"/>
              <w:bottom w:val="threeDEmboss" w:sz="6" w:space="0" w:color="auto"/>
              <w:right w:val="threeDEmboss" w:sz="6" w:space="0" w:color="auto"/>
            </w:tcBorders>
          </w:tcPr>
          <w:p w:rsidR="001124F2" w:rsidRDefault="001124F2">
            <w:pPr>
              <w:pStyle w:val="11"/>
              <w:jc w:val="right"/>
              <w:rPr>
                <w:rFonts w:ascii="Arial" w:hAnsi="Arial"/>
                <w:sz w:val="20"/>
              </w:rPr>
            </w:pPr>
            <w:r>
              <w:rPr>
                <w:rFonts w:ascii="Arial" w:hAnsi="Arial"/>
                <w:sz w:val="20"/>
              </w:rPr>
              <w:t>-2,05</w:t>
            </w:r>
          </w:p>
        </w:tc>
        <w:tc>
          <w:tcPr>
            <w:tcW w:w="714" w:type="dxa"/>
            <w:tcBorders>
              <w:top w:val="threeDEmboss" w:sz="6" w:space="0" w:color="auto"/>
              <w:left w:val="threeDEmboss" w:sz="6" w:space="0" w:color="auto"/>
              <w:bottom w:val="threeDEmboss" w:sz="6" w:space="0" w:color="auto"/>
              <w:right w:val="threeDEmboss" w:sz="6" w:space="0" w:color="auto"/>
            </w:tcBorders>
          </w:tcPr>
          <w:p w:rsidR="001124F2" w:rsidRDefault="001124F2">
            <w:pPr>
              <w:pStyle w:val="11"/>
              <w:jc w:val="right"/>
              <w:rPr>
                <w:rFonts w:ascii="Arial" w:hAnsi="Arial"/>
                <w:sz w:val="20"/>
              </w:rPr>
            </w:pPr>
            <w:r>
              <w:rPr>
                <w:rFonts w:ascii="Arial" w:hAnsi="Arial"/>
                <w:sz w:val="20"/>
              </w:rPr>
              <w:t>-2,16</w:t>
            </w:r>
          </w:p>
        </w:tc>
        <w:tc>
          <w:tcPr>
            <w:tcW w:w="714" w:type="dxa"/>
            <w:tcBorders>
              <w:top w:val="threeDEmboss" w:sz="6" w:space="0" w:color="auto"/>
              <w:left w:val="threeDEmboss" w:sz="6" w:space="0" w:color="auto"/>
              <w:bottom w:val="threeDEmboss" w:sz="6" w:space="0" w:color="auto"/>
              <w:right w:val="threeDEmboss" w:sz="6" w:space="0" w:color="auto"/>
            </w:tcBorders>
          </w:tcPr>
          <w:p w:rsidR="001124F2" w:rsidRDefault="001124F2">
            <w:pPr>
              <w:pStyle w:val="11"/>
              <w:jc w:val="right"/>
              <w:rPr>
                <w:rFonts w:ascii="Arial" w:hAnsi="Arial"/>
                <w:sz w:val="20"/>
              </w:rPr>
            </w:pPr>
            <w:r>
              <w:rPr>
                <w:rFonts w:ascii="Arial" w:hAnsi="Arial"/>
                <w:sz w:val="20"/>
              </w:rPr>
              <w:t>+2,35</w:t>
            </w:r>
          </w:p>
        </w:tc>
        <w:tc>
          <w:tcPr>
            <w:tcW w:w="714" w:type="dxa"/>
            <w:tcBorders>
              <w:top w:val="threeDEmboss" w:sz="6" w:space="0" w:color="auto"/>
              <w:left w:val="threeDEmboss" w:sz="6" w:space="0" w:color="auto"/>
              <w:bottom w:val="threeDEmboss" w:sz="6" w:space="0" w:color="auto"/>
              <w:right w:val="threeDEmboss" w:sz="6" w:space="0" w:color="auto"/>
            </w:tcBorders>
          </w:tcPr>
          <w:p w:rsidR="001124F2" w:rsidRDefault="001124F2">
            <w:pPr>
              <w:pStyle w:val="11"/>
              <w:jc w:val="right"/>
              <w:rPr>
                <w:rFonts w:ascii="Arial" w:hAnsi="Arial"/>
                <w:sz w:val="20"/>
              </w:rPr>
            </w:pPr>
            <w:r>
              <w:rPr>
                <w:rFonts w:ascii="Arial" w:hAnsi="Arial"/>
                <w:sz w:val="20"/>
              </w:rPr>
              <w:t>+1,04</w:t>
            </w:r>
          </w:p>
        </w:tc>
        <w:tc>
          <w:tcPr>
            <w:tcW w:w="714" w:type="dxa"/>
            <w:tcBorders>
              <w:top w:val="threeDEmboss" w:sz="6" w:space="0" w:color="auto"/>
              <w:left w:val="threeDEmboss" w:sz="6" w:space="0" w:color="auto"/>
              <w:bottom w:val="threeDEmboss" w:sz="6" w:space="0" w:color="auto"/>
              <w:right w:val="threeDEmboss" w:sz="6" w:space="0" w:color="auto"/>
            </w:tcBorders>
          </w:tcPr>
          <w:p w:rsidR="001124F2" w:rsidRDefault="001124F2">
            <w:pPr>
              <w:pStyle w:val="11"/>
              <w:jc w:val="right"/>
              <w:rPr>
                <w:rFonts w:ascii="Arial" w:hAnsi="Arial"/>
                <w:sz w:val="20"/>
              </w:rPr>
            </w:pPr>
            <w:r>
              <w:rPr>
                <w:rFonts w:ascii="Arial" w:hAnsi="Arial"/>
                <w:sz w:val="20"/>
              </w:rPr>
              <w:t>+17,97</w:t>
            </w:r>
          </w:p>
        </w:tc>
        <w:tc>
          <w:tcPr>
            <w:tcW w:w="816" w:type="dxa"/>
            <w:tcBorders>
              <w:top w:val="threeDEmboss" w:sz="6" w:space="0" w:color="auto"/>
              <w:left w:val="threeDEmboss" w:sz="6" w:space="0" w:color="auto"/>
              <w:bottom w:val="threeDEmboss" w:sz="6" w:space="0" w:color="auto"/>
              <w:right w:val="threeDEmboss" w:sz="6" w:space="0" w:color="auto"/>
            </w:tcBorders>
          </w:tcPr>
          <w:p w:rsidR="001124F2" w:rsidRDefault="001124F2">
            <w:pPr>
              <w:pStyle w:val="11"/>
              <w:jc w:val="right"/>
              <w:rPr>
                <w:rFonts w:ascii="Arial" w:hAnsi="Arial"/>
                <w:sz w:val="20"/>
              </w:rPr>
            </w:pPr>
            <w:r>
              <w:rPr>
                <w:rFonts w:ascii="Arial" w:hAnsi="Arial"/>
                <w:sz w:val="20"/>
              </w:rPr>
              <w:t>+12,84</w:t>
            </w:r>
          </w:p>
        </w:tc>
      </w:tr>
      <w:tr w:rsidR="001124F2">
        <w:trPr>
          <w:jc w:val="center"/>
        </w:trPr>
        <w:tc>
          <w:tcPr>
            <w:tcW w:w="2686" w:type="dxa"/>
            <w:tcBorders>
              <w:top w:val="threeDEmboss" w:sz="6" w:space="0" w:color="auto"/>
              <w:left w:val="threeDEmboss" w:sz="6" w:space="0" w:color="auto"/>
              <w:bottom w:val="threeDEmboss" w:sz="6" w:space="0" w:color="auto"/>
              <w:right w:val="threeDEmboss" w:sz="6" w:space="0" w:color="auto"/>
            </w:tcBorders>
          </w:tcPr>
          <w:p w:rsidR="001124F2" w:rsidRDefault="001124F2">
            <w:pPr>
              <w:pStyle w:val="11"/>
              <w:jc w:val="both"/>
              <w:rPr>
                <w:rFonts w:ascii="Arial" w:hAnsi="Arial"/>
                <w:b/>
                <w:sz w:val="20"/>
              </w:rPr>
            </w:pPr>
            <w:r>
              <w:rPr>
                <w:rFonts w:ascii="Arial" w:hAnsi="Arial"/>
                <w:b/>
                <w:sz w:val="20"/>
              </w:rPr>
              <w:t>НЕНАЛОГОВЫЕ ДОХОДЫ</w:t>
            </w:r>
          </w:p>
        </w:tc>
        <w:tc>
          <w:tcPr>
            <w:tcW w:w="816" w:type="dxa"/>
            <w:tcBorders>
              <w:top w:val="threeDEmboss" w:sz="6" w:space="0" w:color="auto"/>
              <w:left w:val="threeDEmboss" w:sz="6" w:space="0" w:color="auto"/>
              <w:bottom w:val="threeDEmboss" w:sz="6" w:space="0" w:color="auto"/>
              <w:right w:val="threeDEmboss" w:sz="6" w:space="0" w:color="auto"/>
            </w:tcBorders>
          </w:tcPr>
          <w:p w:rsidR="001124F2" w:rsidRDefault="001124F2">
            <w:pPr>
              <w:pStyle w:val="11"/>
              <w:jc w:val="right"/>
              <w:rPr>
                <w:rFonts w:ascii="Arial" w:hAnsi="Arial"/>
                <w:sz w:val="20"/>
              </w:rPr>
            </w:pPr>
            <w:r>
              <w:rPr>
                <w:rFonts w:ascii="Arial" w:hAnsi="Arial"/>
                <w:sz w:val="20"/>
              </w:rPr>
              <w:t>+4,11</w:t>
            </w:r>
          </w:p>
        </w:tc>
        <w:tc>
          <w:tcPr>
            <w:tcW w:w="714" w:type="dxa"/>
            <w:tcBorders>
              <w:top w:val="threeDEmboss" w:sz="6" w:space="0" w:color="auto"/>
              <w:left w:val="threeDEmboss" w:sz="6" w:space="0" w:color="auto"/>
              <w:bottom w:val="threeDEmboss" w:sz="6" w:space="0" w:color="auto"/>
              <w:right w:val="threeDEmboss" w:sz="6" w:space="0" w:color="auto"/>
            </w:tcBorders>
          </w:tcPr>
          <w:p w:rsidR="001124F2" w:rsidRDefault="001124F2">
            <w:pPr>
              <w:pStyle w:val="11"/>
              <w:jc w:val="right"/>
              <w:rPr>
                <w:rFonts w:ascii="Arial" w:hAnsi="Arial"/>
                <w:sz w:val="20"/>
              </w:rPr>
            </w:pPr>
            <w:r>
              <w:rPr>
                <w:rFonts w:ascii="Arial" w:hAnsi="Arial"/>
                <w:sz w:val="20"/>
              </w:rPr>
              <w:t>+28,42</w:t>
            </w:r>
          </w:p>
        </w:tc>
        <w:tc>
          <w:tcPr>
            <w:tcW w:w="714" w:type="dxa"/>
            <w:tcBorders>
              <w:top w:val="threeDEmboss" w:sz="6" w:space="0" w:color="auto"/>
              <w:left w:val="threeDEmboss" w:sz="6" w:space="0" w:color="auto"/>
              <w:bottom w:val="threeDEmboss" w:sz="6" w:space="0" w:color="auto"/>
              <w:right w:val="threeDEmboss" w:sz="6" w:space="0" w:color="auto"/>
            </w:tcBorders>
          </w:tcPr>
          <w:p w:rsidR="001124F2" w:rsidRDefault="001124F2">
            <w:pPr>
              <w:pStyle w:val="11"/>
              <w:jc w:val="right"/>
              <w:rPr>
                <w:rFonts w:ascii="Arial" w:hAnsi="Arial"/>
                <w:sz w:val="20"/>
              </w:rPr>
            </w:pPr>
            <w:r>
              <w:rPr>
                <w:rFonts w:ascii="Arial" w:hAnsi="Arial"/>
                <w:sz w:val="20"/>
              </w:rPr>
              <w:t>+12,56</w:t>
            </w:r>
          </w:p>
        </w:tc>
        <w:tc>
          <w:tcPr>
            <w:tcW w:w="714" w:type="dxa"/>
            <w:tcBorders>
              <w:top w:val="threeDEmboss" w:sz="6" w:space="0" w:color="auto"/>
              <w:left w:val="threeDEmboss" w:sz="6" w:space="0" w:color="auto"/>
              <w:bottom w:val="threeDEmboss" w:sz="6" w:space="0" w:color="auto"/>
              <w:right w:val="threeDEmboss" w:sz="6" w:space="0" w:color="auto"/>
            </w:tcBorders>
          </w:tcPr>
          <w:p w:rsidR="001124F2" w:rsidRDefault="001124F2">
            <w:pPr>
              <w:pStyle w:val="11"/>
              <w:jc w:val="right"/>
              <w:rPr>
                <w:rFonts w:ascii="Arial" w:hAnsi="Arial"/>
                <w:sz w:val="20"/>
              </w:rPr>
            </w:pPr>
            <w:r>
              <w:rPr>
                <w:rFonts w:ascii="Arial" w:hAnsi="Arial"/>
                <w:sz w:val="20"/>
              </w:rPr>
              <w:t>+84,07</w:t>
            </w:r>
          </w:p>
        </w:tc>
        <w:tc>
          <w:tcPr>
            <w:tcW w:w="714" w:type="dxa"/>
            <w:tcBorders>
              <w:top w:val="threeDEmboss" w:sz="6" w:space="0" w:color="auto"/>
              <w:left w:val="threeDEmboss" w:sz="6" w:space="0" w:color="auto"/>
              <w:bottom w:val="threeDEmboss" w:sz="6" w:space="0" w:color="auto"/>
              <w:right w:val="threeDEmboss" w:sz="6" w:space="0" w:color="auto"/>
            </w:tcBorders>
          </w:tcPr>
          <w:p w:rsidR="001124F2" w:rsidRDefault="001124F2">
            <w:pPr>
              <w:pStyle w:val="11"/>
              <w:jc w:val="right"/>
              <w:rPr>
                <w:rFonts w:ascii="Arial" w:hAnsi="Arial"/>
                <w:sz w:val="20"/>
              </w:rPr>
            </w:pPr>
            <w:r>
              <w:rPr>
                <w:rFonts w:ascii="Arial" w:hAnsi="Arial"/>
                <w:sz w:val="20"/>
              </w:rPr>
              <w:t>+16,18</w:t>
            </w:r>
          </w:p>
        </w:tc>
        <w:tc>
          <w:tcPr>
            <w:tcW w:w="714" w:type="dxa"/>
            <w:tcBorders>
              <w:top w:val="threeDEmboss" w:sz="6" w:space="0" w:color="auto"/>
              <w:left w:val="threeDEmboss" w:sz="6" w:space="0" w:color="auto"/>
              <w:bottom w:val="threeDEmboss" w:sz="6" w:space="0" w:color="auto"/>
              <w:right w:val="threeDEmboss" w:sz="6" w:space="0" w:color="auto"/>
            </w:tcBorders>
          </w:tcPr>
          <w:p w:rsidR="001124F2" w:rsidRDefault="001124F2">
            <w:pPr>
              <w:pStyle w:val="11"/>
              <w:jc w:val="right"/>
              <w:rPr>
                <w:rFonts w:ascii="Arial" w:hAnsi="Arial"/>
                <w:sz w:val="20"/>
              </w:rPr>
            </w:pPr>
            <w:r>
              <w:rPr>
                <w:rFonts w:ascii="Arial" w:hAnsi="Arial"/>
                <w:sz w:val="20"/>
              </w:rPr>
              <w:t>+49,02</w:t>
            </w:r>
          </w:p>
        </w:tc>
        <w:tc>
          <w:tcPr>
            <w:tcW w:w="714" w:type="dxa"/>
            <w:tcBorders>
              <w:top w:val="threeDEmboss" w:sz="6" w:space="0" w:color="auto"/>
              <w:left w:val="threeDEmboss" w:sz="6" w:space="0" w:color="auto"/>
              <w:bottom w:val="threeDEmboss" w:sz="6" w:space="0" w:color="auto"/>
              <w:right w:val="threeDEmboss" w:sz="6" w:space="0" w:color="auto"/>
            </w:tcBorders>
          </w:tcPr>
          <w:p w:rsidR="001124F2" w:rsidRDefault="001124F2">
            <w:pPr>
              <w:pStyle w:val="11"/>
              <w:jc w:val="right"/>
              <w:rPr>
                <w:rFonts w:ascii="Arial" w:hAnsi="Arial"/>
                <w:sz w:val="20"/>
              </w:rPr>
            </w:pPr>
            <w:r>
              <w:rPr>
                <w:rFonts w:ascii="Arial" w:hAnsi="Arial"/>
                <w:sz w:val="20"/>
              </w:rPr>
              <w:t>+10,6</w:t>
            </w:r>
          </w:p>
        </w:tc>
        <w:tc>
          <w:tcPr>
            <w:tcW w:w="714" w:type="dxa"/>
            <w:tcBorders>
              <w:top w:val="threeDEmboss" w:sz="6" w:space="0" w:color="auto"/>
              <w:left w:val="threeDEmboss" w:sz="6" w:space="0" w:color="auto"/>
              <w:bottom w:val="threeDEmboss" w:sz="6" w:space="0" w:color="auto"/>
              <w:right w:val="threeDEmboss" w:sz="6" w:space="0" w:color="auto"/>
            </w:tcBorders>
          </w:tcPr>
          <w:p w:rsidR="001124F2" w:rsidRDefault="001124F2">
            <w:pPr>
              <w:pStyle w:val="11"/>
              <w:jc w:val="right"/>
              <w:rPr>
                <w:rFonts w:ascii="Arial" w:hAnsi="Arial"/>
                <w:sz w:val="20"/>
              </w:rPr>
            </w:pPr>
            <w:r>
              <w:rPr>
                <w:rFonts w:ascii="Arial" w:hAnsi="Arial"/>
                <w:sz w:val="20"/>
              </w:rPr>
              <w:t>+16,61</w:t>
            </w:r>
          </w:p>
        </w:tc>
        <w:tc>
          <w:tcPr>
            <w:tcW w:w="714" w:type="dxa"/>
            <w:tcBorders>
              <w:top w:val="threeDEmboss" w:sz="6" w:space="0" w:color="auto"/>
              <w:left w:val="threeDEmboss" w:sz="6" w:space="0" w:color="auto"/>
              <w:bottom w:val="threeDEmboss" w:sz="6" w:space="0" w:color="auto"/>
              <w:right w:val="threeDEmboss" w:sz="6" w:space="0" w:color="auto"/>
            </w:tcBorders>
          </w:tcPr>
          <w:p w:rsidR="001124F2" w:rsidRDefault="001124F2">
            <w:pPr>
              <w:pStyle w:val="11"/>
              <w:jc w:val="right"/>
              <w:rPr>
                <w:rFonts w:ascii="Arial" w:hAnsi="Arial"/>
                <w:sz w:val="20"/>
              </w:rPr>
            </w:pPr>
            <w:r>
              <w:rPr>
                <w:rFonts w:ascii="Arial" w:hAnsi="Arial"/>
                <w:sz w:val="20"/>
              </w:rPr>
              <w:t>+12,93</w:t>
            </w:r>
          </w:p>
        </w:tc>
        <w:tc>
          <w:tcPr>
            <w:tcW w:w="816" w:type="dxa"/>
            <w:tcBorders>
              <w:top w:val="threeDEmboss" w:sz="6" w:space="0" w:color="auto"/>
              <w:left w:val="threeDEmboss" w:sz="6" w:space="0" w:color="auto"/>
              <w:bottom w:val="threeDEmboss" w:sz="6" w:space="0" w:color="auto"/>
              <w:right w:val="threeDEmboss" w:sz="6" w:space="0" w:color="auto"/>
            </w:tcBorders>
          </w:tcPr>
          <w:p w:rsidR="001124F2" w:rsidRDefault="001124F2">
            <w:pPr>
              <w:pStyle w:val="11"/>
              <w:jc w:val="right"/>
              <w:rPr>
                <w:rFonts w:ascii="Arial" w:hAnsi="Arial"/>
                <w:sz w:val="20"/>
              </w:rPr>
            </w:pPr>
            <w:r>
              <w:rPr>
                <w:rFonts w:ascii="Arial" w:hAnsi="Arial"/>
                <w:sz w:val="20"/>
              </w:rPr>
              <w:t>+39,59</w:t>
            </w:r>
          </w:p>
        </w:tc>
      </w:tr>
      <w:tr w:rsidR="001124F2">
        <w:trPr>
          <w:jc w:val="center"/>
        </w:trPr>
        <w:tc>
          <w:tcPr>
            <w:tcW w:w="2686" w:type="dxa"/>
            <w:tcBorders>
              <w:top w:val="threeDEmboss" w:sz="6" w:space="0" w:color="auto"/>
              <w:left w:val="threeDEmboss" w:sz="6" w:space="0" w:color="auto"/>
              <w:bottom w:val="threeDEmboss" w:sz="6" w:space="0" w:color="auto"/>
              <w:right w:val="threeDEmboss" w:sz="6" w:space="0" w:color="auto"/>
            </w:tcBorders>
          </w:tcPr>
          <w:p w:rsidR="001124F2" w:rsidRDefault="001124F2">
            <w:pPr>
              <w:pStyle w:val="11"/>
              <w:jc w:val="both"/>
              <w:rPr>
                <w:rFonts w:ascii="Arial" w:hAnsi="Arial"/>
                <w:sz w:val="20"/>
              </w:rPr>
            </w:pPr>
            <w:r>
              <w:rPr>
                <w:rFonts w:ascii="Arial" w:hAnsi="Arial"/>
                <w:sz w:val="20"/>
              </w:rPr>
              <w:t>Доходы от имущества, находящегося в государственной собственности, или от деятельности</w:t>
            </w:r>
          </w:p>
        </w:tc>
        <w:tc>
          <w:tcPr>
            <w:tcW w:w="816" w:type="dxa"/>
            <w:tcBorders>
              <w:top w:val="threeDEmboss" w:sz="6" w:space="0" w:color="auto"/>
              <w:left w:val="threeDEmboss" w:sz="6" w:space="0" w:color="auto"/>
              <w:bottom w:val="threeDEmboss" w:sz="6" w:space="0" w:color="auto"/>
              <w:right w:val="threeDEmboss" w:sz="6" w:space="0" w:color="auto"/>
            </w:tcBorders>
          </w:tcPr>
          <w:p w:rsidR="001124F2" w:rsidRDefault="001124F2">
            <w:pPr>
              <w:pStyle w:val="11"/>
              <w:jc w:val="right"/>
              <w:rPr>
                <w:rFonts w:ascii="Arial" w:hAnsi="Arial"/>
                <w:sz w:val="20"/>
              </w:rPr>
            </w:pPr>
            <w:r>
              <w:rPr>
                <w:rFonts w:ascii="Arial" w:hAnsi="Arial"/>
                <w:sz w:val="20"/>
              </w:rPr>
              <w:t>+0,84</w:t>
            </w:r>
          </w:p>
        </w:tc>
        <w:tc>
          <w:tcPr>
            <w:tcW w:w="714" w:type="dxa"/>
            <w:tcBorders>
              <w:top w:val="threeDEmboss" w:sz="6" w:space="0" w:color="auto"/>
              <w:left w:val="threeDEmboss" w:sz="6" w:space="0" w:color="auto"/>
              <w:bottom w:val="threeDEmboss" w:sz="6" w:space="0" w:color="auto"/>
              <w:right w:val="threeDEmboss" w:sz="6" w:space="0" w:color="auto"/>
            </w:tcBorders>
          </w:tcPr>
          <w:p w:rsidR="001124F2" w:rsidRDefault="001124F2">
            <w:pPr>
              <w:pStyle w:val="11"/>
              <w:jc w:val="right"/>
              <w:rPr>
                <w:rFonts w:ascii="Arial" w:hAnsi="Arial"/>
                <w:sz w:val="20"/>
              </w:rPr>
            </w:pPr>
            <w:r>
              <w:rPr>
                <w:rFonts w:ascii="Arial" w:hAnsi="Arial"/>
                <w:sz w:val="20"/>
              </w:rPr>
              <w:t>+21,84</w:t>
            </w:r>
          </w:p>
        </w:tc>
        <w:tc>
          <w:tcPr>
            <w:tcW w:w="714" w:type="dxa"/>
            <w:tcBorders>
              <w:top w:val="threeDEmboss" w:sz="6" w:space="0" w:color="auto"/>
              <w:left w:val="threeDEmboss" w:sz="6" w:space="0" w:color="auto"/>
              <w:bottom w:val="threeDEmboss" w:sz="6" w:space="0" w:color="auto"/>
              <w:right w:val="threeDEmboss" w:sz="6" w:space="0" w:color="auto"/>
            </w:tcBorders>
          </w:tcPr>
          <w:p w:rsidR="001124F2" w:rsidRDefault="001124F2">
            <w:pPr>
              <w:pStyle w:val="11"/>
              <w:jc w:val="right"/>
              <w:rPr>
                <w:rFonts w:ascii="Arial" w:hAnsi="Arial"/>
                <w:sz w:val="20"/>
              </w:rPr>
            </w:pPr>
            <w:r>
              <w:rPr>
                <w:rFonts w:ascii="Arial" w:hAnsi="Arial"/>
                <w:sz w:val="20"/>
              </w:rPr>
              <w:t>-0,68</w:t>
            </w:r>
          </w:p>
        </w:tc>
        <w:tc>
          <w:tcPr>
            <w:tcW w:w="714" w:type="dxa"/>
            <w:tcBorders>
              <w:top w:val="threeDEmboss" w:sz="6" w:space="0" w:color="auto"/>
              <w:left w:val="threeDEmboss" w:sz="6" w:space="0" w:color="auto"/>
              <w:bottom w:val="threeDEmboss" w:sz="6" w:space="0" w:color="auto"/>
              <w:right w:val="threeDEmboss" w:sz="6" w:space="0" w:color="auto"/>
            </w:tcBorders>
          </w:tcPr>
          <w:p w:rsidR="001124F2" w:rsidRDefault="001124F2">
            <w:pPr>
              <w:pStyle w:val="11"/>
              <w:jc w:val="right"/>
              <w:rPr>
                <w:rFonts w:ascii="Arial" w:hAnsi="Arial"/>
                <w:sz w:val="20"/>
              </w:rPr>
            </w:pPr>
            <w:r>
              <w:rPr>
                <w:rFonts w:ascii="Arial" w:hAnsi="Arial"/>
                <w:sz w:val="20"/>
              </w:rPr>
              <w:t>-12,76</w:t>
            </w:r>
          </w:p>
        </w:tc>
        <w:tc>
          <w:tcPr>
            <w:tcW w:w="714" w:type="dxa"/>
            <w:tcBorders>
              <w:top w:val="threeDEmboss" w:sz="6" w:space="0" w:color="auto"/>
              <w:left w:val="threeDEmboss" w:sz="6" w:space="0" w:color="auto"/>
              <w:bottom w:val="threeDEmboss" w:sz="6" w:space="0" w:color="auto"/>
              <w:right w:val="threeDEmboss" w:sz="6" w:space="0" w:color="auto"/>
            </w:tcBorders>
          </w:tcPr>
          <w:p w:rsidR="001124F2" w:rsidRDefault="001124F2">
            <w:pPr>
              <w:pStyle w:val="11"/>
              <w:jc w:val="right"/>
              <w:rPr>
                <w:rFonts w:ascii="Arial" w:hAnsi="Arial"/>
                <w:sz w:val="20"/>
              </w:rPr>
            </w:pPr>
            <w:r>
              <w:rPr>
                <w:rFonts w:ascii="Arial" w:hAnsi="Arial"/>
                <w:sz w:val="20"/>
              </w:rPr>
              <w:t>-1,24</w:t>
            </w:r>
          </w:p>
        </w:tc>
        <w:tc>
          <w:tcPr>
            <w:tcW w:w="714" w:type="dxa"/>
            <w:tcBorders>
              <w:top w:val="threeDEmboss" w:sz="6" w:space="0" w:color="auto"/>
              <w:left w:val="threeDEmboss" w:sz="6" w:space="0" w:color="auto"/>
              <w:bottom w:val="threeDEmboss" w:sz="6" w:space="0" w:color="auto"/>
              <w:right w:val="threeDEmboss" w:sz="6" w:space="0" w:color="auto"/>
            </w:tcBorders>
          </w:tcPr>
          <w:p w:rsidR="001124F2" w:rsidRDefault="001124F2">
            <w:pPr>
              <w:pStyle w:val="11"/>
              <w:jc w:val="right"/>
              <w:rPr>
                <w:rFonts w:ascii="Arial" w:hAnsi="Arial"/>
                <w:sz w:val="20"/>
              </w:rPr>
            </w:pPr>
            <w:r>
              <w:rPr>
                <w:rFonts w:ascii="Arial" w:hAnsi="Arial"/>
                <w:sz w:val="20"/>
              </w:rPr>
              <w:t>-10,5</w:t>
            </w:r>
          </w:p>
        </w:tc>
        <w:tc>
          <w:tcPr>
            <w:tcW w:w="714" w:type="dxa"/>
            <w:tcBorders>
              <w:top w:val="threeDEmboss" w:sz="6" w:space="0" w:color="auto"/>
              <w:left w:val="threeDEmboss" w:sz="6" w:space="0" w:color="auto"/>
              <w:bottom w:val="threeDEmboss" w:sz="6" w:space="0" w:color="auto"/>
              <w:right w:val="threeDEmboss" w:sz="6" w:space="0" w:color="auto"/>
            </w:tcBorders>
          </w:tcPr>
          <w:p w:rsidR="001124F2" w:rsidRDefault="001124F2">
            <w:pPr>
              <w:pStyle w:val="11"/>
              <w:jc w:val="right"/>
              <w:rPr>
                <w:rFonts w:ascii="Arial" w:hAnsi="Arial"/>
                <w:sz w:val="20"/>
              </w:rPr>
            </w:pPr>
            <w:r>
              <w:rPr>
                <w:rFonts w:ascii="Arial" w:hAnsi="Arial"/>
                <w:sz w:val="20"/>
              </w:rPr>
              <w:t>3,85</w:t>
            </w:r>
          </w:p>
        </w:tc>
        <w:tc>
          <w:tcPr>
            <w:tcW w:w="714" w:type="dxa"/>
            <w:tcBorders>
              <w:top w:val="threeDEmboss" w:sz="6" w:space="0" w:color="auto"/>
              <w:left w:val="threeDEmboss" w:sz="6" w:space="0" w:color="auto"/>
              <w:bottom w:val="threeDEmboss" w:sz="6" w:space="0" w:color="auto"/>
              <w:right w:val="threeDEmboss" w:sz="6" w:space="0" w:color="auto"/>
            </w:tcBorders>
          </w:tcPr>
          <w:p w:rsidR="001124F2" w:rsidRDefault="001124F2">
            <w:pPr>
              <w:pStyle w:val="11"/>
              <w:jc w:val="right"/>
              <w:rPr>
                <w:rFonts w:ascii="Arial" w:hAnsi="Arial"/>
                <w:sz w:val="20"/>
              </w:rPr>
            </w:pPr>
            <w:r>
              <w:rPr>
                <w:rFonts w:ascii="Arial" w:hAnsi="Arial"/>
                <w:sz w:val="20"/>
              </w:rPr>
              <w:t>12,5</w:t>
            </w:r>
          </w:p>
        </w:tc>
        <w:tc>
          <w:tcPr>
            <w:tcW w:w="714" w:type="dxa"/>
            <w:tcBorders>
              <w:top w:val="threeDEmboss" w:sz="6" w:space="0" w:color="auto"/>
              <w:left w:val="threeDEmboss" w:sz="6" w:space="0" w:color="auto"/>
              <w:bottom w:val="threeDEmboss" w:sz="6" w:space="0" w:color="auto"/>
              <w:right w:val="threeDEmboss" w:sz="6" w:space="0" w:color="auto"/>
            </w:tcBorders>
          </w:tcPr>
          <w:p w:rsidR="001124F2" w:rsidRDefault="001124F2">
            <w:pPr>
              <w:pStyle w:val="11"/>
              <w:jc w:val="right"/>
              <w:rPr>
                <w:rFonts w:ascii="Arial" w:hAnsi="Arial"/>
                <w:sz w:val="20"/>
              </w:rPr>
            </w:pPr>
            <w:r>
              <w:rPr>
                <w:rFonts w:ascii="Arial" w:hAnsi="Arial"/>
                <w:sz w:val="20"/>
              </w:rPr>
              <w:t>+10,60</w:t>
            </w:r>
          </w:p>
        </w:tc>
        <w:tc>
          <w:tcPr>
            <w:tcW w:w="816" w:type="dxa"/>
            <w:tcBorders>
              <w:top w:val="threeDEmboss" w:sz="6" w:space="0" w:color="auto"/>
              <w:left w:val="threeDEmboss" w:sz="6" w:space="0" w:color="auto"/>
              <w:bottom w:val="threeDEmboss" w:sz="6" w:space="0" w:color="auto"/>
              <w:right w:val="threeDEmboss" w:sz="6" w:space="0" w:color="auto"/>
            </w:tcBorders>
          </w:tcPr>
          <w:p w:rsidR="001124F2" w:rsidRDefault="001124F2">
            <w:pPr>
              <w:pStyle w:val="11"/>
              <w:jc w:val="right"/>
              <w:rPr>
                <w:rFonts w:ascii="Arial" w:hAnsi="Arial"/>
                <w:sz w:val="20"/>
              </w:rPr>
            </w:pPr>
            <w:r>
              <w:rPr>
                <w:rFonts w:ascii="Arial" w:hAnsi="Arial"/>
                <w:sz w:val="20"/>
              </w:rPr>
              <w:t>+74,80</w:t>
            </w:r>
          </w:p>
        </w:tc>
      </w:tr>
      <w:tr w:rsidR="001124F2">
        <w:trPr>
          <w:jc w:val="center"/>
        </w:trPr>
        <w:tc>
          <w:tcPr>
            <w:tcW w:w="2686" w:type="dxa"/>
            <w:tcBorders>
              <w:top w:val="threeDEmboss" w:sz="6" w:space="0" w:color="auto"/>
              <w:left w:val="threeDEmboss" w:sz="6" w:space="0" w:color="auto"/>
              <w:bottom w:val="threeDEmboss" w:sz="6" w:space="0" w:color="auto"/>
              <w:right w:val="threeDEmboss" w:sz="6" w:space="0" w:color="auto"/>
            </w:tcBorders>
          </w:tcPr>
          <w:p w:rsidR="001124F2" w:rsidRDefault="001124F2">
            <w:pPr>
              <w:pStyle w:val="11"/>
              <w:jc w:val="both"/>
              <w:rPr>
                <w:rFonts w:ascii="Arial" w:hAnsi="Arial"/>
                <w:sz w:val="20"/>
              </w:rPr>
            </w:pPr>
            <w:r>
              <w:rPr>
                <w:rFonts w:ascii="Arial" w:hAnsi="Arial"/>
                <w:sz w:val="20"/>
              </w:rPr>
              <w:t>Доходы от внешнеэкономической деятельности</w:t>
            </w:r>
          </w:p>
        </w:tc>
        <w:tc>
          <w:tcPr>
            <w:tcW w:w="816" w:type="dxa"/>
            <w:tcBorders>
              <w:top w:val="threeDEmboss" w:sz="6" w:space="0" w:color="auto"/>
              <w:left w:val="threeDEmboss" w:sz="6" w:space="0" w:color="auto"/>
              <w:bottom w:val="threeDEmboss" w:sz="6" w:space="0" w:color="auto"/>
              <w:right w:val="threeDEmboss" w:sz="6" w:space="0" w:color="auto"/>
            </w:tcBorders>
          </w:tcPr>
          <w:p w:rsidR="001124F2" w:rsidRDefault="001124F2">
            <w:pPr>
              <w:pStyle w:val="11"/>
              <w:jc w:val="right"/>
              <w:rPr>
                <w:rFonts w:ascii="Arial" w:hAnsi="Arial"/>
                <w:sz w:val="20"/>
              </w:rPr>
            </w:pPr>
            <w:r>
              <w:rPr>
                <w:rFonts w:ascii="Arial" w:hAnsi="Arial"/>
                <w:sz w:val="20"/>
              </w:rPr>
              <w:t>+3,84</w:t>
            </w:r>
          </w:p>
        </w:tc>
        <w:tc>
          <w:tcPr>
            <w:tcW w:w="714" w:type="dxa"/>
            <w:tcBorders>
              <w:top w:val="threeDEmboss" w:sz="6" w:space="0" w:color="auto"/>
              <w:left w:val="threeDEmboss" w:sz="6" w:space="0" w:color="auto"/>
              <w:bottom w:val="threeDEmboss" w:sz="6" w:space="0" w:color="auto"/>
              <w:right w:val="threeDEmboss" w:sz="6" w:space="0" w:color="auto"/>
            </w:tcBorders>
          </w:tcPr>
          <w:p w:rsidR="001124F2" w:rsidRDefault="001124F2">
            <w:pPr>
              <w:pStyle w:val="11"/>
              <w:jc w:val="right"/>
              <w:rPr>
                <w:rFonts w:ascii="Arial" w:hAnsi="Arial"/>
                <w:sz w:val="20"/>
              </w:rPr>
            </w:pPr>
            <w:r>
              <w:rPr>
                <w:rFonts w:ascii="Arial" w:hAnsi="Arial"/>
                <w:sz w:val="20"/>
              </w:rPr>
              <w:t>+49,71</w:t>
            </w:r>
          </w:p>
        </w:tc>
        <w:tc>
          <w:tcPr>
            <w:tcW w:w="714" w:type="dxa"/>
            <w:tcBorders>
              <w:top w:val="threeDEmboss" w:sz="6" w:space="0" w:color="auto"/>
              <w:left w:val="threeDEmboss" w:sz="6" w:space="0" w:color="auto"/>
              <w:bottom w:val="threeDEmboss" w:sz="6" w:space="0" w:color="auto"/>
              <w:right w:val="threeDEmboss" w:sz="6" w:space="0" w:color="auto"/>
            </w:tcBorders>
          </w:tcPr>
          <w:p w:rsidR="001124F2" w:rsidRDefault="001124F2">
            <w:pPr>
              <w:pStyle w:val="11"/>
              <w:jc w:val="right"/>
              <w:rPr>
                <w:rFonts w:ascii="Arial" w:hAnsi="Arial"/>
                <w:sz w:val="20"/>
              </w:rPr>
            </w:pPr>
            <w:r>
              <w:rPr>
                <w:rFonts w:ascii="Arial" w:hAnsi="Arial"/>
                <w:sz w:val="20"/>
              </w:rPr>
              <w:t>+11,73</w:t>
            </w:r>
          </w:p>
        </w:tc>
        <w:tc>
          <w:tcPr>
            <w:tcW w:w="714" w:type="dxa"/>
            <w:tcBorders>
              <w:top w:val="threeDEmboss" w:sz="6" w:space="0" w:color="auto"/>
              <w:left w:val="threeDEmboss" w:sz="6" w:space="0" w:color="auto"/>
              <w:bottom w:val="threeDEmboss" w:sz="6" w:space="0" w:color="auto"/>
              <w:right w:val="threeDEmboss" w:sz="6" w:space="0" w:color="auto"/>
            </w:tcBorders>
          </w:tcPr>
          <w:p w:rsidR="001124F2" w:rsidRDefault="001124F2">
            <w:pPr>
              <w:pStyle w:val="11"/>
              <w:jc w:val="right"/>
              <w:rPr>
                <w:rFonts w:ascii="Arial" w:hAnsi="Arial"/>
                <w:sz w:val="20"/>
              </w:rPr>
            </w:pPr>
            <w:r>
              <w:rPr>
                <w:rFonts w:ascii="Arial" w:hAnsi="Arial"/>
                <w:sz w:val="20"/>
              </w:rPr>
              <w:t>+170,5</w:t>
            </w:r>
          </w:p>
        </w:tc>
        <w:tc>
          <w:tcPr>
            <w:tcW w:w="714" w:type="dxa"/>
            <w:tcBorders>
              <w:top w:val="threeDEmboss" w:sz="6" w:space="0" w:color="auto"/>
              <w:left w:val="threeDEmboss" w:sz="6" w:space="0" w:color="auto"/>
              <w:bottom w:val="threeDEmboss" w:sz="6" w:space="0" w:color="auto"/>
              <w:right w:val="threeDEmboss" w:sz="6" w:space="0" w:color="auto"/>
            </w:tcBorders>
          </w:tcPr>
          <w:p w:rsidR="001124F2" w:rsidRDefault="001124F2">
            <w:pPr>
              <w:pStyle w:val="11"/>
              <w:jc w:val="right"/>
              <w:rPr>
                <w:rFonts w:ascii="Arial" w:hAnsi="Arial"/>
                <w:sz w:val="20"/>
              </w:rPr>
            </w:pPr>
            <w:r>
              <w:rPr>
                <w:rFonts w:ascii="Arial" w:hAnsi="Arial"/>
                <w:sz w:val="20"/>
              </w:rPr>
              <w:t>+13,14</w:t>
            </w:r>
          </w:p>
        </w:tc>
        <w:tc>
          <w:tcPr>
            <w:tcW w:w="714" w:type="dxa"/>
            <w:tcBorders>
              <w:top w:val="threeDEmboss" w:sz="6" w:space="0" w:color="auto"/>
              <w:left w:val="threeDEmboss" w:sz="6" w:space="0" w:color="auto"/>
              <w:bottom w:val="threeDEmboss" w:sz="6" w:space="0" w:color="auto"/>
              <w:right w:val="threeDEmboss" w:sz="6" w:space="0" w:color="auto"/>
            </w:tcBorders>
          </w:tcPr>
          <w:p w:rsidR="001124F2" w:rsidRDefault="001124F2">
            <w:pPr>
              <w:pStyle w:val="11"/>
              <w:jc w:val="right"/>
              <w:rPr>
                <w:rFonts w:ascii="Arial" w:hAnsi="Arial"/>
                <w:sz w:val="20"/>
              </w:rPr>
            </w:pPr>
            <w:r>
              <w:rPr>
                <w:rFonts w:ascii="Arial" w:hAnsi="Arial"/>
                <w:sz w:val="20"/>
              </w:rPr>
              <w:t>+56,39</w:t>
            </w:r>
          </w:p>
        </w:tc>
        <w:tc>
          <w:tcPr>
            <w:tcW w:w="714" w:type="dxa"/>
            <w:tcBorders>
              <w:top w:val="threeDEmboss" w:sz="6" w:space="0" w:color="auto"/>
              <w:left w:val="threeDEmboss" w:sz="6" w:space="0" w:color="auto"/>
              <w:bottom w:val="threeDEmboss" w:sz="6" w:space="0" w:color="auto"/>
              <w:right w:val="threeDEmboss" w:sz="6" w:space="0" w:color="auto"/>
            </w:tcBorders>
          </w:tcPr>
          <w:p w:rsidR="001124F2" w:rsidRDefault="001124F2">
            <w:pPr>
              <w:pStyle w:val="11"/>
              <w:jc w:val="right"/>
              <w:rPr>
                <w:rFonts w:ascii="Arial" w:hAnsi="Arial"/>
                <w:sz w:val="20"/>
              </w:rPr>
            </w:pPr>
            <w:r>
              <w:rPr>
                <w:rFonts w:ascii="Arial" w:hAnsi="Arial"/>
                <w:sz w:val="20"/>
              </w:rPr>
              <w:t>+3,00</w:t>
            </w:r>
          </w:p>
        </w:tc>
        <w:tc>
          <w:tcPr>
            <w:tcW w:w="714" w:type="dxa"/>
            <w:tcBorders>
              <w:top w:val="threeDEmboss" w:sz="6" w:space="0" w:color="auto"/>
              <w:left w:val="threeDEmboss" w:sz="6" w:space="0" w:color="auto"/>
              <w:bottom w:val="threeDEmboss" w:sz="6" w:space="0" w:color="auto"/>
              <w:right w:val="threeDEmboss" w:sz="6" w:space="0" w:color="auto"/>
            </w:tcBorders>
          </w:tcPr>
          <w:p w:rsidR="001124F2" w:rsidRDefault="001124F2">
            <w:pPr>
              <w:pStyle w:val="11"/>
              <w:jc w:val="right"/>
              <w:rPr>
                <w:rFonts w:ascii="Arial" w:hAnsi="Arial"/>
                <w:sz w:val="20"/>
              </w:rPr>
            </w:pPr>
            <w:r>
              <w:rPr>
                <w:rFonts w:ascii="Arial" w:hAnsi="Arial"/>
                <w:sz w:val="20"/>
              </w:rPr>
              <w:t>+8,73</w:t>
            </w:r>
          </w:p>
        </w:tc>
        <w:tc>
          <w:tcPr>
            <w:tcW w:w="714" w:type="dxa"/>
            <w:tcBorders>
              <w:top w:val="threeDEmboss" w:sz="6" w:space="0" w:color="auto"/>
              <w:left w:val="threeDEmboss" w:sz="6" w:space="0" w:color="auto"/>
              <w:bottom w:val="threeDEmboss" w:sz="6" w:space="0" w:color="auto"/>
              <w:right w:val="threeDEmboss" w:sz="6" w:space="0" w:color="auto"/>
            </w:tcBorders>
          </w:tcPr>
          <w:p w:rsidR="001124F2" w:rsidRDefault="001124F2">
            <w:pPr>
              <w:pStyle w:val="11"/>
              <w:jc w:val="right"/>
              <w:rPr>
                <w:rFonts w:ascii="Arial" w:hAnsi="Arial"/>
                <w:sz w:val="20"/>
              </w:rPr>
            </w:pPr>
            <w:r>
              <w:rPr>
                <w:rFonts w:ascii="Arial" w:hAnsi="Arial"/>
                <w:sz w:val="20"/>
              </w:rPr>
              <w:t>+1,82</w:t>
            </w:r>
          </w:p>
        </w:tc>
        <w:tc>
          <w:tcPr>
            <w:tcW w:w="816" w:type="dxa"/>
            <w:tcBorders>
              <w:top w:val="threeDEmboss" w:sz="6" w:space="0" w:color="auto"/>
              <w:left w:val="threeDEmboss" w:sz="6" w:space="0" w:color="auto"/>
              <w:bottom w:val="threeDEmboss" w:sz="6" w:space="0" w:color="auto"/>
              <w:right w:val="threeDEmboss" w:sz="6" w:space="0" w:color="auto"/>
            </w:tcBorders>
          </w:tcPr>
          <w:p w:rsidR="001124F2" w:rsidRDefault="001124F2">
            <w:pPr>
              <w:pStyle w:val="11"/>
              <w:jc w:val="right"/>
              <w:rPr>
                <w:rFonts w:ascii="Arial" w:hAnsi="Arial"/>
                <w:sz w:val="20"/>
              </w:rPr>
            </w:pPr>
            <w:r>
              <w:rPr>
                <w:rFonts w:ascii="Arial" w:hAnsi="Arial"/>
                <w:sz w:val="20"/>
              </w:rPr>
              <w:t>+11,34</w:t>
            </w:r>
          </w:p>
        </w:tc>
      </w:tr>
      <w:tr w:rsidR="001124F2">
        <w:trPr>
          <w:jc w:val="center"/>
        </w:trPr>
        <w:tc>
          <w:tcPr>
            <w:tcW w:w="2686" w:type="dxa"/>
            <w:tcBorders>
              <w:top w:val="threeDEmboss" w:sz="6" w:space="0" w:color="auto"/>
              <w:left w:val="threeDEmboss" w:sz="6" w:space="0" w:color="auto"/>
              <w:bottom w:val="threeDEmboss" w:sz="6" w:space="0" w:color="auto"/>
              <w:right w:val="threeDEmboss" w:sz="6" w:space="0" w:color="auto"/>
            </w:tcBorders>
          </w:tcPr>
          <w:p w:rsidR="001124F2" w:rsidRDefault="001124F2">
            <w:pPr>
              <w:pStyle w:val="11"/>
              <w:jc w:val="both"/>
              <w:rPr>
                <w:rFonts w:ascii="Arial" w:hAnsi="Arial"/>
                <w:sz w:val="20"/>
              </w:rPr>
            </w:pPr>
            <w:r>
              <w:rPr>
                <w:rFonts w:ascii="Arial" w:hAnsi="Arial"/>
                <w:sz w:val="20"/>
              </w:rPr>
              <w:t>ДОХОДЫ ЦЕЛЕВЫХ БЮДЖЕТНЫХ ФОНДОВ</w:t>
            </w:r>
          </w:p>
        </w:tc>
        <w:tc>
          <w:tcPr>
            <w:tcW w:w="816" w:type="dxa"/>
            <w:tcBorders>
              <w:top w:val="threeDEmboss" w:sz="6" w:space="0" w:color="auto"/>
              <w:left w:val="threeDEmboss" w:sz="6" w:space="0" w:color="auto"/>
              <w:bottom w:val="threeDEmboss" w:sz="6" w:space="0" w:color="auto"/>
              <w:right w:val="threeDEmboss" w:sz="6" w:space="0" w:color="auto"/>
            </w:tcBorders>
          </w:tcPr>
          <w:p w:rsidR="001124F2" w:rsidRDefault="001124F2">
            <w:pPr>
              <w:pStyle w:val="11"/>
              <w:jc w:val="right"/>
              <w:rPr>
                <w:rFonts w:ascii="Arial" w:hAnsi="Arial"/>
                <w:sz w:val="20"/>
              </w:rPr>
            </w:pPr>
            <w:r>
              <w:rPr>
                <w:rFonts w:ascii="Arial" w:hAnsi="Arial"/>
                <w:sz w:val="20"/>
              </w:rPr>
              <w:t>+0,75</w:t>
            </w:r>
          </w:p>
        </w:tc>
        <w:tc>
          <w:tcPr>
            <w:tcW w:w="714" w:type="dxa"/>
            <w:tcBorders>
              <w:top w:val="threeDEmboss" w:sz="6" w:space="0" w:color="auto"/>
              <w:left w:val="threeDEmboss" w:sz="6" w:space="0" w:color="auto"/>
              <w:bottom w:val="threeDEmboss" w:sz="6" w:space="0" w:color="auto"/>
              <w:right w:val="threeDEmboss" w:sz="6" w:space="0" w:color="auto"/>
            </w:tcBorders>
          </w:tcPr>
          <w:p w:rsidR="001124F2" w:rsidRDefault="001124F2">
            <w:pPr>
              <w:pStyle w:val="11"/>
              <w:jc w:val="right"/>
              <w:rPr>
                <w:rFonts w:ascii="Arial" w:hAnsi="Arial"/>
                <w:sz w:val="20"/>
              </w:rPr>
            </w:pPr>
            <w:r>
              <w:rPr>
                <w:rFonts w:ascii="Arial" w:hAnsi="Arial"/>
                <w:sz w:val="20"/>
              </w:rPr>
              <w:t>+1,91</w:t>
            </w:r>
          </w:p>
        </w:tc>
        <w:tc>
          <w:tcPr>
            <w:tcW w:w="714" w:type="dxa"/>
            <w:tcBorders>
              <w:top w:val="threeDEmboss" w:sz="6" w:space="0" w:color="auto"/>
              <w:left w:val="threeDEmboss" w:sz="6" w:space="0" w:color="auto"/>
              <w:bottom w:val="threeDEmboss" w:sz="6" w:space="0" w:color="auto"/>
              <w:right w:val="threeDEmboss" w:sz="6" w:space="0" w:color="auto"/>
            </w:tcBorders>
          </w:tcPr>
          <w:p w:rsidR="001124F2" w:rsidRDefault="001124F2">
            <w:pPr>
              <w:pStyle w:val="11"/>
              <w:jc w:val="right"/>
              <w:rPr>
                <w:rFonts w:ascii="Arial" w:hAnsi="Arial"/>
                <w:sz w:val="20"/>
              </w:rPr>
            </w:pPr>
            <w:r>
              <w:rPr>
                <w:rFonts w:ascii="Arial" w:hAnsi="Arial"/>
                <w:sz w:val="20"/>
              </w:rPr>
              <w:t>-0,85</w:t>
            </w:r>
          </w:p>
        </w:tc>
        <w:tc>
          <w:tcPr>
            <w:tcW w:w="714" w:type="dxa"/>
            <w:tcBorders>
              <w:top w:val="threeDEmboss" w:sz="6" w:space="0" w:color="auto"/>
              <w:left w:val="threeDEmboss" w:sz="6" w:space="0" w:color="auto"/>
              <w:bottom w:val="threeDEmboss" w:sz="6" w:space="0" w:color="auto"/>
              <w:right w:val="threeDEmboss" w:sz="6" w:space="0" w:color="auto"/>
            </w:tcBorders>
          </w:tcPr>
          <w:p w:rsidR="001124F2" w:rsidRDefault="001124F2">
            <w:pPr>
              <w:pStyle w:val="11"/>
              <w:jc w:val="right"/>
              <w:rPr>
                <w:rFonts w:ascii="Arial" w:hAnsi="Arial"/>
                <w:sz w:val="20"/>
              </w:rPr>
            </w:pPr>
            <w:r>
              <w:rPr>
                <w:rFonts w:ascii="Arial" w:hAnsi="Arial"/>
                <w:sz w:val="20"/>
              </w:rPr>
              <w:t>-34,6</w:t>
            </w:r>
          </w:p>
        </w:tc>
        <w:tc>
          <w:tcPr>
            <w:tcW w:w="714" w:type="dxa"/>
            <w:tcBorders>
              <w:top w:val="threeDEmboss" w:sz="6" w:space="0" w:color="auto"/>
              <w:left w:val="threeDEmboss" w:sz="6" w:space="0" w:color="auto"/>
              <w:bottom w:val="threeDEmboss" w:sz="6" w:space="0" w:color="auto"/>
              <w:right w:val="threeDEmboss" w:sz="6" w:space="0" w:color="auto"/>
            </w:tcBorders>
          </w:tcPr>
          <w:p w:rsidR="001124F2" w:rsidRDefault="001124F2">
            <w:pPr>
              <w:pStyle w:val="11"/>
              <w:jc w:val="right"/>
              <w:rPr>
                <w:rFonts w:ascii="Arial" w:hAnsi="Arial"/>
                <w:sz w:val="20"/>
              </w:rPr>
            </w:pPr>
            <w:r>
              <w:rPr>
                <w:rFonts w:ascii="Arial" w:hAnsi="Arial"/>
                <w:sz w:val="20"/>
              </w:rPr>
              <w:t>-0,99</w:t>
            </w:r>
          </w:p>
        </w:tc>
        <w:tc>
          <w:tcPr>
            <w:tcW w:w="714" w:type="dxa"/>
            <w:tcBorders>
              <w:top w:val="threeDEmboss" w:sz="6" w:space="0" w:color="auto"/>
              <w:left w:val="threeDEmboss" w:sz="6" w:space="0" w:color="auto"/>
              <w:bottom w:val="threeDEmboss" w:sz="6" w:space="0" w:color="auto"/>
              <w:right w:val="threeDEmboss" w:sz="6" w:space="0" w:color="auto"/>
            </w:tcBorders>
          </w:tcPr>
          <w:p w:rsidR="001124F2" w:rsidRDefault="001124F2">
            <w:pPr>
              <w:pStyle w:val="11"/>
              <w:jc w:val="right"/>
              <w:rPr>
                <w:rFonts w:ascii="Arial" w:hAnsi="Arial"/>
                <w:sz w:val="20"/>
              </w:rPr>
            </w:pPr>
            <w:r>
              <w:rPr>
                <w:rFonts w:ascii="Arial" w:hAnsi="Arial"/>
                <w:sz w:val="20"/>
              </w:rPr>
              <w:t>-11,6</w:t>
            </w:r>
          </w:p>
        </w:tc>
        <w:tc>
          <w:tcPr>
            <w:tcW w:w="714" w:type="dxa"/>
            <w:tcBorders>
              <w:top w:val="threeDEmboss" w:sz="6" w:space="0" w:color="auto"/>
              <w:left w:val="threeDEmboss" w:sz="6" w:space="0" w:color="auto"/>
              <w:bottom w:val="threeDEmboss" w:sz="6" w:space="0" w:color="auto"/>
              <w:right w:val="threeDEmboss" w:sz="6" w:space="0" w:color="auto"/>
            </w:tcBorders>
          </w:tcPr>
          <w:p w:rsidR="001124F2" w:rsidRDefault="001124F2">
            <w:pPr>
              <w:pStyle w:val="11"/>
              <w:jc w:val="right"/>
              <w:rPr>
                <w:rFonts w:ascii="Arial" w:hAnsi="Arial"/>
                <w:sz w:val="20"/>
              </w:rPr>
            </w:pPr>
            <w:r>
              <w:rPr>
                <w:rFonts w:ascii="Arial" w:hAnsi="Arial"/>
                <w:sz w:val="20"/>
              </w:rPr>
              <w:t>0,18</w:t>
            </w:r>
          </w:p>
        </w:tc>
        <w:tc>
          <w:tcPr>
            <w:tcW w:w="714" w:type="dxa"/>
            <w:tcBorders>
              <w:top w:val="threeDEmboss" w:sz="6" w:space="0" w:color="auto"/>
              <w:left w:val="threeDEmboss" w:sz="6" w:space="0" w:color="auto"/>
              <w:bottom w:val="threeDEmboss" w:sz="6" w:space="0" w:color="auto"/>
              <w:right w:val="threeDEmboss" w:sz="6" w:space="0" w:color="auto"/>
            </w:tcBorders>
          </w:tcPr>
          <w:p w:rsidR="001124F2" w:rsidRDefault="001124F2">
            <w:pPr>
              <w:pStyle w:val="11"/>
              <w:jc w:val="right"/>
              <w:rPr>
                <w:rFonts w:ascii="Arial" w:hAnsi="Arial"/>
                <w:sz w:val="20"/>
              </w:rPr>
            </w:pPr>
            <w:r>
              <w:rPr>
                <w:rFonts w:ascii="Arial" w:hAnsi="Arial"/>
                <w:sz w:val="20"/>
              </w:rPr>
              <w:t>1,3</w:t>
            </w:r>
          </w:p>
        </w:tc>
        <w:tc>
          <w:tcPr>
            <w:tcW w:w="714" w:type="dxa"/>
            <w:tcBorders>
              <w:top w:val="threeDEmboss" w:sz="6" w:space="0" w:color="auto"/>
              <w:left w:val="threeDEmboss" w:sz="6" w:space="0" w:color="auto"/>
              <w:bottom w:val="threeDEmboss" w:sz="6" w:space="0" w:color="auto"/>
              <w:right w:val="threeDEmboss" w:sz="6" w:space="0" w:color="auto"/>
            </w:tcBorders>
          </w:tcPr>
          <w:p w:rsidR="001124F2" w:rsidRDefault="001124F2">
            <w:pPr>
              <w:pStyle w:val="11"/>
              <w:jc w:val="right"/>
              <w:rPr>
                <w:rFonts w:ascii="Arial" w:hAnsi="Arial"/>
                <w:sz w:val="20"/>
              </w:rPr>
            </w:pPr>
            <w:r>
              <w:rPr>
                <w:rFonts w:ascii="Arial" w:hAnsi="Arial"/>
                <w:sz w:val="20"/>
              </w:rPr>
              <w:t>-1,65</w:t>
            </w:r>
          </w:p>
        </w:tc>
        <w:tc>
          <w:tcPr>
            <w:tcW w:w="816" w:type="dxa"/>
            <w:tcBorders>
              <w:top w:val="threeDEmboss" w:sz="6" w:space="0" w:color="auto"/>
              <w:left w:val="threeDEmboss" w:sz="6" w:space="0" w:color="auto"/>
              <w:bottom w:val="threeDEmboss" w:sz="6" w:space="0" w:color="auto"/>
              <w:right w:val="threeDEmboss" w:sz="6" w:space="0" w:color="auto"/>
            </w:tcBorders>
          </w:tcPr>
          <w:p w:rsidR="001124F2" w:rsidRDefault="001124F2">
            <w:pPr>
              <w:pStyle w:val="11"/>
              <w:jc w:val="right"/>
              <w:rPr>
                <w:rFonts w:ascii="Arial" w:hAnsi="Arial"/>
                <w:sz w:val="20"/>
              </w:rPr>
            </w:pPr>
            <w:r>
              <w:rPr>
                <w:rFonts w:ascii="Arial" w:hAnsi="Arial"/>
                <w:sz w:val="20"/>
              </w:rPr>
              <w:t>-22,51</w:t>
            </w:r>
          </w:p>
        </w:tc>
      </w:tr>
    </w:tbl>
    <w:p w:rsidR="001124F2" w:rsidRDefault="001124F2">
      <w:pPr>
        <w:pStyle w:val="11"/>
        <w:spacing w:before="0" w:after="0"/>
        <w:ind w:firstLine="567"/>
        <w:jc w:val="both"/>
        <w:rPr>
          <w:rFonts w:ascii="Courier New" w:hAnsi="Courier New"/>
          <w:sz w:val="28"/>
        </w:rPr>
      </w:pPr>
    </w:p>
    <w:p w:rsidR="001124F2" w:rsidRDefault="001124F2">
      <w:pPr>
        <w:pStyle w:val="21"/>
        <w:tabs>
          <w:tab w:val="left" w:pos="142"/>
        </w:tabs>
        <w:spacing w:before="0" w:line="240" w:lineRule="auto"/>
        <w:jc w:val="center"/>
        <w:rPr>
          <w:sz w:val="28"/>
        </w:rPr>
      </w:pPr>
      <w:r>
        <w:br w:type="page"/>
      </w:r>
      <w:r>
        <w:rPr>
          <w:sz w:val="28"/>
        </w:rPr>
        <w:t>Анализ доходов федерального бюджета на 2002 год по сравнению с утвержденным и ожидаемым исполнением федерального бюджета за 2001 год (в номинальном выражении и сопоставимых ценах)</w:t>
      </w:r>
    </w:p>
    <w:p w:rsidR="001124F2" w:rsidRDefault="001124F2">
      <w:pPr>
        <w:pStyle w:val="21"/>
        <w:tabs>
          <w:tab w:val="left" w:pos="142"/>
        </w:tabs>
        <w:spacing w:before="0" w:line="240" w:lineRule="auto"/>
        <w:jc w:val="center"/>
        <w:rPr>
          <w:sz w:val="28"/>
        </w:rPr>
      </w:pPr>
    </w:p>
    <w:tbl>
      <w:tblPr>
        <w:tblW w:w="0" w:type="auto"/>
        <w:tblInd w:w="-6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31" w:type="dxa"/>
          <w:right w:w="31" w:type="dxa"/>
        </w:tblCellMar>
        <w:tblLook w:val="0000" w:firstRow="0" w:lastRow="0" w:firstColumn="0" w:lastColumn="0" w:noHBand="0" w:noVBand="0"/>
      </w:tblPr>
      <w:tblGrid>
        <w:gridCol w:w="2835"/>
        <w:gridCol w:w="714"/>
        <w:gridCol w:w="714"/>
        <w:gridCol w:w="714"/>
        <w:gridCol w:w="1"/>
        <w:gridCol w:w="713"/>
        <w:gridCol w:w="714"/>
        <w:gridCol w:w="714"/>
        <w:gridCol w:w="2"/>
        <w:gridCol w:w="712"/>
        <w:gridCol w:w="714"/>
        <w:gridCol w:w="714"/>
        <w:gridCol w:w="714"/>
        <w:gridCol w:w="714"/>
        <w:gridCol w:w="4"/>
      </w:tblGrid>
      <w:tr w:rsidR="001124F2">
        <w:trPr>
          <w:cantSplit/>
          <w:tblHeader/>
        </w:trPr>
        <w:tc>
          <w:tcPr>
            <w:tcW w:w="2835" w:type="dxa"/>
            <w:vMerge w:val="restart"/>
            <w:vAlign w:val="center"/>
          </w:tcPr>
          <w:p w:rsidR="001124F2" w:rsidRDefault="001124F2">
            <w:pPr>
              <w:jc w:val="center"/>
              <w:rPr>
                <w:rFonts w:ascii="Times New Roman" w:hAnsi="Times New Roman"/>
                <w:snapToGrid w:val="0"/>
                <w:color w:val="000000"/>
              </w:rPr>
            </w:pPr>
            <w:r>
              <w:rPr>
                <w:rFonts w:ascii="Times New Roman" w:hAnsi="Times New Roman"/>
                <w:snapToGrid w:val="0"/>
                <w:color w:val="000000"/>
              </w:rPr>
              <w:t>Наименование показателей</w:t>
            </w:r>
          </w:p>
        </w:tc>
        <w:tc>
          <w:tcPr>
            <w:tcW w:w="2143" w:type="dxa"/>
            <w:gridSpan w:val="4"/>
          </w:tcPr>
          <w:p w:rsidR="001124F2" w:rsidRDefault="001124F2">
            <w:pPr>
              <w:jc w:val="center"/>
              <w:rPr>
                <w:rFonts w:ascii="Times New Roman" w:hAnsi="Times New Roman"/>
                <w:snapToGrid w:val="0"/>
                <w:color w:val="000000"/>
              </w:rPr>
            </w:pPr>
            <w:r>
              <w:rPr>
                <w:rFonts w:ascii="Times New Roman" w:hAnsi="Times New Roman"/>
                <w:snapToGrid w:val="0"/>
                <w:color w:val="000000"/>
              </w:rPr>
              <w:t>Утверждено законом о бюджете на 2001 г.</w:t>
            </w:r>
          </w:p>
        </w:tc>
        <w:tc>
          <w:tcPr>
            <w:tcW w:w="2143" w:type="dxa"/>
            <w:gridSpan w:val="4"/>
          </w:tcPr>
          <w:p w:rsidR="001124F2" w:rsidRDefault="001124F2">
            <w:pPr>
              <w:jc w:val="center"/>
              <w:rPr>
                <w:rFonts w:ascii="Times New Roman" w:hAnsi="Times New Roman"/>
                <w:snapToGrid w:val="0"/>
                <w:color w:val="000000"/>
              </w:rPr>
            </w:pPr>
            <w:r>
              <w:rPr>
                <w:rFonts w:ascii="Times New Roman" w:hAnsi="Times New Roman"/>
                <w:snapToGrid w:val="0"/>
                <w:color w:val="000000"/>
              </w:rPr>
              <w:t>Ожидаемое поступление в 2001 г.</w:t>
            </w:r>
            <w:r>
              <w:rPr>
                <w:rStyle w:val="a8"/>
                <w:rFonts w:ascii="Times New Roman" w:hAnsi="Times New Roman"/>
                <w:snapToGrid w:val="0"/>
                <w:color w:val="000000"/>
              </w:rPr>
              <w:footnoteReference w:customMarkFollows="1" w:id="4"/>
              <w:t>*</w:t>
            </w:r>
          </w:p>
        </w:tc>
        <w:tc>
          <w:tcPr>
            <w:tcW w:w="3572" w:type="dxa"/>
            <w:gridSpan w:val="6"/>
          </w:tcPr>
          <w:p w:rsidR="001124F2" w:rsidRDefault="001124F2">
            <w:pPr>
              <w:jc w:val="center"/>
              <w:rPr>
                <w:rFonts w:ascii="Times New Roman" w:hAnsi="Times New Roman"/>
                <w:snapToGrid w:val="0"/>
                <w:color w:val="000000"/>
              </w:rPr>
            </w:pPr>
            <w:r>
              <w:rPr>
                <w:rFonts w:ascii="Times New Roman" w:hAnsi="Times New Roman"/>
                <w:snapToGrid w:val="0"/>
                <w:color w:val="000000"/>
              </w:rPr>
              <w:t>Планируемый бюджета на 2002 г.</w:t>
            </w:r>
          </w:p>
        </w:tc>
      </w:tr>
      <w:tr w:rsidR="001124F2">
        <w:trPr>
          <w:gridAfter w:val="1"/>
          <w:cantSplit/>
          <w:tblHeader/>
        </w:trPr>
        <w:tc>
          <w:tcPr>
            <w:tcW w:w="2835" w:type="dxa"/>
            <w:vMerge/>
          </w:tcPr>
          <w:p w:rsidR="001124F2" w:rsidRDefault="001124F2">
            <w:pPr>
              <w:rPr>
                <w:rFonts w:ascii="Times New Roman" w:hAnsi="Times New Roman"/>
                <w:snapToGrid w:val="0"/>
                <w:color w:val="000000"/>
              </w:rPr>
            </w:pPr>
          </w:p>
        </w:tc>
        <w:tc>
          <w:tcPr>
            <w:tcW w:w="714" w:type="dxa"/>
            <w:vMerge w:val="restart"/>
            <w:vAlign w:val="center"/>
          </w:tcPr>
          <w:p w:rsidR="001124F2" w:rsidRDefault="001124F2">
            <w:pPr>
              <w:rPr>
                <w:rFonts w:ascii="Times New Roman" w:hAnsi="Times New Roman"/>
                <w:snapToGrid w:val="0"/>
                <w:color w:val="000000"/>
              </w:rPr>
            </w:pPr>
            <w:r>
              <w:rPr>
                <w:rFonts w:ascii="Times New Roman" w:hAnsi="Times New Roman"/>
                <w:snapToGrid w:val="0"/>
                <w:color w:val="000000"/>
              </w:rPr>
              <w:t>млрд. руб.</w:t>
            </w:r>
          </w:p>
        </w:tc>
        <w:tc>
          <w:tcPr>
            <w:tcW w:w="714" w:type="dxa"/>
            <w:vMerge w:val="restart"/>
            <w:vAlign w:val="center"/>
          </w:tcPr>
          <w:p w:rsidR="001124F2" w:rsidRDefault="001124F2">
            <w:pPr>
              <w:rPr>
                <w:rFonts w:ascii="Times New Roman" w:hAnsi="Times New Roman"/>
                <w:snapToGrid w:val="0"/>
                <w:color w:val="000000"/>
              </w:rPr>
            </w:pPr>
            <w:r>
              <w:rPr>
                <w:rFonts w:ascii="Times New Roman" w:hAnsi="Times New Roman"/>
                <w:snapToGrid w:val="0"/>
                <w:color w:val="000000"/>
              </w:rPr>
              <w:t>в % к ВВП</w:t>
            </w:r>
          </w:p>
          <w:p w:rsidR="001124F2" w:rsidRDefault="001124F2">
            <w:pPr>
              <w:rPr>
                <w:rFonts w:ascii="Times New Roman" w:hAnsi="Times New Roman"/>
                <w:snapToGrid w:val="0"/>
                <w:color w:val="000000"/>
              </w:rPr>
            </w:pPr>
            <w:r>
              <w:rPr>
                <w:rFonts w:ascii="Times New Roman" w:hAnsi="Times New Roman"/>
                <w:snapToGrid w:val="0"/>
                <w:color w:val="000000"/>
              </w:rPr>
              <w:t>(7750)</w:t>
            </w:r>
          </w:p>
        </w:tc>
        <w:tc>
          <w:tcPr>
            <w:tcW w:w="714" w:type="dxa"/>
            <w:vMerge w:val="restart"/>
            <w:vAlign w:val="center"/>
          </w:tcPr>
          <w:p w:rsidR="001124F2" w:rsidRDefault="001124F2">
            <w:pPr>
              <w:rPr>
                <w:rFonts w:ascii="Times New Roman" w:hAnsi="Times New Roman"/>
                <w:snapToGrid w:val="0"/>
                <w:color w:val="000000"/>
              </w:rPr>
            </w:pPr>
            <w:r>
              <w:rPr>
                <w:rFonts w:ascii="Times New Roman" w:hAnsi="Times New Roman"/>
                <w:snapToGrid w:val="0"/>
                <w:color w:val="000000"/>
              </w:rPr>
              <w:t>струк-тура</w:t>
            </w:r>
          </w:p>
        </w:tc>
        <w:tc>
          <w:tcPr>
            <w:tcW w:w="714" w:type="dxa"/>
            <w:gridSpan w:val="2"/>
            <w:vMerge w:val="restart"/>
            <w:vAlign w:val="center"/>
          </w:tcPr>
          <w:p w:rsidR="001124F2" w:rsidRDefault="001124F2">
            <w:pPr>
              <w:rPr>
                <w:rFonts w:ascii="Times New Roman" w:hAnsi="Times New Roman"/>
                <w:snapToGrid w:val="0"/>
                <w:color w:val="000000"/>
              </w:rPr>
            </w:pPr>
            <w:r>
              <w:rPr>
                <w:rFonts w:ascii="Times New Roman" w:hAnsi="Times New Roman"/>
                <w:snapToGrid w:val="0"/>
                <w:color w:val="000000"/>
              </w:rPr>
              <w:t>млрд. руб.</w:t>
            </w:r>
          </w:p>
        </w:tc>
        <w:tc>
          <w:tcPr>
            <w:tcW w:w="714" w:type="dxa"/>
            <w:vMerge w:val="restart"/>
            <w:vAlign w:val="center"/>
          </w:tcPr>
          <w:p w:rsidR="001124F2" w:rsidRDefault="001124F2">
            <w:pPr>
              <w:rPr>
                <w:rFonts w:ascii="Times New Roman" w:hAnsi="Times New Roman"/>
                <w:snapToGrid w:val="0"/>
                <w:color w:val="000000"/>
              </w:rPr>
            </w:pPr>
            <w:r>
              <w:rPr>
                <w:rFonts w:ascii="Times New Roman" w:hAnsi="Times New Roman"/>
                <w:snapToGrid w:val="0"/>
                <w:color w:val="000000"/>
              </w:rPr>
              <w:t>в % к ВВП</w:t>
            </w:r>
          </w:p>
          <w:p w:rsidR="001124F2" w:rsidRDefault="001124F2">
            <w:pPr>
              <w:jc w:val="center"/>
              <w:rPr>
                <w:rFonts w:ascii="Times New Roman" w:hAnsi="Times New Roman"/>
                <w:snapToGrid w:val="0"/>
                <w:color w:val="000000"/>
              </w:rPr>
            </w:pPr>
            <w:r>
              <w:rPr>
                <w:rFonts w:ascii="Times New Roman" w:hAnsi="Times New Roman"/>
                <w:snapToGrid w:val="0"/>
                <w:color w:val="000000"/>
              </w:rPr>
              <w:t>(8850)</w:t>
            </w:r>
          </w:p>
        </w:tc>
        <w:tc>
          <w:tcPr>
            <w:tcW w:w="714" w:type="dxa"/>
            <w:vMerge w:val="restart"/>
            <w:vAlign w:val="center"/>
          </w:tcPr>
          <w:p w:rsidR="001124F2" w:rsidRDefault="001124F2">
            <w:pPr>
              <w:rPr>
                <w:rFonts w:ascii="Times New Roman" w:hAnsi="Times New Roman"/>
                <w:snapToGrid w:val="0"/>
                <w:color w:val="000000"/>
              </w:rPr>
            </w:pPr>
            <w:r>
              <w:rPr>
                <w:rFonts w:ascii="Times New Roman" w:hAnsi="Times New Roman"/>
                <w:snapToGrid w:val="0"/>
                <w:color w:val="000000"/>
              </w:rPr>
              <w:t>струк- тура</w:t>
            </w:r>
          </w:p>
        </w:tc>
        <w:tc>
          <w:tcPr>
            <w:tcW w:w="714" w:type="dxa"/>
            <w:gridSpan w:val="2"/>
            <w:vMerge w:val="restart"/>
            <w:vAlign w:val="center"/>
          </w:tcPr>
          <w:p w:rsidR="001124F2" w:rsidRDefault="001124F2">
            <w:pPr>
              <w:rPr>
                <w:rFonts w:ascii="Times New Roman" w:hAnsi="Times New Roman"/>
                <w:snapToGrid w:val="0"/>
                <w:color w:val="000000"/>
              </w:rPr>
            </w:pPr>
            <w:r>
              <w:rPr>
                <w:rFonts w:ascii="Times New Roman" w:hAnsi="Times New Roman"/>
                <w:snapToGrid w:val="0"/>
                <w:color w:val="000000"/>
              </w:rPr>
              <w:t>млрд. руб.</w:t>
            </w:r>
          </w:p>
        </w:tc>
        <w:tc>
          <w:tcPr>
            <w:tcW w:w="714" w:type="dxa"/>
            <w:vMerge w:val="restart"/>
            <w:vAlign w:val="center"/>
          </w:tcPr>
          <w:p w:rsidR="001124F2" w:rsidRDefault="001124F2">
            <w:pPr>
              <w:rPr>
                <w:rFonts w:ascii="Times New Roman" w:hAnsi="Times New Roman"/>
                <w:snapToGrid w:val="0"/>
                <w:color w:val="000000"/>
              </w:rPr>
            </w:pPr>
            <w:r>
              <w:rPr>
                <w:rFonts w:ascii="Times New Roman" w:hAnsi="Times New Roman"/>
                <w:snapToGrid w:val="0"/>
                <w:color w:val="000000"/>
              </w:rPr>
              <w:t>в % к ВВП</w:t>
            </w:r>
          </w:p>
          <w:p w:rsidR="001124F2" w:rsidRDefault="001124F2">
            <w:pPr>
              <w:rPr>
                <w:rFonts w:ascii="Times New Roman" w:hAnsi="Times New Roman"/>
                <w:snapToGrid w:val="0"/>
                <w:color w:val="000000"/>
              </w:rPr>
            </w:pPr>
            <w:r>
              <w:rPr>
                <w:rFonts w:ascii="Times New Roman" w:hAnsi="Times New Roman"/>
                <w:snapToGrid w:val="0"/>
                <w:color w:val="000000"/>
              </w:rPr>
              <w:t>(10600)</w:t>
            </w:r>
          </w:p>
        </w:tc>
        <w:tc>
          <w:tcPr>
            <w:tcW w:w="714" w:type="dxa"/>
            <w:vMerge w:val="restart"/>
            <w:vAlign w:val="center"/>
          </w:tcPr>
          <w:p w:rsidR="001124F2" w:rsidRDefault="001124F2">
            <w:pPr>
              <w:rPr>
                <w:rFonts w:ascii="Times New Roman" w:hAnsi="Times New Roman"/>
                <w:snapToGrid w:val="0"/>
                <w:color w:val="000000"/>
              </w:rPr>
            </w:pPr>
            <w:r>
              <w:rPr>
                <w:rFonts w:ascii="Times New Roman" w:hAnsi="Times New Roman"/>
                <w:snapToGrid w:val="0"/>
                <w:color w:val="000000"/>
              </w:rPr>
              <w:t>струк-тура</w:t>
            </w:r>
          </w:p>
        </w:tc>
        <w:tc>
          <w:tcPr>
            <w:tcW w:w="1428" w:type="dxa"/>
            <w:gridSpan w:val="2"/>
            <w:vAlign w:val="center"/>
          </w:tcPr>
          <w:p w:rsidR="001124F2" w:rsidRDefault="001124F2">
            <w:pPr>
              <w:jc w:val="center"/>
              <w:rPr>
                <w:rFonts w:ascii="Times New Roman" w:hAnsi="Times New Roman"/>
                <w:snapToGrid w:val="0"/>
                <w:color w:val="000000"/>
              </w:rPr>
            </w:pPr>
            <w:r>
              <w:rPr>
                <w:rFonts w:ascii="Times New Roman" w:hAnsi="Times New Roman"/>
                <w:snapToGrid w:val="0"/>
                <w:color w:val="000000"/>
              </w:rPr>
              <w:t>в % к закону</w:t>
            </w:r>
          </w:p>
        </w:tc>
      </w:tr>
      <w:tr w:rsidR="001124F2">
        <w:trPr>
          <w:gridAfter w:val="1"/>
          <w:cantSplit/>
          <w:tblHeader/>
        </w:trPr>
        <w:tc>
          <w:tcPr>
            <w:tcW w:w="2835" w:type="dxa"/>
            <w:vMerge/>
          </w:tcPr>
          <w:p w:rsidR="001124F2" w:rsidRDefault="001124F2">
            <w:pPr>
              <w:rPr>
                <w:rFonts w:ascii="Times New Roman" w:hAnsi="Times New Roman"/>
                <w:snapToGrid w:val="0"/>
                <w:color w:val="000000"/>
              </w:rPr>
            </w:pPr>
          </w:p>
        </w:tc>
        <w:tc>
          <w:tcPr>
            <w:tcW w:w="714" w:type="dxa"/>
            <w:vMerge/>
            <w:vAlign w:val="center"/>
          </w:tcPr>
          <w:p w:rsidR="001124F2" w:rsidRDefault="001124F2">
            <w:pPr>
              <w:rPr>
                <w:rFonts w:ascii="Times New Roman" w:hAnsi="Times New Roman"/>
                <w:snapToGrid w:val="0"/>
                <w:color w:val="000000"/>
              </w:rPr>
            </w:pPr>
          </w:p>
        </w:tc>
        <w:tc>
          <w:tcPr>
            <w:tcW w:w="714" w:type="dxa"/>
            <w:vMerge/>
            <w:vAlign w:val="center"/>
          </w:tcPr>
          <w:p w:rsidR="001124F2" w:rsidRDefault="001124F2">
            <w:pPr>
              <w:rPr>
                <w:rFonts w:ascii="Times New Roman" w:hAnsi="Times New Roman"/>
                <w:snapToGrid w:val="0"/>
                <w:color w:val="000000"/>
              </w:rPr>
            </w:pPr>
          </w:p>
        </w:tc>
        <w:tc>
          <w:tcPr>
            <w:tcW w:w="714" w:type="dxa"/>
            <w:vMerge/>
            <w:vAlign w:val="center"/>
          </w:tcPr>
          <w:p w:rsidR="001124F2" w:rsidRDefault="001124F2">
            <w:pPr>
              <w:rPr>
                <w:rFonts w:ascii="Times New Roman" w:hAnsi="Times New Roman"/>
                <w:snapToGrid w:val="0"/>
                <w:color w:val="000000"/>
              </w:rPr>
            </w:pPr>
          </w:p>
        </w:tc>
        <w:tc>
          <w:tcPr>
            <w:tcW w:w="714" w:type="dxa"/>
            <w:gridSpan w:val="2"/>
            <w:vMerge/>
            <w:vAlign w:val="center"/>
          </w:tcPr>
          <w:p w:rsidR="001124F2" w:rsidRDefault="001124F2">
            <w:pPr>
              <w:rPr>
                <w:rFonts w:ascii="Times New Roman" w:hAnsi="Times New Roman"/>
                <w:snapToGrid w:val="0"/>
                <w:color w:val="000000"/>
              </w:rPr>
            </w:pPr>
          </w:p>
        </w:tc>
        <w:tc>
          <w:tcPr>
            <w:tcW w:w="714" w:type="dxa"/>
            <w:vMerge/>
            <w:vAlign w:val="center"/>
          </w:tcPr>
          <w:p w:rsidR="001124F2" w:rsidRDefault="001124F2">
            <w:pPr>
              <w:jc w:val="center"/>
              <w:rPr>
                <w:rFonts w:ascii="Times New Roman" w:hAnsi="Times New Roman"/>
                <w:snapToGrid w:val="0"/>
                <w:color w:val="000000"/>
              </w:rPr>
            </w:pPr>
          </w:p>
        </w:tc>
        <w:tc>
          <w:tcPr>
            <w:tcW w:w="714" w:type="dxa"/>
            <w:vMerge/>
            <w:vAlign w:val="center"/>
          </w:tcPr>
          <w:p w:rsidR="001124F2" w:rsidRDefault="001124F2">
            <w:pPr>
              <w:rPr>
                <w:rFonts w:ascii="Times New Roman" w:hAnsi="Times New Roman"/>
                <w:snapToGrid w:val="0"/>
                <w:color w:val="000000"/>
              </w:rPr>
            </w:pPr>
          </w:p>
        </w:tc>
        <w:tc>
          <w:tcPr>
            <w:tcW w:w="714" w:type="dxa"/>
            <w:gridSpan w:val="2"/>
            <w:vMerge/>
            <w:vAlign w:val="center"/>
          </w:tcPr>
          <w:p w:rsidR="001124F2" w:rsidRDefault="001124F2">
            <w:pPr>
              <w:rPr>
                <w:rFonts w:ascii="Times New Roman" w:hAnsi="Times New Roman"/>
                <w:snapToGrid w:val="0"/>
                <w:color w:val="000000"/>
              </w:rPr>
            </w:pPr>
          </w:p>
        </w:tc>
        <w:tc>
          <w:tcPr>
            <w:tcW w:w="714" w:type="dxa"/>
            <w:vMerge/>
            <w:vAlign w:val="center"/>
          </w:tcPr>
          <w:p w:rsidR="001124F2" w:rsidRDefault="001124F2">
            <w:pPr>
              <w:rPr>
                <w:rFonts w:ascii="Times New Roman" w:hAnsi="Times New Roman"/>
                <w:snapToGrid w:val="0"/>
                <w:color w:val="000000"/>
              </w:rPr>
            </w:pPr>
          </w:p>
        </w:tc>
        <w:tc>
          <w:tcPr>
            <w:tcW w:w="714" w:type="dxa"/>
            <w:vMerge/>
            <w:vAlign w:val="center"/>
          </w:tcPr>
          <w:p w:rsidR="001124F2" w:rsidRDefault="001124F2">
            <w:pPr>
              <w:rPr>
                <w:rFonts w:ascii="Times New Roman" w:hAnsi="Times New Roman"/>
                <w:snapToGrid w:val="0"/>
                <w:color w:val="000000"/>
              </w:rPr>
            </w:pPr>
          </w:p>
        </w:tc>
        <w:tc>
          <w:tcPr>
            <w:tcW w:w="714" w:type="dxa"/>
            <w:vAlign w:val="center"/>
          </w:tcPr>
          <w:p w:rsidR="001124F2" w:rsidRDefault="001124F2">
            <w:pPr>
              <w:jc w:val="center"/>
              <w:rPr>
                <w:rFonts w:ascii="Times New Roman" w:hAnsi="Times New Roman"/>
                <w:snapToGrid w:val="0"/>
                <w:color w:val="000000"/>
              </w:rPr>
            </w:pPr>
            <w:r>
              <w:rPr>
                <w:rFonts w:ascii="Times New Roman" w:hAnsi="Times New Roman"/>
                <w:snapToGrid w:val="0"/>
                <w:color w:val="000000"/>
              </w:rPr>
              <w:t xml:space="preserve">темпы роста  </w:t>
            </w:r>
            <w:r>
              <w:rPr>
                <w:rFonts w:ascii="Times New Roman" w:hAnsi="Times New Roman"/>
                <w:snapToGrid w:val="0"/>
                <w:color w:val="000000"/>
                <w:sz w:val="18"/>
              </w:rPr>
              <w:t>(ном.)</w:t>
            </w:r>
          </w:p>
        </w:tc>
        <w:tc>
          <w:tcPr>
            <w:tcW w:w="714" w:type="dxa"/>
            <w:vAlign w:val="center"/>
          </w:tcPr>
          <w:p w:rsidR="001124F2" w:rsidRDefault="001124F2">
            <w:pPr>
              <w:rPr>
                <w:rFonts w:ascii="Times New Roman" w:hAnsi="Times New Roman"/>
                <w:snapToGrid w:val="0"/>
                <w:color w:val="000000"/>
              </w:rPr>
            </w:pPr>
            <w:r>
              <w:rPr>
                <w:rFonts w:ascii="Times New Roman" w:hAnsi="Times New Roman"/>
                <w:snapToGrid w:val="0"/>
                <w:color w:val="000000"/>
              </w:rPr>
              <w:t xml:space="preserve">темпы роста </w:t>
            </w:r>
            <w:r>
              <w:rPr>
                <w:rFonts w:ascii="Times New Roman" w:hAnsi="Times New Roman"/>
                <w:snapToGrid w:val="0"/>
                <w:color w:val="000000"/>
                <w:sz w:val="16"/>
              </w:rPr>
              <w:t>(реал.</w:t>
            </w:r>
            <w:r>
              <w:rPr>
                <w:rStyle w:val="a8"/>
                <w:rFonts w:ascii="Times New Roman" w:hAnsi="Times New Roman"/>
                <w:snapToGrid w:val="0"/>
                <w:color w:val="000000"/>
                <w:sz w:val="16"/>
              </w:rPr>
              <w:footnoteReference w:customMarkFollows="1" w:id="5"/>
              <w:t>**</w:t>
            </w:r>
            <w:r>
              <w:rPr>
                <w:rFonts w:ascii="Times New Roman" w:hAnsi="Times New Roman"/>
                <w:snapToGrid w:val="0"/>
                <w:color w:val="000000"/>
                <w:sz w:val="16"/>
              </w:rPr>
              <w:t>)</w:t>
            </w:r>
          </w:p>
        </w:tc>
      </w:tr>
      <w:tr w:rsidR="001124F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cantSplit/>
        </w:trPr>
        <w:tc>
          <w:tcPr>
            <w:tcW w:w="2835" w:type="dxa"/>
          </w:tcPr>
          <w:p w:rsidR="001124F2" w:rsidRDefault="001124F2">
            <w:pPr>
              <w:rPr>
                <w:rFonts w:ascii="Times New Roman" w:hAnsi="Times New Roman"/>
                <w:b/>
                <w:snapToGrid w:val="0"/>
                <w:color w:val="000000"/>
              </w:rPr>
            </w:pPr>
            <w:r>
              <w:rPr>
                <w:rFonts w:ascii="Times New Roman" w:hAnsi="Times New Roman"/>
                <w:b/>
                <w:snapToGrid w:val="0"/>
                <w:color w:val="000000"/>
              </w:rPr>
              <w:t>НАЛОГОВЫЕ ДОХОДЫ</w:t>
            </w:r>
          </w:p>
        </w:tc>
        <w:tc>
          <w:tcPr>
            <w:tcW w:w="714" w:type="dxa"/>
            <w:vAlign w:val="center"/>
          </w:tcPr>
          <w:p w:rsidR="001124F2" w:rsidRDefault="001124F2">
            <w:pPr>
              <w:jc w:val="right"/>
              <w:rPr>
                <w:rFonts w:ascii="Times New Roman" w:hAnsi="Times New Roman"/>
                <w:b/>
                <w:snapToGrid w:val="0"/>
                <w:color w:val="000000"/>
                <w:sz w:val="16"/>
              </w:rPr>
            </w:pPr>
            <w:r>
              <w:rPr>
                <w:rFonts w:ascii="Times New Roman" w:hAnsi="Times New Roman"/>
                <w:b/>
                <w:snapToGrid w:val="0"/>
                <w:color w:val="000000"/>
                <w:sz w:val="16"/>
              </w:rPr>
              <w:t>1 115,33</w:t>
            </w:r>
          </w:p>
        </w:tc>
        <w:tc>
          <w:tcPr>
            <w:tcW w:w="714" w:type="dxa"/>
            <w:vAlign w:val="center"/>
          </w:tcPr>
          <w:p w:rsidR="001124F2" w:rsidRDefault="001124F2">
            <w:pPr>
              <w:jc w:val="right"/>
              <w:rPr>
                <w:rFonts w:ascii="Times New Roman" w:hAnsi="Times New Roman"/>
                <w:b/>
                <w:snapToGrid w:val="0"/>
                <w:color w:val="000000"/>
                <w:sz w:val="16"/>
              </w:rPr>
            </w:pPr>
            <w:r>
              <w:rPr>
                <w:rFonts w:ascii="Times New Roman" w:hAnsi="Times New Roman"/>
                <w:b/>
                <w:snapToGrid w:val="0"/>
                <w:color w:val="000000"/>
                <w:sz w:val="16"/>
              </w:rPr>
              <w:t>14,39</w:t>
            </w:r>
          </w:p>
        </w:tc>
        <w:tc>
          <w:tcPr>
            <w:tcW w:w="714" w:type="dxa"/>
            <w:vAlign w:val="center"/>
          </w:tcPr>
          <w:p w:rsidR="001124F2" w:rsidRDefault="001124F2">
            <w:pPr>
              <w:jc w:val="right"/>
              <w:rPr>
                <w:rFonts w:ascii="Times New Roman" w:hAnsi="Times New Roman"/>
                <w:b/>
                <w:snapToGrid w:val="0"/>
                <w:color w:val="000000"/>
                <w:sz w:val="16"/>
              </w:rPr>
            </w:pPr>
            <w:r>
              <w:rPr>
                <w:rFonts w:ascii="Times New Roman" w:hAnsi="Times New Roman"/>
                <w:b/>
                <w:snapToGrid w:val="0"/>
                <w:color w:val="000000"/>
                <w:sz w:val="16"/>
              </w:rPr>
              <w:t>93,45</w:t>
            </w:r>
          </w:p>
        </w:tc>
        <w:tc>
          <w:tcPr>
            <w:tcW w:w="714" w:type="dxa"/>
            <w:gridSpan w:val="2"/>
            <w:vAlign w:val="center"/>
          </w:tcPr>
          <w:p w:rsidR="001124F2" w:rsidRDefault="001124F2">
            <w:pPr>
              <w:jc w:val="right"/>
              <w:rPr>
                <w:rFonts w:ascii="Times New Roman" w:hAnsi="Times New Roman"/>
                <w:b/>
                <w:snapToGrid w:val="0"/>
                <w:color w:val="000000"/>
                <w:sz w:val="16"/>
              </w:rPr>
            </w:pPr>
            <w:r>
              <w:rPr>
                <w:rFonts w:ascii="Times New Roman" w:hAnsi="Times New Roman"/>
                <w:b/>
                <w:snapToGrid w:val="0"/>
                <w:color w:val="000000"/>
                <w:sz w:val="16"/>
              </w:rPr>
              <w:t>1 382,62</w:t>
            </w:r>
          </w:p>
        </w:tc>
        <w:tc>
          <w:tcPr>
            <w:tcW w:w="714" w:type="dxa"/>
            <w:vAlign w:val="center"/>
          </w:tcPr>
          <w:p w:rsidR="001124F2" w:rsidRDefault="001124F2">
            <w:pPr>
              <w:jc w:val="right"/>
              <w:rPr>
                <w:rFonts w:ascii="Times New Roman" w:hAnsi="Times New Roman"/>
                <w:b/>
                <w:snapToGrid w:val="0"/>
                <w:color w:val="000000"/>
                <w:sz w:val="16"/>
              </w:rPr>
            </w:pPr>
            <w:r>
              <w:rPr>
                <w:rFonts w:ascii="Times New Roman" w:hAnsi="Times New Roman"/>
                <w:b/>
                <w:snapToGrid w:val="0"/>
                <w:color w:val="000000"/>
                <w:sz w:val="16"/>
              </w:rPr>
              <w:t>15,62</w:t>
            </w:r>
          </w:p>
        </w:tc>
        <w:tc>
          <w:tcPr>
            <w:tcW w:w="714" w:type="dxa"/>
            <w:vAlign w:val="center"/>
          </w:tcPr>
          <w:p w:rsidR="001124F2" w:rsidRDefault="001124F2">
            <w:pPr>
              <w:jc w:val="right"/>
              <w:rPr>
                <w:rFonts w:ascii="Times New Roman" w:hAnsi="Times New Roman"/>
                <w:b/>
                <w:snapToGrid w:val="0"/>
                <w:color w:val="000000"/>
                <w:sz w:val="16"/>
              </w:rPr>
            </w:pPr>
            <w:r>
              <w:rPr>
                <w:rFonts w:ascii="Times New Roman" w:hAnsi="Times New Roman"/>
                <w:b/>
                <w:snapToGrid w:val="0"/>
                <w:color w:val="000000"/>
                <w:sz w:val="16"/>
              </w:rPr>
              <w:t>94,30</w:t>
            </w:r>
          </w:p>
        </w:tc>
        <w:tc>
          <w:tcPr>
            <w:tcW w:w="714" w:type="dxa"/>
            <w:gridSpan w:val="2"/>
            <w:vAlign w:val="center"/>
          </w:tcPr>
          <w:p w:rsidR="001124F2" w:rsidRDefault="001124F2">
            <w:pPr>
              <w:jc w:val="right"/>
              <w:rPr>
                <w:rFonts w:ascii="Times New Roman" w:hAnsi="Times New Roman"/>
                <w:b/>
                <w:snapToGrid w:val="0"/>
                <w:color w:val="000000"/>
                <w:sz w:val="16"/>
              </w:rPr>
            </w:pPr>
            <w:r>
              <w:rPr>
                <w:rFonts w:ascii="Times New Roman" w:hAnsi="Times New Roman"/>
                <w:b/>
                <w:snapToGrid w:val="0"/>
                <w:color w:val="000000"/>
                <w:sz w:val="16"/>
              </w:rPr>
              <w:t>1 626,28</w:t>
            </w:r>
          </w:p>
        </w:tc>
        <w:tc>
          <w:tcPr>
            <w:tcW w:w="714" w:type="dxa"/>
            <w:vAlign w:val="center"/>
          </w:tcPr>
          <w:p w:rsidR="001124F2" w:rsidRDefault="001124F2">
            <w:pPr>
              <w:jc w:val="right"/>
              <w:rPr>
                <w:rFonts w:ascii="Times New Roman" w:hAnsi="Times New Roman"/>
                <w:b/>
                <w:snapToGrid w:val="0"/>
                <w:color w:val="000000"/>
                <w:sz w:val="16"/>
              </w:rPr>
            </w:pPr>
            <w:r>
              <w:rPr>
                <w:rFonts w:ascii="Times New Roman" w:hAnsi="Times New Roman"/>
                <w:b/>
                <w:snapToGrid w:val="0"/>
                <w:color w:val="000000"/>
                <w:sz w:val="16"/>
              </w:rPr>
              <w:t>15,34</w:t>
            </w:r>
          </w:p>
        </w:tc>
        <w:tc>
          <w:tcPr>
            <w:tcW w:w="714" w:type="dxa"/>
            <w:vAlign w:val="center"/>
          </w:tcPr>
          <w:p w:rsidR="001124F2" w:rsidRDefault="001124F2">
            <w:pPr>
              <w:jc w:val="right"/>
              <w:rPr>
                <w:rFonts w:ascii="Times New Roman" w:hAnsi="Times New Roman"/>
                <w:b/>
                <w:snapToGrid w:val="0"/>
                <w:color w:val="000000"/>
                <w:sz w:val="16"/>
              </w:rPr>
            </w:pPr>
            <w:r>
              <w:rPr>
                <w:rFonts w:ascii="Times New Roman" w:hAnsi="Times New Roman"/>
                <w:b/>
                <w:snapToGrid w:val="0"/>
                <w:color w:val="000000"/>
                <w:sz w:val="16"/>
              </w:rPr>
              <w:t>93,42</w:t>
            </w:r>
          </w:p>
        </w:tc>
        <w:tc>
          <w:tcPr>
            <w:tcW w:w="714" w:type="dxa"/>
            <w:vAlign w:val="center"/>
          </w:tcPr>
          <w:p w:rsidR="001124F2" w:rsidRDefault="001124F2">
            <w:pPr>
              <w:jc w:val="right"/>
              <w:rPr>
                <w:rFonts w:ascii="Times New Roman" w:hAnsi="Times New Roman"/>
                <w:b/>
                <w:snapToGrid w:val="0"/>
                <w:color w:val="000000"/>
                <w:sz w:val="16"/>
              </w:rPr>
            </w:pPr>
            <w:r>
              <w:rPr>
                <w:rFonts w:ascii="Times New Roman" w:hAnsi="Times New Roman"/>
                <w:b/>
                <w:snapToGrid w:val="0"/>
                <w:color w:val="000000"/>
                <w:sz w:val="16"/>
              </w:rPr>
              <w:t>145,81</w:t>
            </w:r>
          </w:p>
        </w:tc>
        <w:tc>
          <w:tcPr>
            <w:tcW w:w="714" w:type="dxa"/>
            <w:vAlign w:val="center"/>
          </w:tcPr>
          <w:p w:rsidR="001124F2" w:rsidRDefault="001124F2">
            <w:pPr>
              <w:jc w:val="right"/>
              <w:rPr>
                <w:rFonts w:ascii="Times New Roman" w:hAnsi="Times New Roman"/>
                <w:b/>
                <w:snapToGrid w:val="0"/>
                <w:color w:val="000000"/>
                <w:sz w:val="16"/>
              </w:rPr>
            </w:pPr>
            <w:r>
              <w:rPr>
                <w:rFonts w:ascii="Times New Roman" w:hAnsi="Times New Roman"/>
                <w:b/>
                <w:snapToGrid w:val="0"/>
                <w:color w:val="000000"/>
                <w:sz w:val="16"/>
              </w:rPr>
              <w:t>127,01</w:t>
            </w:r>
          </w:p>
        </w:tc>
      </w:tr>
      <w:tr w:rsidR="001124F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cantSplit/>
        </w:trPr>
        <w:tc>
          <w:tcPr>
            <w:tcW w:w="2835" w:type="dxa"/>
          </w:tcPr>
          <w:p w:rsidR="001124F2" w:rsidRDefault="001124F2">
            <w:pPr>
              <w:rPr>
                <w:rFonts w:ascii="Times New Roman" w:hAnsi="Times New Roman"/>
                <w:snapToGrid w:val="0"/>
                <w:color w:val="000000"/>
              </w:rPr>
            </w:pPr>
            <w:r>
              <w:rPr>
                <w:rFonts w:ascii="Times New Roman" w:hAnsi="Times New Roman"/>
                <w:snapToGrid w:val="0"/>
                <w:color w:val="000000"/>
              </w:rPr>
              <w:t>Налоги на прибыль (доход) предприятий и организаций</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172,65</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2,23</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14,47</w:t>
            </w:r>
          </w:p>
        </w:tc>
        <w:tc>
          <w:tcPr>
            <w:tcW w:w="714" w:type="dxa"/>
            <w:gridSpan w:val="2"/>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220,11</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2,49</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14,85</w:t>
            </w:r>
          </w:p>
        </w:tc>
        <w:tc>
          <w:tcPr>
            <w:tcW w:w="714" w:type="dxa"/>
            <w:gridSpan w:val="2"/>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191,43</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1,81</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11,00</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110,88</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96,59</w:t>
            </w:r>
          </w:p>
        </w:tc>
      </w:tr>
      <w:tr w:rsidR="001124F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cantSplit/>
        </w:trPr>
        <w:tc>
          <w:tcPr>
            <w:tcW w:w="2835" w:type="dxa"/>
          </w:tcPr>
          <w:p w:rsidR="001124F2" w:rsidRDefault="001124F2">
            <w:pPr>
              <w:rPr>
                <w:rFonts w:ascii="Times New Roman" w:hAnsi="Times New Roman"/>
                <w:snapToGrid w:val="0"/>
                <w:color w:val="000000"/>
              </w:rPr>
            </w:pPr>
            <w:r>
              <w:rPr>
                <w:rFonts w:ascii="Times New Roman" w:hAnsi="Times New Roman"/>
                <w:snapToGrid w:val="0"/>
                <w:color w:val="000000"/>
              </w:rPr>
              <w:t>Налог на добавленную стоимость</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516,44</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6,66</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43,27</w:t>
            </w:r>
          </w:p>
        </w:tc>
        <w:tc>
          <w:tcPr>
            <w:tcW w:w="714" w:type="dxa"/>
            <w:gridSpan w:val="2"/>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574,97</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6,50</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38,80</w:t>
            </w:r>
          </w:p>
        </w:tc>
        <w:tc>
          <w:tcPr>
            <w:tcW w:w="714" w:type="dxa"/>
            <w:gridSpan w:val="2"/>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712,42</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6,72</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40,92</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137,95</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120,17</w:t>
            </w:r>
          </w:p>
        </w:tc>
      </w:tr>
      <w:tr w:rsidR="001124F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cantSplit/>
        </w:trPr>
        <w:tc>
          <w:tcPr>
            <w:tcW w:w="2835" w:type="dxa"/>
          </w:tcPr>
          <w:p w:rsidR="001124F2" w:rsidRDefault="001124F2">
            <w:pPr>
              <w:jc w:val="both"/>
              <w:rPr>
                <w:rFonts w:ascii="Times New Roman" w:hAnsi="Times New Roman"/>
                <w:snapToGrid w:val="0"/>
                <w:color w:val="000000"/>
              </w:rPr>
            </w:pPr>
            <w:r>
              <w:rPr>
                <w:rFonts w:ascii="Times New Roman" w:hAnsi="Times New Roman"/>
                <w:snapToGrid w:val="0"/>
                <w:color w:val="000000"/>
              </w:rPr>
              <w:t>в том числе НДС по товарам, производимым на территории Российской Федерации</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381,78</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4,93</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31,99</w:t>
            </w:r>
          </w:p>
        </w:tc>
        <w:tc>
          <w:tcPr>
            <w:tcW w:w="714" w:type="dxa"/>
            <w:gridSpan w:val="2"/>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419,99</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4.75</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28,34</w:t>
            </w:r>
          </w:p>
        </w:tc>
        <w:tc>
          <w:tcPr>
            <w:tcW w:w="714" w:type="dxa"/>
            <w:gridSpan w:val="2"/>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516,90</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4,88</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29,69</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135,39</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117,94</w:t>
            </w:r>
          </w:p>
        </w:tc>
      </w:tr>
      <w:tr w:rsidR="001124F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cantSplit/>
        </w:trPr>
        <w:tc>
          <w:tcPr>
            <w:tcW w:w="2835" w:type="dxa"/>
          </w:tcPr>
          <w:p w:rsidR="001124F2" w:rsidRDefault="001124F2">
            <w:pPr>
              <w:jc w:val="both"/>
              <w:rPr>
                <w:rFonts w:ascii="Times New Roman" w:hAnsi="Times New Roman"/>
                <w:snapToGrid w:val="0"/>
                <w:color w:val="000000"/>
              </w:rPr>
            </w:pPr>
            <w:r>
              <w:rPr>
                <w:rFonts w:ascii="Times New Roman" w:hAnsi="Times New Roman"/>
                <w:snapToGrid w:val="0"/>
                <w:color w:val="000000"/>
              </w:rPr>
              <w:t>в том числе НДС на товары, ввозимые на территорию Российской Федерации</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134,66</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1,74</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11,28</w:t>
            </w:r>
          </w:p>
        </w:tc>
        <w:tc>
          <w:tcPr>
            <w:tcW w:w="714" w:type="dxa"/>
            <w:gridSpan w:val="2"/>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154,97</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1.75</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10,46</w:t>
            </w:r>
          </w:p>
        </w:tc>
        <w:tc>
          <w:tcPr>
            <w:tcW w:w="714" w:type="dxa"/>
            <w:gridSpan w:val="2"/>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195,52</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1,84</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11,23</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145,19</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126,48</w:t>
            </w:r>
          </w:p>
        </w:tc>
      </w:tr>
      <w:tr w:rsidR="001124F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cantSplit/>
        </w:trPr>
        <w:tc>
          <w:tcPr>
            <w:tcW w:w="2835" w:type="dxa"/>
          </w:tcPr>
          <w:p w:rsidR="001124F2" w:rsidRDefault="001124F2">
            <w:pPr>
              <w:rPr>
                <w:rFonts w:ascii="Times New Roman" w:hAnsi="Times New Roman"/>
                <w:snapToGrid w:val="0"/>
                <w:color w:val="000000"/>
              </w:rPr>
            </w:pPr>
            <w:r>
              <w:rPr>
                <w:rFonts w:ascii="Times New Roman" w:hAnsi="Times New Roman"/>
                <w:snapToGrid w:val="0"/>
                <w:color w:val="000000"/>
              </w:rPr>
              <w:t xml:space="preserve">Акцизы </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188,04</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2,43</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15,76</w:t>
            </w:r>
          </w:p>
        </w:tc>
        <w:tc>
          <w:tcPr>
            <w:tcW w:w="714" w:type="dxa"/>
            <w:gridSpan w:val="2"/>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205,01</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2,32</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13,83</w:t>
            </w:r>
          </w:p>
        </w:tc>
        <w:tc>
          <w:tcPr>
            <w:tcW w:w="714" w:type="dxa"/>
            <w:gridSpan w:val="2"/>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214,29</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2,02</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12,31</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113,96</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99,27</w:t>
            </w:r>
          </w:p>
        </w:tc>
      </w:tr>
      <w:tr w:rsidR="001124F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cantSplit/>
        </w:trPr>
        <w:tc>
          <w:tcPr>
            <w:tcW w:w="2835" w:type="dxa"/>
          </w:tcPr>
          <w:p w:rsidR="001124F2" w:rsidRDefault="001124F2">
            <w:pPr>
              <w:rPr>
                <w:rFonts w:ascii="Times New Roman" w:hAnsi="Times New Roman"/>
                <w:snapToGrid w:val="0"/>
                <w:color w:val="000000"/>
              </w:rPr>
            </w:pPr>
            <w:r>
              <w:rPr>
                <w:rFonts w:ascii="Times New Roman" w:hAnsi="Times New Roman"/>
                <w:snapToGrid w:val="0"/>
                <w:color w:val="000000"/>
              </w:rPr>
              <w:t>Платежи за пользование природными ресурсами</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37,18</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0,48</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3,12</w:t>
            </w:r>
          </w:p>
        </w:tc>
        <w:tc>
          <w:tcPr>
            <w:tcW w:w="714" w:type="dxa"/>
            <w:gridSpan w:val="2"/>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47,10</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0,53</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3,17</w:t>
            </w:r>
          </w:p>
        </w:tc>
        <w:tc>
          <w:tcPr>
            <w:tcW w:w="714" w:type="dxa"/>
            <w:gridSpan w:val="2"/>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179,85</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1,70</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10,33</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483,68</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421,33</w:t>
            </w:r>
          </w:p>
        </w:tc>
      </w:tr>
      <w:tr w:rsidR="001124F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cantSplit/>
        </w:trPr>
        <w:tc>
          <w:tcPr>
            <w:tcW w:w="2835" w:type="dxa"/>
          </w:tcPr>
          <w:p w:rsidR="001124F2" w:rsidRDefault="001124F2">
            <w:pPr>
              <w:rPr>
                <w:rFonts w:ascii="Times New Roman" w:hAnsi="Times New Roman"/>
                <w:snapToGrid w:val="0"/>
                <w:color w:val="000000"/>
              </w:rPr>
            </w:pPr>
            <w:r>
              <w:rPr>
                <w:rFonts w:ascii="Times New Roman" w:hAnsi="Times New Roman"/>
                <w:snapToGrid w:val="0"/>
                <w:color w:val="000000"/>
              </w:rPr>
              <w:t>Ввозные пошлины</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58,67</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0,76</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4,92</w:t>
            </w:r>
          </w:p>
        </w:tc>
        <w:tc>
          <w:tcPr>
            <w:tcW w:w="714" w:type="dxa"/>
            <w:gridSpan w:val="2"/>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96,19</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1,09</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6,55</w:t>
            </w:r>
          </w:p>
        </w:tc>
        <w:tc>
          <w:tcPr>
            <w:tcW w:w="714" w:type="dxa"/>
            <w:gridSpan w:val="2"/>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118,67</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1,12</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6,82</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202,25</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176,18</w:t>
            </w:r>
          </w:p>
        </w:tc>
      </w:tr>
      <w:tr w:rsidR="001124F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cantSplit/>
        </w:trPr>
        <w:tc>
          <w:tcPr>
            <w:tcW w:w="2835" w:type="dxa"/>
          </w:tcPr>
          <w:p w:rsidR="001124F2" w:rsidRDefault="001124F2">
            <w:pPr>
              <w:rPr>
                <w:rFonts w:ascii="Times New Roman" w:hAnsi="Times New Roman"/>
                <w:snapToGrid w:val="0"/>
                <w:color w:val="000000"/>
              </w:rPr>
            </w:pPr>
            <w:r>
              <w:rPr>
                <w:rFonts w:ascii="Times New Roman" w:hAnsi="Times New Roman"/>
                <w:snapToGrid w:val="0"/>
                <w:color w:val="000000"/>
              </w:rPr>
              <w:t>Вывозные пошлины</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131,95</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1,70</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11,06</w:t>
            </w:r>
          </w:p>
        </w:tc>
        <w:tc>
          <w:tcPr>
            <w:tcW w:w="714" w:type="dxa"/>
            <w:gridSpan w:val="2"/>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217,25</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2,45</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14,66</w:t>
            </w:r>
          </w:p>
        </w:tc>
        <w:tc>
          <w:tcPr>
            <w:tcW w:w="714" w:type="dxa"/>
            <w:gridSpan w:val="2"/>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197,20</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1,86</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11,33</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149,45</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130,18</w:t>
            </w:r>
          </w:p>
        </w:tc>
      </w:tr>
      <w:tr w:rsidR="001124F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cantSplit/>
        </w:trPr>
        <w:tc>
          <w:tcPr>
            <w:tcW w:w="2835" w:type="dxa"/>
          </w:tcPr>
          <w:p w:rsidR="001124F2" w:rsidRDefault="001124F2">
            <w:pPr>
              <w:rPr>
                <w:rFonts w:ascii="Times New Roman" w:hAnsi="Times New Roman"/>
                <w:b/>
                <w:snapToGrid w:val="0"/>
                <w:color w:val="000000"/>
              </w:rPr>
            </w:pPr>
            <w:r>
              <w:rPr>
                <w:rFonts w:ascii="Times New Roman" w:hAnsi="Times New Roman"/>
                <w:b/>
                <w:snapToGrid w:val="0"/>
                <w:color w:val="000000"/>
              </w:rPr>
              <w:t>НЕНАЛОГОВЫЕ ДОХОДЫ</w:t>
            </w:r>
          </w:p>
        </w:tc>
        <w:tc>
          <w:tcPr>
            <w:tcW w:w="714" w:type="dxa"/>
            <w:vAlign w:val="center"/>
          </w:tcPr>
          <w:p w:rsidR="001124F2" w:rsidRDefault="001124F2">
            <w:pPr>
              <w:jc w:val="right"/>
              <w:rPr>
                <w:rFonts w:ascii="Times New Roman" w:hAnsi="Times New Roman"/>
                <w:b/>
                <w:snapToGrid w:val="0"/>
                <w:color w:val="000000"/>
                <w:sz w:val="16"/>
              </w:rPr>
            </w:pPr>
            <w:r>
              <w:rPr>
                <w:rFonts w:ascii="Times New Roman" w:hAnsi="Times New Roman"/>
                <w:b/>
                <w:snapToGrid w:val="0"/>
                <w:color w:val="000000"/>
                <w:sz w:val="16"/>
              </w:rPr>
              <w:t>64,26</w:t>
            </w:r>
          </w:p>
        </w:tc>
        <w:tc>
          <w:tcPr>
            <w:tcW w:w="714" w:type="dxa"/>
            <w:vAlign w:val="center"/>
          </w:tcPr>
          <w:p w:rsidR="001124F2" w:rsidRDefault="001124F2">
            <w:pPr>
              <w:jc w:val="right"/>
              <w:rPr>
                <w:rFonts w:ascii="Times New Roman" w:hAnsi="Times New Roman"/>
                <w:b/>
                <w:snapToGrid w:val="0"/>
                <w:color w:val="000000"/>
                <w:sz w:val="16"/>
              </w:rPr>
            </w:pPr>
            <w:r>
              <w:rPr>
                <w:rFonts w:ascii="Times New Roman" w:hAnsi="Times New Roman"/>
                <w:b/>
                <w:snapToGrid w:val="0"/>
                <w:color w:val="000000"/>
                <w:sz w:val="16"/>
              </w:rPr>
              <w:t>0,83</w:t>
            </w:r>
          </w:p>
        </w:tc>
        <w:tc>
          <w:tcPr>
            <w:tcW w:w="714" w:type="dxa"/>
            <w:vAlign w:val="center"/>
          </w:tcPr>
          <w:p w:rsidR="001124F2" w:rsidRDefault="001124F2">
            <w:pPr>
              <w:jc w:val="right"/>
              <w:rPr>
                <w:rFonts w:ascii="Times New Roman" w:hAnsi="Times New Roman"/>
                <w:b/>
                <w:snapToGrid w:val="0"/>
                <w:color w:val="000000"/>
                <w:sz w:val="16"/>
              </w:rPr>
            </w:pPr>
            <w:r>
              <w:rPr>
                <w:rFonts w:ascii="Times New Roman" w:hAnsi="Times New Roman"/>
                <w:b/>
                <w:snapToGrid w:val="0"/>
                <w:color w:val="000000"/>
                <w:sz w:val="16"/>
              </w:rPr>
              <w:t>5,38</w:t>
            </w:r>
          </w:p>
        </w:tc>
        <w:tc>
          <w:tcPr>
            <w:tcW w:w="714" w:type="dxa"/>
            <w:gridSpan w:val="2"/>
            <w:vAlign w:val="center"/>
          </w:tcPr>
          <w:p w:rsidR="001124F2" w:rsidRDefault="001124F2">
            <w:pPr>
              <w:jc w:val="right"/>
              <w:rPr>
                <w:rFonts w:ascii="Times New Roman" w:hAnsi="Times New Roman"/>
                <w:b/>
                <w:snapToGrid w:val="0"/>
                <w:color w:val="000000"/>
                <w:sz w:val="16"/>
              </w:rPr>
            </w:pPr>
            <w:r>
              <w:rPr>
                <w:rFonts w:ascii="Times New Roman" w:hAnsi="Times New Roman"/>
                <w:b/>
                <w:snapToGrid w:val="0"/>
                <w:color w:val="000000"/>
                <w:sz w:val="16"/>
              </w:rPr>
              <w:t>85,33</w:t>
            </w:r>
          </w:p>
        </w:tc>
        <w:tc>
          <w:tcPr>
            <w:tcW w:w="714" w:type="dxa"/>
            <w:vAlign w:val="center"/>
          </w:tcPr>
          <w:p w:rsidR="001124F2" w:rsidRDefault="001124F2">
            <w:pPr>
              <w:jc w:val="right"/>
              <w:rPr>
                <w:rFonts w:ascii="Times New Roman" w:hAnsi="Times New Roman"/>
                <w:b/>
                <w:snapToGrid w:val="0"/>
                <w:color w:val="000000"/>
                <w:sz w:val="16"/>
              </w:rPr>
            </w:pPr>
            <w:r>
              <w:rPr>
                <w:rFonts w:ascii="Times New Roman" w:hAnsi="Times New Roman"/>
                <w:b/>
                <w:snapToGrid w:val="0"/>
                <w:color w:val="000000"/>
                <w:sz w:val="16"/>
              </w:rPr>
              <w:t>0,96</w:t>
            </w:r>
          </w:p>
        </w:tc>
        <w:tc>
          <w:tcPr>
            <w:tcW w:w="714" w:type="dxa"/>
            <w:vAlign w:val="center"/>
          </w:tcPr>
          <w:p w:rsidR="001124F2" w:rsidRDefault="001124F2">
            <w:pPr>
              <w:jc w:val="right"/>
              <w:rPr>
                <w:rFonts w:ascii="Times New Roman" w:hAnsi="Times New Roman"/>
                <w:b/>
                <w:snapToGrid w:val="0"/>
                <w:color w:val="000000"/>
                <w:sz w:val="16"/>
              </w:rPr>
            </w:pPr>
            <w:r>
              <w:rPr>
                <w:rFonts w:ascii="Times New Roman" w:hAnsi="Times New Roman"/>
                <w:b/>
                <w:snapToGrid w:val="0"/>
                <w:color w:val="000000"/>
                <w:sz w:val="16"/>
              </w:rPr>
              <w:t>5,75</w:t>
            </w:r>
          </w:p>
        </w:tc>
        <w:tc>
          <w:tcPr>
            <w:tcW w:w="714" w:type="dxa"/>
            <w:gridSpan w:val="2"/>
            <w:vAlign w:val="center"/>
          </w:tcPr>
          <w:p w:rsidR="001124F2" w:rsidRDefault="001124F2">
            <w:pPr>
              <w:jc w:val="right"/>
              <w:rPr>
                <w:rFonts w:ascii="Times New Roman" w:hAnsi="Times New Roman"/>
                <w:b/>
                <w:snapToGrid w:val="0"/>
                <w:color w:val="000000"/>
                <w:sz w:val="16"/>
              </w:rPr>
            </w:pPr>
            <w:r>
              <w:rPr>
                <w:rFonts w:ascii="Times New Roman" w:hAnsi="Times New Roman"/>
                <w:b/>
                <w:snapToGrid w:val="0"/>
                <w:color w:val="000000"/>
                <w:sz w:val="16"/>
              </w:rPr>
              <w:t>100,68</w:t>
            </w:r>
          </w:p>
        </w:tc>
        <w:tc>
          <w:tcPr>
            <w:tcW w:w="714" w:type="dxa"/>
            <w:vAlign w:val="center"/>
          </w:tcPr>
          <w:p w:rsidR="001124F2" w:rsidRDefault="001124F2">
            <w:pPr>
              <w:jc w:val="right"/>
              <w:rPr>
                <w:rFonts w:ascii="Times New Roman" w:hAnsi="Times New Roman"/>
                <w:b/>
                <w:snapToGrid w:val="0"/>
                <w:color w:val="000000"/>
                <w:sz w:val="16"/>
              </w:rPr>
            </w:pPr>
            <w:r>
              <w:rPr>
                <w:rFonts w:ascii="Times New Roman" w:hAnsi="Times New Roman"/>
                <w:b/>
                <w:snapToGrid w:val="0"/>
                <w:color w:val="000000"/>
                <w:sz w:val="16"/>
              </w:rPr>
              <w:t>0,95</w:t>
            </w:r>
          </w:p>
        </w:tc>
        <w:tc>
          <w:tcPr>
            <w:tcW w:w="714" w:type="dxa"/>
            <w:vAlign w:val="center"/>
          </w:tcPr>
          <w:p w:rsidR="001124F2" w:rsidRDefault="001124F2">
            <w:pPr>
              <w:jc w:val="right"/>
              <w:rPr>
                <w:rFonts w:ascii="Times New Roman" w:hAnsi="Times New Roman"/>
                <w:b/>
                <w:snapToGrid w:val="0"/>
                <w:color w:val="000000"/>
                <w:sz w:val="16"/>
              </w:rPr>
            </w:pPr>
            <w:r>
              <w:rPr>
                <w:rFonts w:ascii="Times New Roman" w:hAnsi="Times New Roman"/>
                <w:b/>
                <w:snapToGrid w:val="0"/>
                <w:color w:val="000000"/>
                <w:sz w:val="16"/>
              </w:rPr>
              <w:t>5,78</w:t>
            </w:r>
          </w:p>
        </w:tc>
        <w:tc>
          <w:tcPr>
            <w:tcW w:w="714" w:type="dxa"/>
            <w:vAlign w:val="center"/>
          </w:tcPr>
          <w:p w:rsidR="001124F2" w:rsidRDefault="001124F2">
            <w:pPr>
              <w:jc w:val="right"/>
              <w:rPr>
                <w:rFonts w:ascii="Times New Roman" w:hAnsi="Times New Roman"/>
                <w:b/>
                <w:snapToGrid w:val="0"/>
                <w:color w:val="000000"/>
                <w:sz w:val="16"/>
              </w:rPr>
            </w:pPr>
            <w:r>
              <w:rPr>
                <w:rFonts w:ascii="Times New Roman" w:hAnsi="Times New Roman"/>
                <w:b/>
                <w:snapToGrid w:val="0"/>
                <w:color w:val="000000"/>
                <w:sz w:val="16"/>
              </w:rPr>
              <w:t>156,68</w:t>
            </w:r>
          </w:p>
        </w:tc>
        <w:tc>
          <w:tcPr>
            <w:tcW w:w="714" w:type="dxa"/>
            <w:vAlign w:val="center"/>
          </w:tcPr>
          <w:p w:rsidR="001124F2" w:rsidRDefault="001124F2">
            <w:pPr>
              <w:jc w:val="right"/>
              <w:rPr>
                <w:rFonts w:ascii="Times New Roman" w:hAnsi="Times New Roman"/>
                <w:b/>
                <w:snapToGrid w:val="0"/>
                <w:color w:val="000000"/>
                <w:sz w:val="16"/>
              </w:rPr>
            </w:pPr>
            <w:r>
              <w:rPr>
                <w:rFonts w:ascii="Times New Roman" w:hAnsi="Times New Roman"/>
                <w:b/>
                <w:snapToGrid w:val="0"/>
                <w:color w:val="000000"/>
                <w:sz w:val="16"/>
              </w:rPr>
              <w:t>136,48</w:t>
            </w:r>
          </w:p>
        </w:tc>
      </w:tr>
      <w:tr w:rsidR="001124F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cantSplit/>
        </w:trPr>
        <w:tc>
          <w:tcPr>
            <w:tcW w:w="2835" w:type="dxa"/>
          </w:tcPr>
          <w:p w:rsidR="001124F2" w:rsidRDefault="001124F2">
            <w:pPr>
              <w:rPr>
                <w:rFonts w:ascii="Times New Roman" w:hAnsi="Times New Roman"/>
                <w:snapToGrid w:val="0"/>
                <w:color w:val="000000"/>
              </w:rPr>
            </w:pPr>
            <w:r>
              <w:rPr>
                <w:rFonts w:ascii="Times New Roman" w:hAnsi="Times New Roman"/>
                <w:snapToGrid w:val="0"/>
                <w:color w:val="000000"/>
              </w:rPr>
              <w:t>Дивиденды по акциям, принадлежащим государству</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2,00</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0,03</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0,17</w:t>
            </w:r>
          </w:p>
        </w:tc>
        <w:tc>
          <w:tcPr>
            <w:tcW w:w="714" w:type="dxa"/>
            <w:gridSpan w:val="2"/>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4,74</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0,05</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0,32</w:t>
            </w:r>
          </w:p>
        </w:tc>
        <w:tc>
          <w:tcPr>
            <w:tcW w:w="714" w:type="dxa"/>
            <w:gridSpan w:val="2"/>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4,90</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0,05</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0,28</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245,00</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213,41</w:t>
            </w:r>
          </w:p>
        </w:tc>
      </w:tr>
      <w:tr w:rsidR="001124F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cantSplit/>
        </w:trPr>
        <w:tc>
          <w:tcPr>
            <w:tcW w:w="2835" w:type="dxa"/>
          </w:tcPr>
          <w:p w:rsidR="001124F2" w:rsidRDefault="001124F2">
            <w:pPr>
              <w:rPr>
                <w:rFonts w:ascii="Times New Roman" w:hAnsi="Times New Roman"/>
                <w:snapToGrid w:val="0"/>
                <w:color w:val="000000"/>
              </w:rPr>
            </w:pPr>
            <w:r>
              <w:rPr>
                <w:rFonts w:ascii="Times New Roman" w:hAnsi="Times New Roman"/>
                <w:snapToGrid w:val="0"/>
                <w:color w:val="000000"/>
              </w:rPr>
              <w:t>Доходы от сдачи в аренду имущества, находящегося в государственной собственности</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5,61</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0,07</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0,47</w:t>
            </w:r>
          </w:p>
        </w:tc>
        <w:tc>
          <w:tcPr>
            <w:tcW w:w="714" w:type="dxa"/>
            <w:gridSpan w:val="2"/>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7,92</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0,09</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0,53</w:t>
            </w:r>
          </w:p>
        </w:tc>
        <w:tc>
          <w:tcPr>
            <w:tcW w:w="714" w:type="dxa"/>
            <w:gridSpan w:val="2"/>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8,39</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0,08</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0,48</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149,57</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130,29</w:t>
            </w:r>
          </w:p>
        </w:tc>
      </w:tr>
      <w:tr w:rsidR="001124F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cantSplit/>
        </w:trPr>
        <w:tc>
          <w:tcPr>
            <w:tcW w:w="2835" w:type="dxa"/>
          </w:tcPr>
          <w:p w:rsidR="001124F2" w:rsidRDefault="001124F2">
            <w:pPr>
              <w:rPr>
                <w:rFonts w:ascii="Times New Roman" w:hAnsi="Times New Roman"/>
                <w:snapToGrid w:val="0"/>
                <w:color w:val="000000"/>
              </w:rPr>
            </w:pPr>
            <w:r>
              <w:rPr>
                <w:rFonts w:ascii="Times New Roman" w:hAnsi="Times New Roman"/>
                <w:snapToGrid w:val="0"/>
                <w:color w:val="000000"/>
              </w:rPr>
              <w:t>Платежи от государственных и муниципальных организаций</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9,47</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0,12</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0,79</w:t>
            </w:r>
          </w:p>
        </w:tc>
        <w:tc>
          <w:tcPr>
            <w:tcW w:w="714" w:type="dxa"/>
            <w:gridSpan w:val="2"/>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13,21</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0,15</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0,89</w:t>
            </w:r>
          </w:p>
        </w:tc>
        <w:tc>
          <w:tcPr>
            <w:tcW w:w="714" w:type="dxa"/>
            <w:gridSpan w:val="2"/>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13,97</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0,13</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0,80</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147,55</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128,53</w:t>
            </w:r>
          </w:p>
        </w:tc>
      </w:tr>
      <w:tr w:rsidR="001124F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cantSplit/>
        </w:trPr>
        <w:tc>
          <w:tcPr>
            <w:tcW w:w="2835" w:type="dxa"/>
          </w:tcPr>
          <w:p w:rsidR="001124F2" w:rsidRDefault="001124F2">
            <w:pPr>
              <w:rPr>
                <w:rFonts w:ascii="Times New Roman" w:hAnsi="Times New Roman"/>
                <w:snapToGrid w:val="0"/>
                <w:color w:val="000000"/>
              </w:rPr>
            </w:pPr>
            <w:r>
              <w:rPr>
                <w:rFonts w:ascii="Times New Roman" w:hAnsi="Times New Roman"/>
                <w:snapToGrid w:val="0"/>
                <w:color w:val="000000"/>
              </w:rPr>
              <w:t>Плата за пользование водными биоресурсами</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5,79</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0,07</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0,48</w:t>
            </w:r>
          </w:p>
        </w:tc>
        <w:tc>
          <w:tcPr>
            <w:tcW w:w="714" w:type="dxa"/>
            <w:gridSpan w:val="2"/>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6,50</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0,07</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0,43</w:t>
            </w:r>
          </w:p>
        </w:tc>
        <w:tc>
          <w:tcPr>
            <w:tcW w:w="714" w:type="dxa"/>
            <w:gridSpan w:val="2"/>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7,00</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0,07</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0,40</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120,97</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105,37</w:t>
            </w:r>
          </w:p>
        </w:tc>
      </w:tr>
      <w:tr w:rsidR="001124F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cantSplit/>
        </w:trPr>
        <w:tc>
          <w:tcPr>
            <w:tcW w:w="2835" w:type="dxa"/>
          </w:tcPr>
          <w:p w:rsidR="001124F2" w:rsidRDefault="001124F2">
            <w:pPr>
              <w:rPr>
                <w:rFonts w:ascii="Times New Roman" w:hAnsi="Times New Roman"/>
                <w:snapToGrid w:val="0"/>
                <w:color w:val="000000"/>
              </w:rPr>
            </w:pPr>
            <w:r>
              <w:rPr>
                <w:rFonts w:ascii="Times New Roman" w:hAnsi="Times New Roman"/>
                <w:snapToGrid w:val="0"/>
                <w:color w:val="000000"/>
              </w:rPr>
              <w:t>Проценты по государственным кредитам</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13,52</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0,17</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1,13</w:t>
            </w:r>
          </w:p>
        </w:tc>
        <w:tc>
          <w:tcPr>
            <w:tcW w:w="714" w:type="dxa"/>
            <w:gridSpan w:val="2"/>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10,48</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0,12</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0,70</w:t>
            </w:r>
          </w:p>
        </w:tc>
        <w:tc>
          <w:tcPr>
            <w:tcW w:w="714" w:type="dxa"/>
            <w:gridSpan w:val="2"/>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13,68</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0,13</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0,79</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101,22</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88,17</w:t>
            </w:r>
          </w:p>
        </w:tc>
      </w:tr>
      <w:tr w:rsidR="001124F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cantSplit/>
        </w:trPr>
        <w:tc>
          <w:tcPr>
            <w:tcW w:w="2835" w:type="dxa"/>
          </w:tcPr>
          <w:p w:rsidR="001124F2" w:rsidRDefault="001124F2">
            <w:pPr>
              <w:rPr>
                <w:rFonts w:ascii="Times New Roman" w:hAnsi="Times New Roman"/>
                <w:snapToGrid w:val="0"/>
                <w:color w:val="000000"/>
              </w:rPr>
            </w:pPr>
            <w:r>
              <w:rPr>
                <w:rFonts w:ascii="Times New Roman" w:hAnsi="Times New Roman"/>
                <w:snapToGrid w:val="0"/>
                <w:color w:val="000000"/>
              </w:rPr>
              <w:t>Таможенные сборы</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17,98</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0,23</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1,51</w:t>
            </w:r>
          </w:p>
        </w:tc>
        <w:tc>
          <w:tcPr>
            <w:tcW w:w="714" w:type="dxa"/>
            <w:gridSpan w:val="2"/>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28,78</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0,33</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1,94</w:t>
            </w:r>
          </w:p>
        </w:tc>
        <w:tc>
          <w:tcPr>
            <w:tcW w:w="714" w:type="dxa"/>
            <w:gridSpan w:val="2"/>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34,23</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0,32</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1,97</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190,38</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165,83</w:t>
            </w:r>
          </w:p>
        </w:tc>
      </w:tr>
      <w:tr w:rsidR="001124F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cantSplit/>
        </w:trPr>
        <w:tc>
          <w:tcPr>
            <w:tcW w:w="2835" w:type="dxa"/>
          </w:tcPr>
          <w:p w:rsidR="001124F2" w:rsidRDefault="001124F2">
            <w:pPr>
              <w:rPr>
                <w:rFonts w:ascii="Times New Roman" w:hAnsi="Times New Roman"/>
                <w:snapToGrid w:val="0"/>
                <w:color w:val="000000"/>
              </w:rPr>
            </w:pPr>
            <w:r>
              <w:rPr>
                <w:rFonts w:ascii="Times New Roman" w:hAnsi="Times New Roman"/>
                <w:snapToGrid w:val="0"/>
                <w:color w:val="000000"/>
              </w:rPr>
              <w:t>ФОНД Минатома России</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13,89</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0,18</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1,16</w:t>
            </w:r>
          </w:p>
        </w:tc>
        <w:tc>
          <w:tcPr>
            <w:tcW w:w="714" w:type="dxa"/>
            <w:gridSpan w:val="2"/>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13,89</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0,16</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0,93</w:t>
            </w:r>
          </w:p>
        </w:tc>
        <w:tc>
          <w:tcPr>
            <w:tcW w:w="714" w:type="dxa"/>
            <w:gridSpan w:val="2"/>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13,89</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0,13</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0,80</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100,00</w:t>
            </w:r>
          </w:p>
        </w:tc>
        <w:tc>
          <w:tcPr>
            <w:tcW w:w="714" w:type="dxa"/>
            <w:vAlign w:val="center"/>
          </w:tcPr>
          <w:p w:rsidR="001124F2" w:rsidRDefault="001124F2">
            <w:pPr>
              <w:jc w:val="right"/>
              <w:rPr>
                <w:rFonts w:ascii="Times New Roman" w:hAnsi="Times New Roman"/>
                <w:snapToGrid w:val="0"/>
                <w:color w:val="000000"/>
                <w:sz w:val="16"/>
              </w:rPr>
            </w:pPr>
            <w:r>
              <w:rPr>
                <w:rFonts w:ascii="Times New Roman" w:hAnsi="Times New Roman"/>
                <w:snapToGrid w:val="0"/>
                <w:color w:val="000000"/>
                <w:sz w:val="16"/>
              </w:rPr>
              <w:t>87,11</w:t>
            </w:r>
          </w:p>
        </w:tc>
      </w:tr>
      <w:tr w:rsidR="001124F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cantSplit/>
        </w:trPr>
        <w:tc>
          <w:tcPr>
            <w:tcW w:w="2835" w:type="dxa"/>
          </w:tcPr>
          <w:p w:rsidR="001124F2" w:rsidRDefault="001124F2">
            <w:pPr>
              <w:rPr>
                <w:rFonts w:ascii="Times New Roman" w:hAnsi="Times New Roman"/>
                <w:b/>
                <w:snapToGrid w:val="0"/>
                <w:color w:val="000000"/>
              </w:rPr>
            </w:pPr>
            <w:r>
              <w:rPr>
                <w:rFonts w:ascii="Times New Roman" w:hAnsi="Times New Roman"/>
                <w:b/>
                <w:snapToGrid w:val="0"/>
                <w:color w:val="000000"/>
              </w:rPr>
              <w:t>ВСЕГО ДОХОДОВ</w:t>
            </w:r>
          </w:p>
        </w:tc>
        <w:tc>
          <w:tcPr>
            <w:tcW w:w="714" w:type="dxa"/>
            <w:vAlign w:val="center"/>
          </w:tcPr>
          <w:p w:rsidR="001124F2" w:rsidRDefault="001124F2">
            <w:pPr>
              <w:jc w:val="right"/>
              <w:rPr>
                <w:rFonts w:ascii="Times New Roman" w:hAnsi="Times New Roman"/>
                <w:b/>
                <w:snapToGrid w:val="0"/>
                <w:color w:val="000000"/>
                <w:sz w:val="16"/>
              </w:rPr>
            </w:pPr>
            <w:r>
              <w:rPr>
                <w:rFonts w:ascii="Times New Roman" w:hAnsi="Times New Roman"/>
                <w:b/>
                <w:snapToGrid w:val="0"/>
                <w:color w:val="000000"/>
                <w:sz w:val="16"/>
              </w:rPr>
              <w:t>1 193,48</w:t>
            </w:r>
          </w:p>
        </w:tc>
        <w:tc>
          <w:tcPr>
            <w:tcW w:w="714" w:type="dxa"/>
            <w:vAlign w:val="center"/>
          </w:tcPr>
          <w:p w:rsidR="001124F2" w:rsidRDefault="001124F2">
            <w:pPr>
              <w:jc w:val="right"/>
              <w:rPr>
                <w:rFonts w:ascii="Times New Roman" w:hAnsi="Times New Roman"/>
                <w:b/>
                <w:snapToGrid w:val="0"/>
                <w:color w:val="000000"/>
                <w:sz w:val="16"/>
              </w:rPr>
            </w:pPr>
            <w:r>
              <w:rPr>
                <w:rFonts w:ascii="Times New Roman" w:hAnsi="Times New Roman"/>
                <w:b/>
                <w:snapToGrid w:val="0"/>
                <w:color w:val="000000"/>
                <w:sz w:val="16"/>
              </w:rPr>
              <w:t>15,40</w:t>
            </w:r>
          </w:p>
        </w:tc>
        <w:tc>
          <w:tcPr>
            <w:tcW w:w="714" w:type="dxa"/>
            <w:vAlign w:val="center"/>
          </w:tcPr>
          <w:p w:rsidR="001124F2" w:rsidRDefault="001124F2">
            <w:pPr>
              <w:jc w:val="right"/>
              <w:rPr>
                <w:rFonts w:ascii="Times New Roman" w:hAnsi="Times New Roman"/>
                <w:b/>
                <w:snapToGrid w:val="0"/>
                <w:color w:val="000000"/>
                <w:sz w:val="16"/>
              </w:rPr>
            </w:pPr>
            <w:r>
              <w:rPr>
                <w:rFonts w:ascii="Times New Roman" w:hAnsi="Times New Roman"/>
                <w:b/>
                <w:snapToGrid w:val="0"/>
                <w:color w:val="000000"/>
                <w:sz w:val="16"/>
              </w:rPr>
              <w:t>100,00</w:t>
            </w:r>
          </w:p>
        </w:tc>
        <w:tc>
          <w:tcPr>
            <w:tcW w:w="714" w:type="dxa"/>
            <w:gridSpan w:val="2"/>
            <w:vAlign w:val="center"/>
          </w:tcPr>
          <w:p w:rsidR="001124F2" w:rsidRDefault="001124F2">
            <w:pPr>
              <w:jc w:val="right"/>
              <w:rPr>
                <w:rFonts w:ascii="Times New Roman" w:hAnsi="Times New Roman"/>
                <w:b/>
                <w:snapToGrid w:val="0"/>
                <w:color w:val="000000"/>
                <w:sz w:val="16"/>
              </w:rPr>
            </w:pPr>
            <w:r>
              <w:rPr>
                <w:rFonts w:ascii="Times New Roman" w:hAnsi="Times New Roman"/>
                <w:b/>
                <w:snapToGrid w:val="0"/>
                <w:color w:val="000000"/>
                <w:sz w:val="16"/>
              </w:rPr>
              <w:t>1 481,84</w:t>
            </w:r>
          </w:p>
        </w:tc>
        <w:tc>
          <w:tcPr>
            <w:tcW w:w="714" w:type="dxa"/>
            <w:vAlign w:val="center"/>
          </w:tcPr>
          <w:p w:rsidR="001124F2" w:rsidRDefault="001124F2">
            <w:pPr>
              <w:jc w:val="right"/>
              <w:rPr>
                <w:rFonts w:ascii="Times New Roman" w:hAnsi="Times New Roman"/>
                <w:b/>
                <w:snapToGrid w:val="0"/>
                <w:color w:val="000000"/>
                <w:sz w:val="16"/>
              </w:rPr>
            </w:pPr>
            <w:r>
              <w:rPr>
                <w:rFonts w:ascii="Times New Roman" w:hAnsi="Times New Roman"/>
                <w:b/>
                <w:snapToGrid w:val="0"/>
                <w:color w:val="000000"/>
                <w:sz w:val="16"/>
              </w:rPr>
              <w:t>16,74</w:t>
            </w:r>
          </w:p>
        </w:tc>
        <w:tc>
          <w:tcPr>
            <w:tcW w:w="714" w:type="dxa"/>
            <w:vAlign w:val="center"/>
          </w:tcPr>
          <w:p w:rsidR="001124F2" w:rsidRDefault="001124F2">
            <w:pPr>
              <w:jc w:val="right"/>
              <w:rPr>
                <w:rFonts w:ascii="Times New Roman" w:hAnsi="Times New Roman"/>
                <w:b/>
                <w:snapToGrid w:val="0"/>
                <w:color w:val="000000"/>
                <w:sz w:val="16"/>
              </w:rPr>
            </w:pPr>
            <w:r>
              <w:rPr>
                <w:rFonts w:ascii="Times New Roman" w:hAnsi="Times New Roman"/>
                <w:b/>
                <w:snapToGrid w:val="0"/>
                <w:color w:val="000000"/>
                <w:sz w:val="16"/>
              </w:rPr>
              <w:t>100,00</w:t>
            </w:r>
          </w:p>
        </w:tc>
        <w:tc>
          <w:tcPr>
            <w:tcW w:w="714" w:type="dxa"/>
            <w:gridSpan w:val="2"/>
            <w:vAlign w:val="center"/>
          </w:tcPr>
          <w:p w:rsidR="001124F2" w:rsidRDefault="001124F2">
            <w:pPr>
              <w:jc w:val="right"/>
              <w:rPr>
                <w:rFonts w:ascii="Times New Roman" w:hAnsi="Times New Roman"/>
                <w:b/>
                <w:snapToGrid w:val="0"/>
                <w:color w:val="000000"/>
                <w:sz w:val="16"/>
              </w:rPr>
            </w:pPr>
            <w:r>
              <w:rPr>
                <w:rFonts w:ascii="Times New Roman" w:hAnsi="Times New Roman"/>
                <w:b/>
                <w:snapToGrid w:val="0"/>
                <w:color w:val="000000"/>
                <w:sz w:val="16"/>
              </w:rPr>
              <w:t>1 740,86</w:t>
            </w:r>
          </w:p>
        </w:tc>
        <w:tc>
          <w:tcPr>
            <w:tcW w:w="714" w:type="dxa"/>
            <w:vAlign w:val="center"/>
          </w:tcPr>
          <w:p w:rsidR="001124F2" w:rsidRDefault="001124F2">
            <w:pPr>
              <w:jc w:val="right"/>
              <w:rPr>
                <w:rFonts w:ascii="Times New Roman" w:hAnsi="Times New Roman"/>
                <w:b/>
                <w:snapToGrid w:val="0"/>
                <w:color w:val="000000"/>
                <w:sz w:val="16"/>
              </w:rPr>
            </w:pPr>
            <w:r>
              <w:rPr>
                <w:rFonts w:ascii="Times New Roman" w:hAnsi="Times New Roman"/>
                <w:b/>
                <w:snapToGrid w:val="0"/>
                <w:color w:val="000000"/>
                <w:sz w:val="16"/>
              </w:rPr>
              <w:t>16,42</w:t>
            </w:r>
          </w:p>
        </w:tc>
        <w:tc>
          <w:tcPr>
            <w:tcW w:w="714" w:type="dxa"/>
            <w:vAlign w:val="center"/>
          </w:tcPr>
          <w:p w:rsidR="001124F2" w:rsidRDefault="001124F2">
            <w:pPr>
              <w:jc w:val="right"/>
              <w:rPr>
                <w:rFonts w:ascii="Times New Roman" w:hAnsi="Times New Roman"/>
                <w:b/>
                <w:snapToGrid w:val="0"/>
                <w:color w:val="000000"/>
                <w:sz w:val="16"/>
              </w:rPr>
            </w:pPr>
            <w:r>
              <w:rPr>
                <w:rFonts w:ascii="Times New Roman" w:hAnsi="Times New Roman"/>
                <w:b/>
                <w:snapToGrid w:val="0"/>
                <w:color w:val="000000"/>
                <w:sz w:val="16"/>
              </w:rPr>
              <w:t>100,00</w:t>
            </w:r>
          </w:p>
        </w:tc>
        <w:tc>
          <w:tcPr>
            <w:tcW w:w="714" w:type="dxa"/>
            <w:vAlign w:val="center"/>
          </w:tcPr>
          <w:p w:rsidR="001124F2" w:rsidRDefault="001124F2">
            <w:pPr>
              <w:jc w:val="right"/>
              <w:rPr>
                <w:rFonts w:ascii="Times New Roman" w:hAnsi="Times New Roman"/>
                <w:b/>
                <w:snapToGrid w:val="0"/>
                <w:color w:val="000000"/>
                <w:sz w:val="16"/>
              </w:rPr>
            </w:pPr>
            <w:r>
              <w:rPr>
                <w:rFonts w:ascii="Times New Roman" w:hAnsi="Times New Roman"/>
                <w:b/>
                <w:snapToGrid w:val="0"/>
                <w:color w:val="000000"/>
                <w:sz w:val="16"/>
              </w:rPr>
              <w:t>145,86</w:t>
            </w:r>
          </w:p>
        </w:tc>
        <w:tc>
          <w:tcPr>
            <w:tcW w:w="714" w:type="dxa"/>
            <w:vAlign w:val="center"/>
          </w:tcPr>
          <w:p w:rsidR="001124F2" w:rsidRDefault="001124F2">
            <w:pPr>
              <w:jc w:val="right"/>
              <w:rPr>
                <w:rFonts w:ascii="Times New Roman" w:hAnsi="Times New Roman"/>
                <w:b/>
                <w:snapToGrid w:val="0"/>
                <w:color w:val="000000"/>
                <w:sz w:val="16"/>
              </w:rPr>
            </w:pPr>
            <w:r>
              <w:rPr>
                <w:rFonts w:ascii="Times New Roman" w:hAnsi="Times New Roman"/>
                <w:b/>
                <w:snapToGrid w:val="0"/>
                <w:color w:val="000000"/>
                <w:sz w:val="16"/>
              </w:rPr>
              <w:t>127,06</w:t>
            </w:r>
          </w:p>
        </w:tc>
      </w:tr>
    </w:tbl>
    <w:p w:rsidR="001124F2" w:rsidRDefault="001124F2">
      <w:pPr>
        <w:pStyle w:val="11"/>
        <w:spacing w:before="0" w:after="0"/>
        <w:ind w:firstLine="567"/>
        <w:jc w:val="both"/>
        <w:rPr>
          <w:rFonts w:ascii="Courier New" w:hAnsi="Courier New"/>
          <w:sz w:val="28"/>
        </w:rPr>
      </w:pPr>
      <w:bookmarkStart w:id="4" w:name="_GoBack"/>
      <w:bookmarkEnd w:id="4"/>
    </w:p>
    <w:sectPr w:rsidR="001124F2">
      <w:pgSz w:w="11906" w:h="16838"/>
      <w:pgMar w:top="1383" w:right="567" w:bottom="1418" w:left="1418" w:header="567" w:footer="44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24F2" w:rsidRDefault="001124F2">
      <w:r>
        <w:separator/>
      </w:r>
    </w:p>
  </w:endnote>
  <w:endnote w:type="continuationSeparator" w:id="0">
    <w:p w:rsidR="001124F2" w:rsidRDefault="00112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24F2" w:rsidRDefault="001124F2">
      <w:r>
        <w:separator/>
      </w:r>
    </w:p>
  </w:footnote>
  <w:footnote w:type="continuationSeparator" w:id="0">
    <w:p w:rsidR="001124F2" w:rsidRDefault="001124F2">
      <w:r>
        <w:continuationSeparator/>
      </w:r>
    </w:p>
  </w:footnote>
  <w:footnote w:id="1">
    <w:p w:rsidR="001124F2" w:rsidRDefault="001124F2">
      <w:pPr>
        <w:pStyle w:val="a7"/>
        <w:jc w:val="both"/>
      </w:pPr>
      <w:r>
        <w:rPr>
          <w:rStyle w:val="a8"/>
        </w:rPr>
        <w:sym w:font="Symbol" w:char="F02A"/>
      </w:r>
      <w:r>
        <w:t xml:space="preserve"> Утверждено: задание по сбору доходов на 1 полугодие 2001 года, исполнено по отчету Правительства Российской Федерации за 1 полугодие 2001 года, рассмотренному на заседании Правительства Российской Федерации 30 августа 2001 года. В соответствии с Федеральным законом «О федеральном бюджете на 2001 год» (ст. 24) доходы федерального бюджета должны составить 587,7 млрд. рублей, фактически по отчету Правительства Российской Федерации они составили 713,1 млрд. рублей, т.е. с превышением на 125,6 млрд. рублей.</w:t>
      </w:r>
    </w:p>
  </w:footnote>
  <w:footnote w:id="2">
    <w:p w:rsidR="001124F2" w:rsidRDefault="001124F2">
      <w:pPr>
        <w:pStyle w:val="a7"/>
      </w:pPr>
      <w:r>
        <w:rPr>
          <w:rStyle w:val="a8"/>
        </w:rPr>
        <w:t>*</w:t>
      </w:r>
      <w:r>
        <w:t xml:space="preserve">  По материалам, представленным Правительством Российской Федерации одновременно с проектом федерального закона «О федеральном бюджете на 2002 год»</w:t>
      </w:r>
    </w:p>
  </w:footnote>
  <w:footnote w:id="3">
    <w:p w:rsidR="001124F2" w:rsidRDefault="001124F2">
      <w:pPr>
        <w:pStyle w:val="a7"/>
      </w:pPr>
      <w:r>
        <w:rPr>
          <w:rStyle w:val="a8"/>
        </w:rPr>
        <w:t>**</w:t>
      </w:r>
      <w:r>
        <w:t xml:space="preserve"> Темпы роста в реальном выражении определены по индексу-дефлятору ВВП (114,8%).</w:t>
      </w:r>
    </w:p>
  </w:footnote>
  <w:footnote w:id="4">
    <w:p w:rsidR="001124F2" w:rsidRDefault="001124F2">
      <w:pPr>
        <w:pStyle w:val="a7"/>
      </w:pPr>
      <w:r>
        <w:rPr>
          <w:rStyle w:val="a8"/>
        </w:rPr>
        <w:t>*</w:t>
      </w:r>
      <w:r>
        <w:t xml:space="preserve">  По материалам, представленным Правительством Российской Федерации одновременно с проектом федерального закона «О федеральном бюджете на 2002 год»</w:t>
      </w:r>
    </w:p>
  </w:footnote>
  <w:footnote w:id="5">
    <w:p w:rsidR="001124F2" w:rsidRDefault="001124F2">
      <w:pPr>
        <w:pStyle w:val="a7"/>
      </w:pPr>
      <w:r>
        <w:rPr>
          <w:rStyle w:val="a8"/>
        </w:rPr>
        <w:t>**</w:t>
      </w:r>
      <w:r>
        <w:t xml:space="preserve"> Темпы роста в реальном выражении определены по индексу-дефлятору ВВП (114,8%).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4F2" w:rsidRDefault="001124F2">
    <w:pPr>
      <w:pStyle w:val="ae"/>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rsidR="001124F2" w:rsidRDefault="001124F2">
    <w:pPr>
      <w:pStyle w:val="a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4F2" w:rsidRDefault="001124F2">
    <w:pPr>
      <w:pStyle w:val="ae"/>
      <w:framePr w:w="819" w:wrap="around" w:vAnchor="text" w:hAnchor="page" w:x="10513" w:y="2"/>
      <w:jc w:val="center"/>
      <w:rPr>
        <w:rStyle w:val="af"/>
      </w:rPr>
    </w:pPr>
    <w:r>
      <w:rPr>
        <w:rStyle w:val="af"/>
      </w:rPr>
      <w:t xml:space="preserve">- </w:t>
    </w:r>
    <w:r>
      <w:rPr>
        <w:rStyle w:val="af"/>
        <w:noProof/>
      </w:rPr>
      <w:t>8</w:t>
    </w:r>
    <w:r>
      <w:rPr>
        <w:rStyle w:val="af"/>
      </w:rPr>
      <w:t xml:space="preserve"> -</w:t>
    </w:r>
  </w:p>
  <w:p w:rsidR="001124F2" w:rsidRDefault="001124F2">
    <w:pPr>
      <w:pStyle w:val="ae"/>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DF9AB9F0"/>
    <w:lvl w:ilvl="0">
      <w:start w:val="1"/>
      <w:numFmt w:val="bullet"/>
      <w:pStyle w:val="2"/>
      <w:lvlText w:val=""/>
      <w:lvlJc w:val="left"/>
      <w:pPr>
        <w:tabs>
          <w:tab w:val="num" w:pos="643"/>
        </w:tabs>
        <w:ind w:left="643" w:hanging="360"/>
      </w:pPr>
      <w:rPr>
        <w:rFonts w:ascii="Symbol" w:hAnsi="Symbol" w:hint="default"/>
      </w:rPr>
    </w:lvl>
  </w:abstractNum>
  <w:abstractNum w:abstractNumId="1">
    <w:nsid w:val="FFFFFF89"/>
    <w:multiLevelType w:val="singleLevel"/>
    <w:tmpl w:val="CF36E8C4"/>
    <w:lvl w:ilvl="0">
      <w:start w:val="1"/>
      <w:numFmt w:val="bullet"/>
      <w:pStyle w:val="a"/>
      <w:lvlText w:val=""/>
      <w:lvlJc w:val="left"/>
      <w:pPr>
        <w:tabs>
          <w:tab w:val="num" w:pos="360"/>
        </w:tabs>
        <w:ind w:left="360" w:hanging="360"/>
      </w:pPr>
      <w:rPr>
        <w:rFonts w:ascii="Symbol" w:hAnsi="Symbol" w:hint="default"/>
      </w:rPr>
    </w:lvl>
  </w:abstractNum>
  <w:abstractNum w:abstractNumId="2">
    <w:nsid w:val="0C20654E"/>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3">
    <w:nsid w:val="2D3D2733"/>
    <w:multiLevelType w:val="multilevel"/>
    <w:tmpl w:val="1AEC339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4">
    <w:nsid w:val="2EC73C5F"/>
    <w:multiLevelType w:val="singleLevel"/>
    <w:tmpl w:val="0419000F"/>
    <w:lvl w:ilvl="0">
      <w:start w:val="1"/>
      <w:numFmt w:val="decimal"/>
      <w:lvlText w:val="%1."/>
      <w:lvlJc w:val="left"/>
      <w:pPr>
        <w:tabs>
          <w:tab w:val="num" w:pos="360"/>
        </w:tabs>
        <w:ind w:left="360" w:hanging="360"/>
      </w:pPr>
    </w:lvl>
  </w:abstractNum>
  <w:abstractNum w:abstractNumId="5">
    <w:nsid w:val="320827B8"/>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6">
    <w:nsid w:val="46D65447"/>
    <w:multiLevelType w:val="singleLevel"/>
    <w:tmpl w:val="ADAE9606"/>
    <w:lvl w:ilvl="0">
      <w:start w:val="20"/>
      <w:numFmt w:val="bullet"/>
      <w:lvlText w:val="-"/>
      <w:lvlJc w:val="left"/>
      <w:pPr>
        <w:tabs>
          <w:tab w:val="num" w:pos="360"/>
        </w:tabs>
        <w:ind w:left="360" w:hanging="360"/>
      </w:pPr>
      <w:rPr>
        <w:rFonts w:hint="default"/>
      </w:rPr>
    </w:lvl>
  </w:abstractNum>
  <w:abstractNum w:abstractNumId="7">
    <w:nsid w:val="4901653C"/>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8">
    <w:nsid w:val="4F4710AF"/>
    <w:multiLevelType w:val="singleLevel"/>
    <w:tmpl w:val="53D0A626"/>
    <w:lvl w:ilvl="0">
      <w:numFmt w:val="bullet"/>
      <w:lvlText w:val="-"/>
      <w:lvlJc w:val="left"/>
      <w:pPr>
        <w:tabs>
          <w:tab w:val="num" w:pos="420"/>
        </w:tabs>
        <w:ind w:left="420" w:hanging="360"/>
      </w:pPr>
      <w:rPr>
        <w:rFonts w:hint="default"/>
      </w:rPr>
    </w:lvl>
  </w:abstractNum>
  <w:abstractNum w:abstractNumId="9">
    <w:nsid w:val="51E32E63"/>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0">
    <w:nsid w:val="5E7D20E0"/>
    <w:multiLevelType w:val="singleLevel"/>
    <w:tmpl w:val="0419000B"/>
    <w:lvl w:ilvl="0">
      <w:start w:val="1"/>
      <w:numFmt w:val="bullet"/>
      <w:lvlText w:val=""/>
      <w:lvlJc w:val="left"/>
      <w:pPr>
        <w:tabs>
          <w:tab w:val="num" w:pos="360"/>
        </w:tabs>
        <w:ind w:left="360" w:hanging="360"/>
      </w:pPr>
      <w:rPr>
        <w:rFonts w:ascii="Wingdings" w:hAnsi="Wingdings" w:hint="default"/>
      </w:rPr>
    </w:lvl>
  </w:abstractNum>
  <w:num w:numId="1">
    <w:abstractNumId w:val="5"/>
  </w:num>
  <w:num w:numId="2">
    <w:abstractNumId w:val="0"/>
  </w:num>
  <w:num w:numId="3">
    <w:abstractNumId w:val="7"/>
  </w:num>
  <w:num w:numId="4">
    <w:abstractNumId w:val="2"/>
  </w:num>
  <w:num w:numId="5">
    <w:abstractNumId w:val="4"/>
  </w:num>
  <w:num w:numId="6">
    <w:abstractNumId w:val="1"/>
  </w:num>
  <w:num w:numId="7">
    <w:abstractNumId w:val="3"/>
  </w:num>
  <w:num w:numId="8">
    <w:abstractNumId w:val="10"/>
  </w:num>
  <w:num w:numId="9">
    <w:abstractNumId w:val="8"/>
  </w:num>
  <w:num w:numId="10">
    <w:abstractNumId w:val="9"/>
  </w:num>
  <w:num w:numId="11">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86891"/>
    <w:rsid w:val="001124F2"/>
    <w:rsid w:val="00186891"/>
    <w:rsid w:val="00434C9A"/>
    <w:rsid w:val="00901A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1"/>
    <o:shapelayout v:ext="edit">
      <o:idmap v:ext="edit" data="1"/>
    </o:shapelayout>
  </w:shapeDefaults>
  <w:decimalSymbol w:val=","/>
  <w:listSeparator w:val=";"/>
  <w15:chartTrackingRefBased/>
  <w15:docId w15:val="{A35916D5-C90B-497B-95E1-4A3BB28A8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rFonts w:ascii="Arial" w:hAnsi="Arial"/>
    </w:rPr>
  </w:style>
  <w:style w:type="paragraph" w:styleId="1">
    <w:name w:val="heading 1"/>
    <w:basedOn w:val="a0"/>
    <w:next w:val="a0"/>
    <w:qFormat/>
    <w:pPr>
      <w:keepNext/>
      <w:spacing w:before="240" w:after="60"/>
      <w:outlineLvl w:val="0"/>
    </w:pPr>
    <w:rPr>
      <w:b/>
      <w:kern w:val="28"/>
      <w:sz w:val="28"/>
    </w:rPr>
  </w:style>
  <w:style w:type="paragraph" w:styleId="20">
    <w:name w:val="heading 2"/>
    <w:basedOn w:val="a0"/>
    <w:next w:val="a0"/>
    <w:qFormat/>
    <w:pPr>
      <w:keepNext/>
      <w:spacing w:before="240" w:after="60"/>
      <w:outlineLvl w:val="1"/>
    </w:pPr>
    <w:rPr>
      <w:b/>
      <w:i/>
      <w:sz w:val="24"/>
    </w:rPr>
  </w:style>
  <w:style w:type="paragraph" w:styleId="3">
    <w:name w:val="heading 3"/>
    <w:basedOn w:val="a0"/>
    <w:next w:val="a0"/>
    <w:qFormat/>
    <w:pPr>
      <w:keepNext/>
      <w:spacing w:before="240" w:after="60"/>
      <w:outlineLvl w:val="2"/>
    </w:pPr>
    <w:rPr>
      <w:sz w:val="24"/>
    </w:rPr>
  </w:style>
  <w:style w:type="paragraph" w:styleId="4">
    <w:name w:val="heading 4"/>
    <w:basedOn w:val="a0"/>
    <w:next w:val="a0"/>
    <w:qFormat/>
    <w:pPr>
      <w:keepNext/>
      <w:numPr>
        <w:ilvl w:val="3"/>
        <w:numId w:val="7"/>
      </w:numPr>
      <w:spacing w:before="240"/>
      <w:jc w:val="both"/>
      <w:outlineLvl w:val="3"/>
    </w:pPr>
    <w:rPr>
      <w:b/>
      <w:sz w:val="24"/>
    </w:rPr>
  </w:style>
  <w:style w:type="paragraph" w:styleId="5">
    <w:name w:val="heading 5"/>
    <w:basedOn w:val="a0"/>
    <w:next w:val="a0"/>
    <w:qFormat/>
    <w:pPr>
      <w:numPr>
        <w:ilvl w:val="4"/>
        <w:numId w:val="7"/>
      </w:numPr>
      <w:spacing w:before="240"/>
      <w:jc w:val="both"/>
      <w:outlineLvl w:val="4"/>
    </w:pPr>
    <w:rPr>
      <w:rFonts w:ascii="Times New Roman" w:hAnsi="Times New Roman"/>
      <w:sz w:val="22"/>
    </w:rPr>
  </w:style>
  <w:style w:type="paragraph" w:styleId="6">
    <w:name w:val="heading 6"/>
    <w:basedOn w:val="a0"/>
    <w:next w:val="a0"/>
    <w:qFormat/>
    <w:pPr>
      <w:numPr>
        <w:ilvl w:val="5"/>
        <w:numId w:val="7"/>
      </w:numPr>
      <w:spacing w:before="240"/>
      <w:jc w:val="both"/>
      <w:outlineLvl w:val="5"/>
    </w:pPr>
    <w:rPr>
      <w:rFonts w:ascii="Times New Roman" w:hAnsi="Times New Roman"/>
      <w:i/>
      <w:sz w:val="22"/>
    </w:rPr>
  </w:style>
  <w:style w:type="paragraph" w:styleId="7">
    <w:name w:val="heading 7"/>
    <w:basedOn w:val="a0"/>
    <w:next w:val="a0"/>
    <w:qFormat/>
    <w:pPr>
      <w:numPr>
        <w:ilvl w:val="6"/>
        <w:numId w:val="7"/>
      </w:numPr>
      <w:spacing w:before="240"/>
      <w:jc w:val="both"/>
      <w:outlineLvl w:val="6"/>
    </w:pPr>
  </w:style>
  <w:style w:type="paragraph" w:styleId="8">
    <w:name w:val="heading 8"/>
    <w:basedOn w:val="a0"/>
    <w:next w:val="a0"/>
    <w:qFormat/>
    <w:pPr>
      <w:numPr>
        <w:ilvl w:val="7"/>
        <w:numId w:val="7"/>
      </w:numPr>
      <w:spacing w:before="240"/>
      <w:jc w:val="both"/>
      <w:outlineLvl w:val="7"/>
    </w:pPr>
    <w:rPr>
      <w:i/>
    </w:rPr>
  </w:style>
  <w:style w:type="paragraph" w:styleId="9">
    <w:name w:val="heading 9"/>
    <w:basedOn w:val="a0"/>
    <w:next w:val="a0"/>
    <w:qFormat/>
    <w:pPr>
      <w:numPr>
        <w:ilvl w:val="8"/>
        <w:numId w:val="7"/>
      </w:numPr>
      <w:spacing w:before="240"/>
      <w:jc w:val="both"/>
      <w:outlineLvl w:val="8"/>
    </w:pPr>
    <w:rPr>
      <w:b/>
      <w:i/>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ocument Map"/>
    <w:basedOn w:val="a0"/>
    <w:semiHidden/>
    <w:pPr>
      <w:shd w:val="clear" w:color="auto" w:fill="000080"/>
    </w:pPr>
    <w:rPr>
      <w:rFonts w:ascii="Tahoma" w:hAnsi="Tahoma"/>
    </w:rPr>
  </w:style>
  <w:style w:type="paragraph" w:styleId="21">
    <w:name w:val="Body Text Indent 2"/>
    <w:basedOn w:val="a0"/>
    <w:semiHidden/>
    <w:pPr>
      <w:shd w:val="clear" w:color="auto" w:fill="FFFFFF"/>
      <w:spacing w:before="250" w:line="360" w:lineRule="auto"/>
      <w:ind w:firstLine="567"/>
      <w:jc w:val="both"/>
    </w:pPr>
    <w:rPr>
      <w:rFonts w:ascii="Courier New" w:hAnsi="Courier New"/>
      <w:b/>
      <w:color w:val="000000"/>
      <w:sz w:val="36"/>
    </w:rPr>
  </w:style>
  <w:style w:type="character" w:styleId="a5">
    <w:name w:val="annotation reference"/>
    <w:semiHidden/>
    <w:rPr>
      <w:sz w:val="16"/>
    </w:rPr>
  </w:style>
  <w:style w:type="paragraph" w:styleId="a6">
    <w:name w:val="annotation text"/>
    <w:basedOn w:val="a0"/>
    <w:semiHidden/>
  </w:style>
  <w:style w:type="paragraph" w:styleId="a7">
    <w:name w:val="footnote text"/>
    <w:basedOn w:val="a0"/>
    <w:semiHidden/>
  </w:style>
  <w:style w:type="character" w:styleId="a8">
    <w:name w:val="footnote reference"/>
    <w:semiHidden/>
    <w:rPr>
      <w:vertAlign w:val="superscript"/>
    </w:rPr>
  </w:style>
  <w:style w:type="paragraph" w:styleId="a9">
    <w:name w:val="Title"/>
    <w:basedOn w:val="a0"/>
    <w:qFormat/>
    <w:pPr>
      <w:widowControl w:val="0"/>
      <w:shd w:val="clear" w:color="auto" w:fill="FFFFFF"/>
      <w:autoSpaceDE w:val="0"/>
      <w:autoSpaceDN w:val="0"/>
      <w:adjustRightInd w:val="0"/>
      <w:ind w:left="96"/>
      <w:jc w:val="center"/>
    </w:pPr>
    <w:rPr>
      <w:b/>
      <w:color w:val="000000"/>
      <w:sz w:val="28"/>
    </w:rPr>
  </w:style>
  <w:style w:type="paragraph" w:styleId="aa">
    <w:name w:val="Body Text Indent"/>
    <w:basedOn w:val="a0"/>
    <w:semiHidden/>
    <w:pPr>
      <w:widowControl w:val="0"/>
      <w:shd w:val="clear" w:color="auto" w:fill="FFFFFF"/>
      <w:autoSpaceDE w:val="0"/>
      <w:autoSpaceDN w:val="0"/>
      <w:adjustRightInd w:val="0"/>
      <w:spacing w:before="230" w:line="235" w:lineRule="exact"/>
      <w:ind w:left="67" w:firstLine="283"/>
      <w:jc w:val="both"/>
    </w:pPr>
    <w:rPr>
      <w:color w:val="000000"/>
      <w:sz w:val="28"/>
    </w:rPr>
  </w:style>
  <w:style w:type="paragraph" w:styleId="30">
    <w:name w:val="Body Text Indent 3"/>
    <w:basedOn w:val="a0"/>
    <w:semiHidden/>
    <w:pPr>
      <w:widowControl w:val="0"/>
      <w:shd w:val="clear" w:color="auto" w:fill="FFFFFF"/>
      <w:autoSpaceDE w:val="0"/>
      <w:autoSpaceDN w:val="0"/>
      <w:adjustRightInd w:val="0"/>
      <w:spacing w:before="5"/>
      <w:ind w:firstLine="567"/>
      <w:jc w:val="both"/>
    </w:pPr>
    <w:rPr>
      <w:color w:val="000000"/>
      <w:sz w:val="28"/>
    </w:rPr>
  </w:style>
  <w:style w:type="paragraph" w:styleId="ab">
    <w:name w:val="caption"/>
    <w:basedOn w:val="a0"/>
    <w:next w:val="a0"/>
    <w:qFormat/>
    <w:pPr>
      <w:spacing w:before="120" w:after="120"/>
    </w:pPr>
    <w:rPr>
      <w:b/>
    </w:rPr>
  </w:style>
  <w:style w:type="paragraph" w:styleId="22">
    <w:name w:val="List 2"/>
    <w:basedOn w:val="a0"/>
    <w:semiHidden/>
    <w:pPr>
      <w:ind w:left="566" w:hanging="283"/>
    </w:pPr>
  </w:style>
  <w:style w:type="paragraph" w:styleId="2">
    <w:name w:val="List Bullet 2"/>
    <w:basedOn w:val="a0"/>
    <w:autoRedefine/>
    <w:semiHidden/>
    <w:pPr>
      <w:numPr>
        <w:numId w:val="2"/>
      </w:numPr>
    </w:pPr>
  </w:style>
  <w:style w:type="paragraph" w:styleId="23">
    <w:name w:val="List Continue 2"/>
    <w:basedOn w:val="a0"/>
    <w:semiHidden/>
    <w:pPr>
      <w:spacing w:after="120"/>
      <w:ind w:left="566"/>
    </w:pPr>
  </w:style>
  <w:style w:type="paragraph" w:styleId="ac">
    <w:name w:val="Body Text"/>
    <w:basedOn w:val="a0"/>
    <w:semiHidden/>
    <w:rPr>
      <w:rFonts w:ascii="Verdana" w:hAnsi="Verdana"/>
      <w:sz w:val="24"/>
    </w:rPr>
  </w:style>
  <w:style w:type="paragraph" w:styleId="24">
    <w:name w:val="Body Text 2"/>
    <w:basedOn w:val="a0"/>
    <w:semiHidden/>
    <w:rPr>
      <w:rFonts w:ascii="Verdana" w:hAnsi="Verdana"/>
      <w:sz w:val="22"/>
    </w:rPr>
  </w:style>
  <w:style w:type="paragraph" w:styleId="31">
    <w:name w:val="Body Text 3"/>
    <w:basedOn w:val="a0"/>
    <w:semiHidden/>
    <w:rPr>
      <w:rFonts w:ascii="Verdana" w:hAnsi="Verdana"/>
      <w:color w:val="000080"/>
      <w:sz w:val="22"/>
    </w:rPr>
  </w:style>
  <w:style w:type="character" w:styleId="ad">
    <w:name w:val="Hyperlink"/>
    <w:semiHidden/>
    <w:rPr>
      <w:color w:val="0000FF"/>
      <w:u w:val="single"/>
    </w:rPr>
  </w:style>
  <w:style w:type="paragraph" w:styleId="ae">
    <w:name w:val="header"/>
    <w:basedOn w:val="a0"/>
    <w:semiHidden/>
    <w:pPr>
      <w:tabs>
        <w:tab w:val="center" w:pos="4153"/>
        <w:tab w:val="right" w:pos="8306"/>
      </w:tabs>
    </w:pPr>
  </w:style>
  <w:style w:type="character" w:styleId="af">
    <w:name w:val="page number"/>
    <w:basedOn w:val="a1"/>
    <w:semiHidden/>
  </w:style>
  <w:style w:type="paragraph" w:styleId="af0">
    <w:name w:val="footer"/>
    <w:basedOn w:val="a0"/>
    <w:semiHidden/>
    <w:pPr>
      <w:tabs>
        <w:tab w:val="center" w:pos="4153"/>
        <w:tab w:val="right" w:pos="8306"/>
      </w:tabs>
    </w:pPr>
  </w:style>
  <w:style w:type="character" w:customStyle="1" w:styleId="10">
    <w:name w:val="Строгий1"/>
    <w:rPr>
      <w:b/>
    </w:rPr>
  </w:style>
  <w:style w:type="paragraph" w:customStyle="1" w:styleId="11">
    <w:name w:val="Обычный1"/>
    <w:pPr>
      <w:spacing w:before="100" w:after="100"/>
    </w:pPr>
    <w:rPr>
      <w:snapToGrid w:val="0"/>
      <w:sz w:val="24"/>
    </w:rPr>
  </w:style>
  <w:style w:type="paragraph" w:customStyle="1" w:styleId="af1">
    <w:name w:val="Документ"/>
    <w:basedOn w:val="a0"/>
    <w:pPr>
      <w:spacing w:line="360" w:lineRule="auto"/>
      <w:ind w:firstLine="709"/>
      <w:jc w:val="both"/>
    </w:pPr>
    <w:rPr>
      <w:rFonts w:ascii="Times New Roman" w:hAnsi="Times New Roman"/>
      <w:sz w:val="28"/>
    </w:rPr>
  </w:style>
  <w:style w:type="paragraph" w:customStyle="1" w:styleId="12">
    <w:name w:val="Обычный1"/>
  </w:style>
  <w:style w:type="paragraph" w:styleId="a">
    <w:name w:val="List Bullet"/>
    <w:basedOn w:val="a0"/>
    <w:autoRedefine/>
    <w:semiHidden/>
    <w:pPr>
      <w:numPr>
        <w:numId w:val="6"/>
      </w:numPr>
    </w:pPr>
    <w:rPr>
      <w:rFonts w:ascii="Times New Roman" w:hAnsi="Times New Roman"/>
    </w:rPr>
  </w:style>
  <w:style w:type="paragraph" w:customStyle="1" w:styleId="13">
    <w:name w:val="Стиль1"/>
    <w:basedOn w:val="a0"/>
    <w:pPr>
      <w:spacing w:line="300" w:lineRule="auto"/>
      <w:ind w:firstLine="720"/>
      <w:jc w:val="both"/>
    </w:pPr>
    <w:rPr>
      <w:rFonts w:ascii="Times New Roman" w:hAnsi="Times New Roman"/>
      <w:sz w:val="28"/>
    </w:rPr>
  </w:style>
  <w:style w:type="paragraph" w:customStyle="1" w:styleId="2001">
    <w:name w:val="Данный показатель Федеральным законом &quot;О федеральном бюджете на 2001 год&quot; не утвержден"/>
    <w:basedOn w:val="a7"/>
    <w:rPr>
      <w:rFonts w:ascii="Times New Roman" w:hAnsi="Times New Roman"/>
      <w:sz w:val="16"/>
    </w:rPr>
  </w:style>
  <w:style w:type="character" w:customStyle="1" w:styleId="14">
    <w:name w:val="Гиперссылка1"/>
    <w:rPr>
      <w:color w:val="0000FF"/>
      <w:u w:val="single"/>
    </w:rPr>
  </w:style>
  <w:style w:type="character" w:styleId="af2">
    <w:name w:val="FollowedHyperlink"/>
    <w:semiHidden/>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13686</Words>
  <Characters>78014</Characters>
  <Application>Microsoft Office Word</Application>
  <DocSecurity>0</DocSecurity>
  <Lines>650</Lines>
  <Paragraphs>183</Paragraphs>
  <ScaleCrop>false</ScaleCrop>
  <HeadingPairs>
    <vt:vector size="2" baseType="variant">
      <vt:variant>
        <vt:lpstr>Название</vt:lpstr>
      </vt:variant>
      <vt:variant>
        <vt:i4>1</vt:i4>
      </vt:variant>
    </vt:vector>
  </HeadingPairs>
  <TitlesOfParts>
    <vt:vector size="1" baseType="lpstr">
      <vt:lpstr>Дипломная работа</vt:lpstr>
    </vt:vector>
  </TitlesOfParts>
  <Company> </Company>
  <LinksUpToDate>false</LinksUpToDate>
  <CharactersWithSpaces>91517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Дипломная работа</dc:title>
  <dc:subject>Роль налогов в формировании бюджета РФ</dc:subject>
  <dc:creator>Артур</dc:creator>
  <cp:keywords/>
  <cp:lastModifiedBy>admin</cp:lastModifiedBy>
  <cp:revision>2</cp:revision>
  <cp:lastPrinted>2002-05-08T11:39:00Z</cp:lastPrinted>
  <dcterms:created xsi:type="dcterms:W3CDTF">2014-02-08T03:00:00Z</dcterms:created>
  <dcterms:modified xsi:type="dcterms:W3CDTF">2014-02-08T03:00:00Z</dcterms:modified>
</cp:coreProperties>
</file>