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A6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ДЕРЖАВНА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ВАЛЕНТИНА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АНАТОЛІЇВНА</w:t>
      </w: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</w:p>
    <w:p w:rsidR="0056076F" w:rsidRPr="00DC4B6E" w:rsidRDefault="0056076F" w:rsidP="00DC4B6E">
      <w:pPr>
        <w:tabs>
          <w:tab w:val="left" w:pos="7920"/>
          <w:tab w:val="left" w:pos="9000"/>
          <w:tab w:val="left" w:pos="9090"/>
          <w:tab w:val="left" w:pos="9355"/>
          <w:tab w:val="left" w:pos="10440"/>
        </w:tabs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УДК:612.433.65:616.441:616.692-053.7-08-037</w:t>
      </w:r>
    </w:p>
    <w:p w:rsidR="0056076F" w:rsidRPr="00DC4B6E" w:rsidRDefault="0056076F" w:rsidP="00DC4B6E">
      <w:pPr>
        <w:tabs>
          <w:tab w:val="left" w:pos="7920"/>
          <w:tab w:val="left" w:pos="1044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tabs>
          <w:tab w:val="left" w:pos="7920"/>
          <w:tab w:val="left" w:pos="1044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42E89" w:rsidRDefault="00C42E89" w:rsidP="00DC4B6E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 w:rsidRPr="00DC4B6E">
        <w:rPr>
          <w:b/>
          <w:sz w:val="28"/>
          <w:szCs w:val="28"/>
          <w:lang w:val="uk-UA"/>
        </w:rPr>
        <w:t>Особливості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сомато–статевого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розвитку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і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функції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системи</w:t>
      </w:r>
      <w:r w:rsidR="006527A6">
        <w:rPr>
          <w:b/>
          <w:sz w:val="28"/>
          <w:szCs w:val="28"/>
          <w:lang w:val="uk-UA"/>
        </w:rPr>
        <w:t xml:space="preserve"> </w:t>
      </w:r>
    </w:p>
    <w:p w:rsidR="0056076F" w:rsidRPr="00DC4B6E" w:rsidRDefault="00C42E89" w:rsidP="00DC4B6E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  <w:r w:rsidRPr="00DC4B6E">
        <w:rPr>
          <w:b/>
          <w:sz w:val="28"/>
          <w:szCs w:val="28"/>
          <w:lang w:val="uk-UA"/>
        </w:rPr>
        <w:t>гіпофіз–гонади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та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щитоподібної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залози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при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порушеннях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чоловічого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пубертату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за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умов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йодної</w:t>
      </w:r>
      <w:r w:rsidR="006527A6">
        <w:rPr>
          <w:b/>
          <w:sz w:val="28"/>
          <w:szCs w:val="28"/>
          <w:lang w:val="uk-UA"/>
        </w:rPr>
        <w:t xml:space="preserve"> </w:t>
      </w:r>
      <w:r w:rsidRPr="00DC4B6E">
        <w:rPr>
          <w:b/>
          <w:sz w:val="28"/>
          <w:szCs w:val="28"/>
          <w:lang w:val="uk-UA"/>
        </w:rPr>
        <w:t>недостатності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14.01.14</w:t>
      </w:r>
      <w:r w:rsidR="006527A6">
        <w:rPr>
          <w:sz w:val="28"/>
          <w:szCs w:val="28"/>
        </w:rPr>
        <w:t xml:space="preserve"> </w:t>
      </w:r>
      <w:r w:rsidRPr="00DC4B6E">
        <w:rPr>
          <w:sz w:val="28"/>
          <w:szCs w:val="28"/>
        </w:rPr>
        <w:t>-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ендокринологія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АВТОРЕФЕРАТ</w:t>
      </w: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дисертації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здобуття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</w:t>
      </w: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кандидата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6527A6" w:rsidRDefault="0056076F" w:rsidP="00DC4B6E">
      <w:pPr>
        <w:spacing w:line="360" w:lineRule="auto"/>
        <w:ind w:firstLine="720"/>
        <w:jc w:val="both"/>
        <w:rPr>
          <w:sz w:val="28"/>
          <w:szCs w:val="28"/>
        </w:rPr>
      </w:pPr>
    </w:p>
    <w:p w:rsidR="00DC4B6E" w:rsidRPr="006527A6" w:rsidRDefault="00DC4B6E" w:rsidP="00DC4B6E">
      <w:pPr>
        <w:spacing w:line="360" w:lineRule="auto"/>
        <w:ind w:firstLine="720"/>
        <w:jc w:val="both"/>
        <w:rPr>
          <w:sz w:val="28"/>
          <w:szCs w:val="28"/>
        </w:rPr>
      </w:pPr>
    </w:p>
    <w:p w:rsidR="00DC4B6E" w:rsidRPr="006527A6" w:rsidRDefault="00DC4B6E" w:rsidP="00DC4B6E">
      <w:pPr>
        <w:spacing w:line="360" w:lineRule="auto"/>
        <w:ind w:firstLine="720"/>
        <w:jc w:val="both"/>
        <w:rPr>
          <w:sz w:val="28"/>
          <w:szCs w:val="28"/>
        </w:rPr>
      </w:pPr>
    </w:p>
    <w:p w:rsidR="0056076F" w:rsidRPr="00DC4B6E" w:rsidRDefault="0056076F" w:rsidP="00DC4B6E">
      <w:pPr>
        <w:spacing w:line="360" w:lineRule="auto"/>
        <w:ind w:firstLine="720"/>
        <w:jc w:val="center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Харків-2008</w:t>
      </w:r>
    </w:p>
    <w:p w:rsidR="0056076F" w:rsidRPr="00DC4B6E" w:rsidRDefault="00DC4B6E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6076F" w:rsidRPr="00DC4B6E">
        <w:rPr>
          <w:sz w:val="28"/>
          <w:szCs w:val="28"/>
          <w:lang w:val="uk-UA"/>
        </w:rPr>
        <w:lastRenderedPageBreak/>
        <w:t>Дисертацією</w:t>
      </w:r>
      <w:r w:rsidR="006527A6">
        <w:rPr>
          <w:sz w:val="28"/>
          <w:szCs w:val="28"/>
          <w:lang w:val="uk-UA"/>
        </w:rPr>
        <w:t xml:space="preserve"> </w:t>
      </w:r>
      <w:r w:rsidR="0056076F" w:rsidRPr="00DC4B6E">
        <w:rPr>
          <w:sz w:val="28"/>
          <w:szCs w:val="28"/>
          <w:lang w:val="uk-UA"/>
        </w:rPr>
        <w:t>є</w:t>
      </w:r>
      <w:r w:rsidR="006527A6">
        <w:rPr>
          <w:sz w:val="28"/>
          <w:szCs w:val="28"/>
          <w:lang w:val="uk-UA"/>
        </w:rPr>
        <w:t xml:space="preserve"> </w:t>
      </w:r>
      <w:r w:rsidR="0056076F" w:rsidRPr="00DC4B6E">
        <w:rPr>
          <w:sz w:val="28"/>
          <w:szCs w:val="28"/>
          <w:lang w:val="uk-UA"/>
        </w:rPr>
        <w:t>рукопис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Робота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виконана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56076F" w:rsidRPr="00DC4B6E" w:rsidRDefault="0056076F" w:rsidP="00DC4B6E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Науковий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керівник</w:t>
      </w:r>
      <w:r w:rsidR="00DC4B6E">
        <w:rPr>
          <w:b/>
          <w:bCs/>
          <w:sz w:val="28"/>
          <w:szCs w:val="28"/>
        </w:rPr>
        <w:t>:</w:t>
      </w:r>
      <w:r w:rsidR="006527A6">
        <w:rPr>
          <w:b/>
          <w:bCs/>
          <w:sz w:val="28"/>
          <w:szCs w:val="28"/>
        </w:rPr>
        <w:t xml:space="preserve"> </w:t>
      </w:r>
      <w:r w:rsidRPr="00DC4B6E">
        <w:rPr>
          <w:sz w:val="28"/>
          <w:szCs w:val="28"/>
          <w:lang w:val="uk-UA"/>
        </w:rPr>
        <w:t>доктор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старший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співробітник,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Бондаренко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Володимир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Олександрович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  <w:r w:rsidRPr="00DC4B6E">
        <w:rPr>
          <w:b/>
          <w:bCs/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завідувач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відділенням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</w:t>
      </w:r>
      <w:r w:rsidR="00DC4B6E">
        <w:rPr>
          <w:sz w:val="28"/>
          <w:szCs w:val="28"/>
          <w:lang w:val="uk-UA"/>
        </w:rPr>
        <w:t>;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Офіційні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опоненти: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доктор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професор,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Плехова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Олена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Ігорівна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охорони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здоров'я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дітей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підлітків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  <w:r w:rsidRPr="00DC4B6E">
        <w:rPr>
          <w:b/>
          <w:bCs/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заступник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директора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роботи</w:t>
      </w:r>
      <w:r w:rsidR="00DC4B6E">
        <w:rPr>
          <w:sz w:val="28"/>
          <w:szCs w:val="28"/>
          <w:lang w:val="uk-UA"/>
        </w:rPr>
        <w:t>;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доктор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професор,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Паньків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Володимир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Іванович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Український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практичний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центр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хірургії,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трансплантації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органів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тканин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завідувач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відділу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профілактики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захворювань</w:t>
      </w:r>
      <w:r w:rsidR="00DC4B6E">
        <w:rPr>
          <w:sz w:val="28"/>
          <w:szCs w:val="28"/>
          <w:lang w:val="uk-UA"/>
        </w:rPr>
        <w:t>.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Захист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відбудеться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</w:t>
      </w:r>
      <w:r w:rsidR="006527A6">
        <w:rPr>
          <w:sz w:val="28"/>
          <w:szCs w:val="28"/>
        </w:rPr>
        <w:t xml:space="preserve"> </w:t>
      </w:r>
      <w:r w:rsidR="00870BED" w:rsidRPr="00DC4B6E">
        <w:rPr>
          <w:sz w:val="28"/>
          <w:szCs w:val="28"/>
        </w:rPr>
        <w:t>26</w:t>
      </w:r>
      <w:r w:rsidR="006527A6">
        <w:rPr>
          <w:sz w:val="28"/>
          <w:szCs w:val="28"/>
        </w:rPr>
        <w:t xml:space="preserve"> </w:t>
      </w:r>
      <w:r w:rsidRPr="00DC4B6E">
        <w:rPr>
          <w:sz w:val="28"/>
          <w:szCs w:val="28"/>
          <w:lang w:val="uk-UA"/>
        </w:rPr>
        <w:t>»</w:t>
      </w:r>
      <w:r w:rsidR="006527A6">
        <w:rPr>
          <w:sz w:val="28"/>
          <w:szCs w:val="28"/>
        </w:rPr>
        <w:t xml:space="preserve"> </w:t>
      </w:r>
      <w:r w:rsidR="00870BED" w:rsidRPr="00DC4B6E">
        <w:rPr>
          <w:sz w:val="28"/>
          <w:szCs w:val="28"/>
          <w:lang w:val="uk-UA"/>
        </w:rPr>
        <w:t>червня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2008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</w:t>
      </w:r>
      <w:r w:rsidR="006527A6">
        <w:rPr>
          <w:sz w:val="28"/>
          <w:szCs w:val="28"/>
          <w:lang w:val="uk-UA"/>
        </w:rPr>
        <w:t xml:space="preserve"> </w:t>
      </w:r>
      <w:r w:rsidR="00870BED" w:rsidRPr="00DC4B6E">
        <w:rPr>
          <w:sz w:val="28"/>
          <w:szCs w:val="28"/>
          <w:lang w:val="uk-UA"/>
        </w:rPr>
        <w:t>13.00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годині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засіданні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спеціалізованої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вченої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ради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64.564.01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(61002,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Харків,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вул.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Артема,10).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дисертацією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можна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ознайомитись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бібліотеці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(61002,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Харків,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вул.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Артема,10).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Авторефера</w:t>
      </w:r>
      <w:r w:rsidR="00870BED"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="00870BED" w:rsidRPr="00DC4B6E">
        <w:rPr>
          <w:sz w:val="28"/>
          <w:szCs w:val="28"/>
          <w:lang w:val="uk-UA"/>
        </w:rPr>
        <w:t>розісланий</w:t>
      </w:r>
      <w:r w:rsidR="006527A6">
        <w:rPr>
          <w:sz w:val="28"/>
          <w:szCs w:val="28"/>
          <w:lang w:val="uk-UA"/>
        </w:rPr>
        <w:t xml:space="preserve"> </w:t>
      </w:r>
      <w:r w:rsidR="00870BED" w:rsidRPr="00DC4B6E">
        <w:rPr>
          <w:sz w:val="28"/>
          <w:szCs w:val="28"/>
          <w:lang w:val="uk-UA"/>
        </w:rPr>
        <w:t>«</w:t>
      </w:r>
      <w:r w:rsidR="006527A6">
        <w:rPr>
          <w:sz w:val="28"/>
          <w:szCs w:val="28"/>
          <w:lang w:val="uk-UA"/>
        </w:rPr>
        <w:t xml:space="preserve"> </w:t>
      </w:r>
      <w:r w:rsidR="00870BED" w:rsidRPr="00DC4B6E">
        <w:rPr>
          <w:sz w:val="28"/>
          <w:szCs w:val="28"/>
          <w:lang w:val="uk-UA"/>
        </w:rPr>
        <w:t>23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»</w:t>
      </w:r>
      <w:r w:rsidR="006527A6">
        <w:rPr>
          <w:sz w:val="28"/>
          <w:szCs w:val="28"/>
          <w:lang w:val="uk-UA"/>
        </w:rPr>
        <w:t xml:space="preserve"> </w:t>
      </w:r>
      <w:r w:rsidR="00870BED" w:rsidRPr="00DC4B6E">
        <w:rPr>
          <w:sz w:val="28"/>
          <w:szCs w:val="28"/>
          <w:lang w:val="uk-UA"/>
        </w:rPr>
        <w:t>травня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2008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р.</w:t>
      </w:r>
    </w:p>
    <w:p w:rsidR="0056076F" w:rsidRPr="00DC4B6E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6527A6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Вчений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секретар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спеціалізованої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вченої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ради,</w:t>
      </w:r>
      <w:r w:rsidR="006527A6">
        <w:rPr>
          <w:sz w:val="28"/>
          <w:szCs w:val="28"/>
          <w:lang w:val="uk-UA"/>
        </w:rPr>
        <w:t xml:space="preserve"> </w:t>
      </w:r>
    </w:p>
    <w:p w:rsidR="006527A6" w:rsidRDefault="0056076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кандидат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4D06E3">
        <w:rPr>
          <w:sz w:val="28"/>
          <w:szCs w:val="28"/>
          <w:lang w:val="uk-UA"/>
        </w:rPr>
        <w:t xml:space="preserve">      </w:t>
      </w:r>
      <w:r w:rsidRPr="00DC4B6E">
        <w:rPr>
          <w:sz w:val="28"/>
          <w:szCs w:val="28"/>
          <w:lang w:val="uk-UA"/>
        </w:rPr>
        <w:t>Т.М.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Тихонова</w:t>
      </w:r>
    </w:p>
    <w:p w:rsidR="006527A6" w:rsidRPr="00DC4B6E" w:rsidRDefault="006527A6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  <w:sectPr w:rsidR="006527A6" w:rsidRPr="00DC4B6E" w:rsidSect="00DC4B6E">
          <w:pgSz w:w="11907" w:h="16840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D7C90" w:rsidRPr="00DC4B6E" w:rsidRDefault="00DD7C90" w:rsidP="006527A6">
      <w:pPr>
        <w:pStyle w:val="af5"/>
        <w:spacing w:line="360" w:lineRule="auto"/>
        <w:ind w:firstLine="720"/>
        <w:jc w:val="center"/>
        <w:rPr>
          <w:b/>
          <w:bCs/>
        </w:rPr>
      </w:pPr>
      <w:r w:rsidRPr="00DC4B6E">
        <w:rPr>
          <w:b/>
          <w:bCs/>
        </w:rPr>
        <w:t>ЗАГАЛЬНА</w:t>
      </w:r>
      <w:r w:rsidR="006527A6">
        <w:rPr>
          <w:b/>
          <w:bCs/>
        </w:rPr>
        <w:t xml:space="preserve"> </w:t>
      </w:r>
      <w:r w:rsidRPr="00DC4B6E">
        <w:rPr>
          <w:b/>
          <w:bCs/>
        </w:rPr>
        <w:t>ХАРАКТЕРИСТИКА</w:t>
      </w:r>
      <w:r w:rsidR="006527A6">
        <w:rPr>
          <w:b/>
          <w:bCs/>
        </w:rPr>
        <w:t xml:space="preserve"> </w:t>
      </w:r>
      <w:r w:rsidRPr="00DC4B6E">
        <w:rPr>
          <w:b/>
          <w:bCs/>
        </w:rPr>
        <w:t>РОБОТИ</w:t>
      </w:r>
    </w:p>
    <w:p w:rsidR="006527A6" w:rsidRDefault="006527A6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Актуальність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теми.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Висока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поширеність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</w:t>
      </w:r>
      <w:r w:rsidR="00BB76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спостерігається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2,9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67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3,5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дитячого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219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населення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219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C242E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Плехова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242E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242E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242E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</w:t>
      </w:r>
      <w:r w:rsidR="001E61B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C242E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27116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F450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2000;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219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Большова-Зубковська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219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.В.,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Тронько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Н.Д.,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2002),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тенденція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дітей,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захворювання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(Паньків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В.І.,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2003;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Корзун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В.Н.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2004)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вимагає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вивчення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патогенетичних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механізмів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впровадження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послідовних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діагностики,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профілактики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сприяє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формуванню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затримки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(Кроха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Н.В.,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2003;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Гобелецька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957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І.Д.,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3734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2007).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3734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Частота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3734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25,4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43,6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займає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перших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місць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дитячої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(Вацеба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2002;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75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Боярська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О.Я</w:t>
      </w:r>
      <w:r w:rsidR="00F6370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2003).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Поширеність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підлітків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значно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вища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вираженим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йододефіцитом,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порів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няно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місцевістю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незначним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398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достатньою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17A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йодозабез</w:t>
      </w:r>
      <w:r w:rsidR="00680D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печеністю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80D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(Караченцев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80D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Ю.І</w:t>
      </w:r>
      <w:r w:rsidR="0077189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80DC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81B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2003).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81B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81B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Косовцевої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Г.В.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(2002),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Зелінської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Н.Б.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(2003),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частота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супутніх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захворювань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ендемічним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зобом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першого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(I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ст.)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вища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зобом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II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Наявність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супутніх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захворювань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несприятливо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впливає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репродуктивної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супроводжується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відхиленням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функціонуванні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імунної,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нервової,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серцево-судинної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травної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системи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(Олійник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1998).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страждають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морально,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подальшому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притаманне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сексуальної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репродуктивн</w:t>
      </w:r>
      <w:r w:rsidR="006E571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E571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E571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Бондаренко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В.О</w:t>
      </w:r>
      <w:r w:rsidR="0025418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2004).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Підлітки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зумовленого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тиреоїдною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патологією,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своєчасно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необхідне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справляються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навчальними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навантаженнями,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вступають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життя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працездатністю,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дорослому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цієї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категорії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характерний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високий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стійкої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працездатності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(Васильцев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Я.С.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1996;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Боднар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П.М.,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2001).</w:t>
      </w:r>
    </w:p>
    <w:p w:rsidR="005A0CD0" w:rsidRPr="00DC4B6E" w:rsidRDefault="004376CF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вітчизняних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зарубіжних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авторів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пропонують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застосовувати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хоріогонічного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гонадотропіну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(ХГ),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андрогени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002B0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Zachmann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02B0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M.,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1991;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Горпинченко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І.І.,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Імшинецька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Л.П.,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2002;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5AD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Дєдов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5AD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І.І.,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5AD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2002;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5AD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Лучицький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Є.В.,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2003;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Бондаренко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В.О.,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2006).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затримці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або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функціональній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(ФНП)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призначаються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вітаміни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6B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7C706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Плехова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C706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C706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C706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C706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2006</w:t>
      </w:r>
      <w:r w:rsidR="00B733E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733E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гормоноредукована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733E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733E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(ГРТ),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анаболічною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дією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(Демченко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О.М.,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552C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2000)</w:t>
      </w:r>
      <w:r w:rsidR="00933D8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немає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однозначних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терміни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Відсутні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пубертатопатіях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частоти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різних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A0CD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чином,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своєчасне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виявлення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актуальною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медико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соціальною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проблемою.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торкається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насамперед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збереження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</w:t>
      </w:r>
      <w:r w:rsidR="00A3734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3734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здоров'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інтелекту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підростаючого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покоління,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подальшому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репродуктивної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дорослих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чоловіків.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Зв’язок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роботи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з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науковими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програмами,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планами,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темами.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Дисертація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фрагментом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НДР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«Механізми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шляхи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корекції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патоспермій,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обумовлених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диспубертатогенезом».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Номер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реєстрації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0101U000955,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виконувалась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України».</w:t>
      </w:r>
    </w:p>
    <w:p w:rsidR="00DD7C90" w:rsidRPr="00DC4B6E" w:rsidRDefault="006527A6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F14" w:rsidRPr="00DC4B6E">
        <w:rPr>
          <w:rFonts w:ascii="Times New Roman" w:hAnsi="Times New Roman" w:cs="Times New Roman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0F14" w:rsidRPr="00DC4B6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sz w:val="28"/>
          <w:szCs w:val="28"/>
          <w:lang w:val="uk-UA"/>
        </w:rPr>
        <w:t>дослідження.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підвищення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ефективності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профілактики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реабілітації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шляхом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удосконалення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методів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досягнення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зазначеної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поставлено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завдань:</w:t>
      </w:r>
    </w:p>
    <w:p w:rsidR="00DD7C90" w:rsidRPr="00DC4B6E" w:rsidRDefault="00DD7C90" w:rsidP="006527A6">
      <w:pPr>
        <w:pStyle w:val="a3"/>
        <w:numPr>
          <w:ilvl w:val="0"/>
          <w:numId w:val="4"/>
        </w:numPr>
        <w:tabs>
          <w:tab w:val="clear" w:pos="1033"/>
          <w:tab w:val="num" w:pos="567"/>
          <w:tab w:val="num" w:pos="1418"/>
        </w:tabs>
        <w:spacing w:before="0" w:after="0" w:line="36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Вивчити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частоту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</w:t>
      </w:r>
      <w:r w:rsidR="00936A8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36A8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36A8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</w:t>
      </w:r>
      <w:r w:rsidR="0068021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6527A6">
      <w:pPr>
        <w:pStyle w:val="a3"/>
        <w:numPr>
          <w:ilvl w:val="0"/>
          <w:numId w:val="4"/>
        </w:numPr>
        <w:tabs>
          <w:tab w:val="clear" w:pos="1033"/>
          <w:tab w:val="num" w:pos="142"/>
          <w:tab w:val="num" w:pos="1418"/>
        </w:tabs>
        <w:spacing w:before="0" w:after="0" w:line="36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Встановити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перебігу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6527A6">
      <w:pPr>
        <w:pStyle w:val="a3"/>
        <w:numPr>
          <w:ilvl w:val="0"/>
          <w:numId w:val="4"/>
        </w:numPr>
        <w:tabs>
          <w:tab w:val="clear" w:pos="1033"/>
          <w:tab w:val="num" w:pos="1418"/>
        </w:tabs>
        <w:spacing w:before="0" w:after="0" w:line="36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Дослідити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системи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гіпофіз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перебігу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DD7C90" w:rsidRPr="00DC4B6E" w:rsidRDefault="00DD7C90" w:rsidP="006527A6">
      <w:pPr>
        <w:pStyle w:val="a3"/>
        <w:numPr>
          <w:ilvl w:val="0"/>
          <w:numId w:val="4"/>
        </w:numPr>
        <w:tabs>
          <w:tab w:val="clear" w:pos="1033"/>
          <w:tab w:val="num" w:pos="1418"/>
        </w:tabs>
        <w:spacing w:before="0" w:after="0" w:line="36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Обґрунтувати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підходи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профілактики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8142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78142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врахуванням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перебігу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DC4B6E">
      <w:pPr>
        <w:pStyle w:val="a3"/>
        <w:numPr>
          <w:ilvl w:val="0"/>
          <w:numId w:val="4"/>
        </w:numPr>
        <w:tabs>
          <w:tab w:val="clear" w:pos="1033"/>
          <w:tab w:val="num" w:pos="0"/>
        </w:tabs>
        <w:spacing w:before="0" w:after="0" w:line="360" w:lineRule="auto"/>
        <w:ind w:left="0" w:firstLine="720"/>
        <w:jc w:val="both"/>
        <w:outlineLvl w:val="9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Запропонувати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алгоритм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Об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vertAlign w:val="superscript"/>
          <w:lang w:val="uk-UA"/>
        </w:rPr>
        <w:t>,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єкт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процес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соматичного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організму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Предмет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параметри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організму,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системи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гіпофіз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різних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Методи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дослідження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: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біохімічні,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імуноферментні,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інструментальні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статистичні.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новизна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одержаних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результатів.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Вперше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проведено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комплексне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вивчення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параметрів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функціонального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системи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гіпофіз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період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встановелені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структури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диспубертатогенезу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Визначено,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механізмі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сомато-статевого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суттєву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роль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відіграють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дисфункціональні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зміни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системі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гіпофіз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–щитоподібна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притаманні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або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латентному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Отримані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дозволили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теоретично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узагальнити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диференційованих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підходів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Практичне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значення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одержаних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результатів.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Виявлено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диференційно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діагностичні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критерії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сомато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урахуванням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нормованого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відхилення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(д)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індексу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маскулінізації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D7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(ІМ)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показників.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Апробовано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</w:t>
      </w:r>
      <w:r w:rsidR="00402C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дифікованої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класичної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02C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02C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(МГТ)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02C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модифікованої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гормоноредукованої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02C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(МГРТ)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ефективність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через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відзначена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43C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8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4,2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пролікованих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вірогідно,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вище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використовуваних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дотепер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профілактики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можливих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репродуктивної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зрілому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віці,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доведено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доцільність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раннього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початку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модифікованими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схемами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чотири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курси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рік.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Запропоновані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критерії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діагностики,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профілактики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4D06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впроваджені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поліклініці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Рівненської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цент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ральної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D108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лікарні,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C3A6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C3A6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Чернівецькому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C3A6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бласному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ендокринологічному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диспансері,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E006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кабінетах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Збаражської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Монастириської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центральних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район</w:t>
      </w:r>
      <w:r w:rsidR="00795EC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лікарень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(ЦРЛ)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Тернопільської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області.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Особистий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внесок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здобувача.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Автор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самостійно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здійснювала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спостереження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ході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виконання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здобувач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провела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статистичну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обробку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розробила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таблиці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схеми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диференційної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пацієнтів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проаналізувала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результати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сформулювала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положення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висновки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підготувала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друку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дисертацію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захисту.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Інструментальні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лабораторні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виконані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автором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керівництвом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д.мед.н.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професора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Кравченко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спільно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співробітниками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лабораторії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епідеміології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захворювань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інституту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обміну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речовин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В.П.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Коміса</w:t>
      </w:r>
      <w:r w:rsidR="001952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918A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918A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України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клініко–діагностичної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лабораторії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Рівненського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обласного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диспансеру.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Апробація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результатів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дисертації.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Результати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заслуховувалися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обговорювалися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спільному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засіданні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–методичного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товариства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міжобласній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практичній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конференції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лікарів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західного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регіону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України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“Сучасні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принципи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діагностики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йододефіцитної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залози”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(Тернопіль,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2004),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Всеукраїнській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практичній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конференції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“Йододефіцитні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захворювання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Лікувальна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тактика,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лікування”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(Тернопіль,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2005).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положення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дисертаційної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представлені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обговорені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практичних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конференціях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міжнародною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участю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«Наукові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практичні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проблеми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різних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періодах»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(Харків,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2006),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«Ендокринна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аспекті»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(Харків,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2007).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Фрагменти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власних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спостережень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запропонованого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алгоритму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висвітлені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VІІ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з'їзді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Асоціації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України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(Київ,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2007),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автор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нагороду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V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місце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конкурсі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молодих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учених.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Публікації.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дисертації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опубліковано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праць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вітчизняних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журналах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збірниках,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числі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чотири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журналах,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затверджених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(дві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одноосібних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співавторстві),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6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публікацій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збірниках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наукових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з'їздів,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конференцій.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Матеріали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дисертації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відображені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інформаційному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листі.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дисертаці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Роботу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викладено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50A5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сторін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машинописного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тексту.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складається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вступу,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огляду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літератури,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шести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розділів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власних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досліджень,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аналізу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узагальнення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результатів,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висновків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списку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літератури,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</w:t>
      </w:r>
      <w:r w:rsidR="004410C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410C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294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7688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джерела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C41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сторінки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Дисертацію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проілюстровано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9D5DD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таблицями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A276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рисунками.</w:t>
      </w:r>
    </w:p>
    <w:p w:rsidR="00DD7C90" w:rsidRPr="00DC4B6E" w:rsidRDefault="006527A6" w:rsidP="006527A6">
      <w:pPr>
        <w:pStyle w:val="a3"/>
        <w:spacing w:before="0" w:after="0" w:line="36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br w:type="page"/>
      </w:r>
      <w:r w:rsidR="00DD7C90" w:rsidRPr="00DC4B6E">
        <w:rPr>
          <w:rFonts w:ascii="Times New Roman" w:hAnsi="Times New Roman" w:cs="Times New Roman"/>
          <w:sz w:val="28"/>
          <w:szCs w:val="28"/>
          <w:lang w:val="uk-UA"/>
        </w:rPr>
        <w:t>ОСНОВНИЙ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sz w:val="28"/>
          <w:szCs w:val="28"/>
          <w:lang w:val="uk-UA"/>
        </w:rPr>
        <w:t>ЗМІСТ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sz w:val="28"/>
          <w:szCs w:val="28"/>
          <w:lang w:val="uk-UA"/>
        </w:rPr>
        <w:t>РОБОТИ</w:t>
      </w:r>
    </w:p>
    <w:p w:rsidR="006527A6" w:rsidRDefault="006527A6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7601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Матеріали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дослідження.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комплексно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7596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постійно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проживають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0448F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448F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448F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448F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448F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Рівненські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області.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545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виявлених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пацієнтів,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відібрано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DD17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дальшого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17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17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181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17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хворий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Контрольну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12–17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360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мешканців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360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цієї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місцевості,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постійно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отримували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параметри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Всім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пацієнтам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проводилося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вивчення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анамнезу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включало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вимірювання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ваги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тіла,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ширини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плечей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таза,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довжини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пальпацію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огляд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органів,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пальпацію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вимірювання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окружності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(ОЯ)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довжини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914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члена,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914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914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914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оволосін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ня.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оцінювався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згідно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протоколів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надання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медичної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допомоги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дітям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спеціальністю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«Дитяча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ендокринологія»,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затверджених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України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(2006).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проводилася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перцентильних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діаграм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допомогою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розрахунку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коефіцієнта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стандартного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відхилення.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допомогою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цього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коефіцієнта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оцінювали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нормативну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вагу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кожної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досліджуваних.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Обчислення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інтегрального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2669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2669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2669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E2669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індекса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маскулінізації,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пубертатогенезу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проводилось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методикою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запропонованою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професором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7BE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Демченком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(2000).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Рентгенологічне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«кісткового»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осифікації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загальноприйнятою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методикою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появ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ядер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окостеніння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синостозування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786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кістяка.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Ультразвукове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(УЗД)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розмірів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здійснювалось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апараті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Shima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Sonic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ZDL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оцінювалось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згідно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площі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поверхні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тіла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38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38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рекомендацією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38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ВООЗ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/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38D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МРКЙДЗ,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E0DF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2001.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пальпатор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07A0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розмірів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згідно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міжнародної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класифікації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зоба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(ВООЗ,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97B32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2001).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сечі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йодурію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проводилось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методикою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Sandell-Kolthoff.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сироватці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крові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лютеїнізуючого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(ЛГ),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фолікулостимулюючого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(ФСГ)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тиреотропного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(ТТГ)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пролактину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(ПРЛ),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тестостерону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(Т),</w:t>
      </w:r>
      <w:r w:rsidR="004D06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естрадіолу</w:t>
      </w:r>
      <w:r w:rsidR="004D06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(Е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2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вільних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трийодтироніну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вільний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тироксину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вільний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проводились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імуноферментним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методом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стандартних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наборів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59D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фірм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«Хема»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(Р</w:t>
      </w:r>
      <w:r w:rsidR="000E4B5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осія),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4B5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«Humen»,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4B5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«Elisa»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4B5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(Німеччи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«Гранум»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(Україна).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Статистичну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обробку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використанням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програмного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пакету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B4E0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«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Statistica</w:t>
      </w:r>
      <w:r w:rsidR="004B4E0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параметрів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M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m.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Вірогід</w:t>
      </w:r>
      <w:r w:rsidR="00F00E4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0E4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відмінностей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0E4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середніх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00E4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оцінювали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t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критерію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Ст'юдента.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Проводився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розрахунок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кореляцій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показниками,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вимірювались.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Результати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досліджень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та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їх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обговорення.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Проведене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роботі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вивчення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частоти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показало,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відзначається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7,1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спостережень.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Враховуючи,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175EAE"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="00175EAE" w:rsidRPr="00DC4B6E">
        <w:rPr>
          <w:sz w:val="28"/>
          <w:szCs w:val="28"/>
          <w:lang w:val="uk-UA"/>
        </w:rPr>
        <w:t>школярів</w:t>
      </w:r>
      <w:r w:rsidR="006527A6">
        <w:rPr>
          <w:sz w:val="28"/>
          <w:szCs w:val="28"/>
          <w:lang w:val="uk-UA"/>
        </w:rPr>
        <w:t xml:space="preserve"> </w:t>
      </w:r>
      <w:r w:rsidR="00175EAE" w:rsidRPr="00DC4B6E">
        <w:rPr>
          <w:sz w:val="28"/>
          <w:szCs w:val="28"/>
          <w:lang w:val="uk-UA"/>
        </w:rPr>
        <w:t>м.</w:t>
      </w:r>
      <w:r w:rsidR="006527A6">
        <w:rPr>
          <w:sz w:val="28"/>
          <w:szCs w:val="28"/>
          <w:lang w:val="uk-UA"/>
        </w:rPr>
        <w:t xml:space="preserve"> </w:t>
      </w:r>
      <w:r w:rsidR="002F6A52" w:rsidRPr="00DC4B6E">
        <w:rPr>
          <w:sz w:val="28"/>
          <w:szCs w:val="28"/>
          <w:lang w:val="uk-UA"/>
        </w:rPr>
        <w:t>Харкова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затримка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процесів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пубертатогенезу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складає</w:t>
      </w:r>
      <w:r w:rsidR="006527A6">
        <w:rPr>
          <w:sz w:val="28"/>
          <w:szCs w:val="28"/>
          <w:lang w:val="uk-UA"/>
        </w:rPr>
        <w:t xml:space="preserve"> </w:t>
      </w:r>
      <w:r w:rsidR="003013A4" w:rsidRPr="00DC4B6E">
        <w:rPr>
          <w:sz w:val="28"/>
          <w:szCs w:val="28"/>
          <w:lang w:val="uk-UA"/>
        </w:rPr>
        <w:t>5,6</w:t>
      </w:r>
      <w:r w:rsidR="006527A6">
        <w:rPr>
          <w:sz w:val="28"/>
          <w:szCs w:val="28"/>
          <w:lang w:val="uk-UA"/>
        </w:rPr>
        <w:t xml:space="preserve"> </w:t>
      </w:r>
      <w:r w:rsidR="003013A4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(Плехова</w:t>
      </w:r>
      <w:r w:rsidR="006527A6">
        <w:rPr>
          <w:sz w:val="28"/>
          <w:szCs w:val="28"/>
          <w:lang w:val="uk-UA"/>
        </w:rPr>
        <w:t xml:space="preserve"> </w:t>
      </w:r>
      <w:r w:rsidR="007547BE" w:rsidRPr="00DC4B6E">
        <w:rPr>
          <w:sz w:val="28"/>
          <w:szCs w:val="28"/>
          <w:lang w:val="uk-UA"/>
        </w:rPr>
        <w:t>О.І.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співавт.,</w:t>
      </w:r>
      <w:r w:rsidR="006527A6">
        <w:rPr>
          <w:sz w:val="28"/>
          <w:szCs w:val="28"/>
          <w:lang w:val="uk-UA"/>
        </w:rPr>
        <w:t xml:space="preserve"> </w:t>
      </w:r>
      <w:r w:rsidR="003013A4" w:rsidRPr="00DC4B6E">
        <w:rPr>
          <w:sz w:val="28"/>
          <w:szCs w:val="28"/>
          <w:lang w:val="uk-UA"/>
        </w:rPr>
        <w:t>200</w:t>
      </w:r>
      <w:r w:rsidRPr="00DC4B6E">
        <w:rPr>
          <w:sz w:val="28"/>
          <w:szCs w:val="28"/>
          <w:lang w:val="uk-UA"/>
        </w:rPr>
        <w:t>6),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можна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вважати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зростання</w:t>
      </w:r>
      <w:r w:rsidR="006527A6">
        <w:rPr>
          <w:sz w:val="28"/>
          <w:szCs w:val="28"/>
          <w:lang w:val="uk-UA"/>
        </w:rPr>
        <w:t xml:space="preserve"> </w:t>
      </w:r>
      <w:r w:rsidR="00461A36" w:rsidRPr="00DC4B6E">
        <w:rPr>
          <w:sz w:val="28"/>
          <w:szCs w:val="28"/>
          <w:lang w:val="uk-UA"/>
        </w:rPr>
        <w:t>розповсюдже</w:t>
      </w:r>
      <w:r w:rsidR="00175EAE" w:rsidRPr="00DC4B6E">
        <w:rPr>
          <w:sz w:val="28"/>
          <w:szCs w:val="28"/>
          <w:lang w:val="uk-UA"/>
        </w:rPr>
        <w:t>ності</w:t>
      </w:r>
      <w:r w:rsidR="006527A6">
        <w:rPr>
          <w:sz w:val="28"/>
          <w:szCs w:val="28"/>
          <w:lang w:val="uk-UA"/>
        </w:rPr>
        <w:t xml:space="preserve"> </w:t>
      </w:r>
      <w:r w:rsidR="00175EAE" w:rsidRPr="00DC4B6E">
        <w:rPr>
          <w:sz w:val="28"/>
          <w:szCs w:val="28"/>
          <w:lang w:val="uk-UA"/>
        </w:rPr>
        <w:t>пубертато</w:t>
      </w:r>
      <w:r w:rsidRPr="00DC4B6E">
        <w:rPr>
          <w:sz w:val="28"/>
          <w:szCs w:val="28"/>
          <w:lang w:val="uk-UA"/>
        </w:rPr>
        <w:t>патій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мешканців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Дослідження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відхилень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545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обстежених,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показало,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391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(71,8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місце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помірний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ступінь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(28,2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діагностовано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виражений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ступінь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невідповідності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сумарного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осіб,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25,3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встановлено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анамнезі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перинатальну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обтяженість,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6,5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травми,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запальні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процеси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яєчок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або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оперативні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втручання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яєчках.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Крім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того,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3,9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діагностовано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справжню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гінекомастію,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2,5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гіпоспадію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члена.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Пальпаторне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</w:t>
      </w:r>
      <w:r w:rsidR="009173F1" w:rsidRPr="00DC4B6E">
        <w:rPr>
          <w:sz w:val="28"/>
          <w:szCs w:val="28"/>
          <w:lang w:val="uk-UA"/>
        </w:rPr>
        <w:t>ібної</w:t>
      </w:r>
      <w:r w:rsidR="006527A6">
        <w:rPr>
          <w:sz w:val="28"/>
          <w:szCs w:val="28"/>
          <w:lang w:val="uk-UA"/>
        </w:rPr>
        <w:t xml:space="preserve"> </w:t>
      </w:r>
      <w:r w:rsidR="009173F1"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="009173F1" w:rsidRPr="00DC4B6E">
        <w:rPr>
          <w:sz w:val="28"/>
          <w:szCs w:val="28"/>
          <w:lang w:val="uk-UA"/>
        </w:rPr>
        <w:t>показало,</w:t>
      </w:r>
      <w:r w:rsidR="006527A6">
        <w:rPr>
          <w:sz w:val="28"/>
          <w:szCs w:val="28"/>
          <w:lang w:val="uk-UA"/>
        </w:rPr>
        <w:t xml:space="preserve"> </w:t>
      </w:r>
      <w:r w:rsidR="009173F1"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9173F1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9173F1" w:rsidRPr="00DC4B6E">
        <w:rPr>
          <w:sz w:val="28"/>
          <w:szCs w:val="28"/>
          <w:lang w:val="uk-UA"/>
        </w:rPr>
        <w:t>56,9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відзначається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Проведене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УЗД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виявило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зіставленні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показниками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для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площі</w:t>
      </w:r>
      <w:r w:rsidR="006527A6">
        <w:rPr>
          <w:sz w:val="28"/>
          <w:szCs w:val="28"/>
          <w:lang w:val="uk-UA"/>
        </w:rPr>
        <w:t xml:space="preserve"> </w:t>
      </w:r>
      <w:r w:rsidR="00B65145" w:rsidRPr="00DC4B6E">
        <w:rPr>
          <w:sz w:val="28"/>
          <w:szCs w:val="28"/>
          <w:lang w:val="uk-UA"/>
        </w:rPr>
        <w:t>тіла</w:t>
      </w:r>
      <w:r w:rsidR="006527A6">
        <w:rPr>
          <w:sz w:val="28"/>
          <w:szCs w:val="28"/>
          <w:lang w:val="uk-UA"/>
        </w:rPr>
        <w:t xml:space="preserve"> </w:t>
      </w:r>
      <w:r w:rsidR="00DF0300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DF0300" w:rsidRPr="00DC4B6E">
        <w:rPr>
          <w:sz w:val="28"/>
          <w:szCs w:val="28"/>
          <w:lang w:val="uk-UA"/>
        </w:rPr>
        <w:t>2</w:t>
      </w:r>
      <w:r w:rsidR="00593D27" w:rsidRPr="00DC4B6E">
        <w:rPr>
          <w:sz w:val="28"/>
          <w:szCs w:val="28"/>
          <w:lang w:val="uk-UA"/>
        </w:rPr>
        <w:t>8,3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–14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1349F5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593D27" w:rsidRPr="00DC4B6E">
        <w:rPr>
          <w:sz w:val="28"/>
          <w:szCs w:val="28"/>
          <w:lang w:val="uk-UA"/>
        </w:rPr>
        <w:t>31</w:t>
      </w:r>
      <w:r w:rsidR="001349F5" w:rsidRPr="00DC4B6E">
        <w:rPr>
          <w:sz w:val="28"/>
          <w:szCs w:val="28"/>
          <w:lang w:val="uk-UA"/>
        </w:rPr>
        <w:t>,</w:t>
      </w:r>
      <w:r w:rsidR="00593D27" w:rsidRPr="00DC4B6E">
        <w:rPr>
          <w:sz w:val="28"/>
          <w:szCs w:val="28"/>
          <w:lang w:val="uk-UA"/>
        </w:rPr>
        <w:t>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віку.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відбувається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тлі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зменшення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екскреції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сечею.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Дослідження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йодурії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встановило,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переважна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більшість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8E0335" w:rsidRPr="00DC4B6E">
        <w:rPr>
          <w:sz w:val="28"/>
          <w:szCs w:val="28"/>
          <w:lang w:val="uk-UA"/>
        </w:rPr>
        <w:t>(97,4</w:t>
      </w:r>
      <w:r w:rsidR="006527A6">
        <w:rPr>
          <w:sz w:val="28"/>
          <w:szCs w:val="28"/>
          <w:lang w:val="uk-UA"/>
        </w:rPr>
        <w:t xml:space="preserve"> </w:t>
      </w:r>
      <w:r w:rsidR="00DD0A81" w:rsidRPr="00DC4B6E">
        <w:rPr>
          <w:sz w:val="28"/>
          <w:szCs w:val="28"/>
          <w:lang w:val="uk-UA"/>
        </w:rPr>
        <w:t>%)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середньо</w:t>
      </w:r>
      <w:r w:rsidR="007C3131" w:rsidRPr="00DC4B6E">
        <w:rPr>
          <w:sz w:val="28"/>
          <w:szCs w:val="28"/>
          <w:lang w:val="uk-UA"/>
        </w:rPr>
        <w:t>го</w:t>
      </w:r>
      <w:r w:rsidR="006527A6">
        <w:rPr>
          <w:sz w:val="28"/>
          <w:szCs w:val="28"/>
          <w:lang w:val="uk-UA"/>
        </w:rPr>
        <w:t xml:space="preserve"> </w:t>
      </w:r>
      <w:r w:rsidR="007C3131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7C3131" w:rsidRPr="00DC4B6E">
        <w:rPr>
          <w:sz w:val="28"/>
          <w:szCs w:val="28"/>
          <w:lang w:val="uk-UA"/>
        </w:rPr>
        <w:t>легкого</w:t>
      </w:r>
      <w:r w:rsidR="006527A6">
        <w:rPr>
          <w:sz w:val="28"/>
          <w:szCs w:val="28"/>
          <w:lang w:val="uk-UA"/>
        </w:rPr>
        <w:t xml:space="preserve"> </w:t>
      </w:r>
      <w:r w:rsidR="007C3131" w:rsidRPr="00DC4B6E">
        <w:rPr>
          <w:sz w:val="28"/>
          <w:szCs w:val="28"/>
          <w:lang w:val="uk-UA"/>
        </w:rPr>
        <w:t>ступеня</w:t>
      </w:r>
      <w:r w:rsidR="006527A6">
        <w:rPr>
          <w:sz w:val="28"/>
          <w:szCs w:val="28"/>
          <w:lang w:val="uk-UA"/>
        </w:rPr>
        <w:t xml:space="preserve"> </w:t>
      </w:r>
      <w:r w:rsidR="007C3131" w:rsidRPr="00DC4B6E">
        <w:rPr>
          <w:sz w:val="28"/>
          <w:szCs w:val="28"/>
          <w:lang w:val="uk-UA"/>
        </w:rPr>
        <w:t>важкості.</w:t>
      </w:r>
      <w:r w:rsidR="006527A6">
        <w:rPr>
          <w:sz w:val="28"/>
          <w:szCs w:val="28"/>
          <w:lang w:val="uk-UA"/>
        </w:rPr>
        <w:t xml:space="preserve"> </w:t>
      </w:r>
      <w:r w:rsidR="009340B6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67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визначалися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явні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клінічні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ознаки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гіпотиреозу.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більшості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була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виражена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дозрівання.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Дослідження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вмісту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гонадотропних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</w:t>
      </w:r>
      <w:r w:rsidR="009B46AB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</w:t>
      </w:r>
      <w:r w:rsidR="00E1396A" w:rsidRPr="00DC4B6E">
        <w:rPr>
          <w:sz w:val="28"/>
          <w:szCs w:val="28"/>
          <w:lang w:val="uk-UA"/>
        </w:rPr>
        <w:t>азали,</w:t>
      </w:r>
      <w:r w:rsidR="006527A6">
        <w:rPr>
          <w:sz w:val="28"/>
          <w:szCs w:val="28"/>
          <w:lang w:val="uk-UA"/>
        </w:rPr>
        <w:t xml:space="preserve"> </w:t>
      </w:r>
      <w:r w:rsidR="00E1396A"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E1396A" w:rsidRPr="00DC4B6E">
        <w:rPr>
          <w:sz w:val="28"/>
          <w:szCs w:val="28"/>
          <w:lang w:val="uk-UA"/>
        </w:rPr>
        <w:t>величини</w:t>
      </w:r>
      <w:r w:rsidR="006527A6">
        <w:rPr>
          <w:sz w:val="28"/>
          <w:szCs w:val="28"/>
          <w:lang w:val="uk-UA"/>
        </w:rPr>
        <w:t xml:space="preserve"> </w:t>
      </w:r>
      <w:r w:rsidR="00E1396A" w:rsidRPr="00DC4B6E">
        <w:rPr>
          <w:sz w:val="28"/>
          <w:szCs w:val="28"/>
          <w:lang w:val="uk-UA"/>
        </w:rPr>
        <w:t>ЛГ</w:t>
      </w:r>
      <w:r w:rsidR="006527A6">
        <w:rPr>
          <w:sz w:val="28"/>
          <w:szCs w:val="28"/>
          <w:lang w:val="uk-UA"/>
        </w:rPr>
        <w:t xml:space="preserve"> </w:t>
      </w:r>
      <w:r w:rsidR="00E1396A" w:rsidRPr="00DC4B6E">
        <w:rPr>
          <w:sz w:val="28"/>
          <w:szCs w:val="28"/>
          <w:lang w:val="uk-UA"/>
        </w:rPr>
        <w:t>менше</w:t>
      </w:r>
      <w:r w:rsidR="006527A6">
        <w:rPr>
          <w:sz w:val="28"/>
          <w:szCs w:val="28"/>
          <w:lang w:val="uk-UA"/>
        </w:rPr>
        <w:t xml:space="preserve"> </w:t>
      </w:r>
      <w:r w:rsidR="00E1396A" w:rsidRPr="00DC4B6E">
        <w:rPr>
          <w:sz w:val="28"/>
          <w:szCs w:val="28"/>
          <w:lang w:val="uk-UA"/>
        </w:rPr>
        <w:t>1,0</w:t>
      </w:r>
      <w:r w:rsidR="006527A6">
        <w:rPr>
          <w:sz w:val="28"/>
          <w:szCs w:val="28"/>
          <w:lang w:val="uk-UA"/>
        </w:rPr>
        <w:t xml:space="preserve"> </w:t>
      </w:r>
      <w:r w:rsidR="009B5A09" w:rsidRPr="00DC4B6E">
        <w:rPr>
          <w:sz w:val="28"/>
          <w:szCs w:val="28"/>
          <w:lang w:val="uk-UA"/>
        </w:rPr>
        <w:t>МО/л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реєструвалися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18,4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ФСГ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16,7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ЛГ</w:t>
      </w:r>
      <w:r w:rsidR="00D53905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ФСГ,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перевищували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10,0</w:t>
      </w:r>
      <w:r w:rsidR="006527A6">
        <w:rPr>
          <w:sz w:val="28"/>
          <w:szCs w:val="28"/>
          <w:lang w:val="uk-UA"/>
        </w:rPr>
        <w:t xml:space="preserve"> </w:t>
      </w:r>
      <w:r w:rsidR="009B5A09" w:rsidRPr="00DC4B6E">
        <w:rPr>
          <w:sz w:val="28"/>
          <w:szCs w:val="28"/>
          <w:lang w:val="uk-UA"/>
        </w:rPr>
        <w:t>МО/л</w:t>
      </w:r>
      <w:r w:rsidR="006527A6">
        <w:rPr>
          <w:sz w:val="28"/>
          <w:szCs w:val="28"/>
          <w:lang w:val="uk-UA"/>
        </w:rPr>
        <w:t xml:space="preserve"> </w:t>
      </w:r>
      <w:r w:rsidR="000F1913" w:rsidRPr="00DC4B6E">
        <w:rPr>
          <w:sz w:val="28"/>
          <w:szCs w:val="28"/>
          <w:lang w:val="uk-UA"/>
        </w:rPr>
        <w:t>спостерігались</w:t>
      </w:r>
      <w:r w:rsidR="0075612D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75612D" w:rsidRPr="00DC4B6E">
        <w:rPr>
          <w:sz w:val="28"/>
          <w:szCs w:val="28"/>
          <w:lang w:val="uk-UA"/>
        </w:rPr>
        <w:t>відповідно,</w:t>
      </w:r>
      <w:r w:rsidR="006527A6">
        <w:rPr>
          <w:sz w:val="28"/>
          <w:szCs w:val="28"/>
          <w:lang w:val="uk-UA"/>
        </w:rPr>
        <w:t xml:space="preserve"> </w:t>
      </w:r>
      <w:r w:rsidR="0075612D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75612D" w:rsidRPr="00DC4B6E">
        <w:rPr>
          <w:sz w:val="28"/>
          <w:szCs w:val="28"/>
          <w:lang w:val="uk-UA"/>
        </w:rPr>
        <w:t>5,2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5,7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пацієнтів.</w:t>
      </w:r>
    </w:p>
    <w:p w:rsidR="002C2C43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Проведене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можливість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виділити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патологічні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функціональний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(ФНП).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D2E2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увійшли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пацієнти,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менше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1,2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Демченком,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122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122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констатацією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122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затримк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дозрівання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відсутністю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суттєвих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відхилень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5690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морфограмах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C174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зменшення</w:t>
      </w:r>
      <w:r w:rsidR="003C174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ФСГ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E56A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увійшли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первинний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D31C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травматичні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ураження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консистенція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</w:t>
      </w:r>
      <w:r w:rsidR="00654E0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54E0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щільною,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54E0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54E0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54E0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нижньо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калиткове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розміщення.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місце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підвищення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гонадотропінів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тестостерону.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увійшли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хворі,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верхньокалиткову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локалізацію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гіпоплазію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71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71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71A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меншими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нормативних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показників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D31C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233B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1,2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од.,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ФСГ,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B4FA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знижені.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гіпогонадизмом,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збільшення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42A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увійшли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наявністю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</w:t>
      </w:r>
      <w:r w:rsidR="002C2C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амнезі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C2C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перинатального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C2C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обтяження,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C2C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асфіксії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C2C4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новонароджених.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1EB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1EB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1EB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71EB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астота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43,5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26,6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F0CF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20,8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первинного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9,1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3125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%.</w:t>
      </w:r>
    </w:p>
    <w:p w:rsidR="00F472C0" w:rsidRDefault="00DD7C90" w:rsidP="00F472C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Аналіз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вмісту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гонадотропінів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вони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суттєво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підвищені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первинний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відповідно,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значно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вторинному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обох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(табл.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1).</w:t>
      </w:r>
      <w:r w:rsidR="006527A6">
        <w:rPr>
          <w:sz w:val="28"/>
          <w:szCs w:val="28"/>
          <w:lang w:val="uk-UA"/>
        </w:rPr>
        <w:t xml:space="preserve"> </w:t>
      </w:r>
    </w:p>
    <w:p w:rsidR="00F472C0" w:rsidRDefault="00F472C0" w:rsidP="00F472C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D7C90" w:rsidRPr="00DC4B6E" w:rsidRDefault="00DD7C90" w:rsidP="00F472C0">
      <w:pPr>
        <w:spacing w:line="360" w:lineRule="auto"/>
        <w:ind w:firstLine="720"/>
        <w:jc w:val="both"/>
        <w:rPr>
          <w:i/>
          <w:iCs/>
          <w:sz w:val="28"/>
          <w:szCs w:val="28"/>
          <w:lang w:val="uk-UA"/>
        </w:rPr>
      </w:pPr>
      <w:r w:rsidRPr="00DC4B6E">
        <w:rPr>
          <w:i/>
          <w:iCs/>
          <w:sz w:val="28"/>
          <w:szCs w:val="28"/>
          <w:lang w:val="uk-UA"/>
        </w:rPr>
        <w:t>Таблиця</w:t>
      </w:r>
      <w:r w:rsidR="006527A6">
        <w:rPr>
          <w:i/>
          <w:iCs/>
          <w:sz w:val="28"/>
          <w:szCs w:val="28"/>
          <w:lang w:val="uk-UA"/>
        </w:rPr>
        <w:t xml:space="preserve"> </w:t>
      </w:r>
      <w:r w:rsidRPr="00DC4B6E">
        <w:rPr>
          <w:i/>
          <w:iCs/>
          <w:sz w:val="28"/>
          <w:szCs w:val="28"/>
          <w:lang w:val="uk-UA"/>
        </w:rPr>
        <w:t>1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гонадотропінів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статевих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гормонів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C2C" w:rsidRPr="00DC4B6E">
        <w:rPr>
          <w:rFonts w:ascii="Times New Roman" w:hAnsi="Times New Roman" w:cs="Times New Roman"/>
          <w:sz w:val="28"/>
          <w:szCs w:val="28"/>
          <w:lang w:val="uk-UA"/>
        </w:rPr>
        <w:t>сироватці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крові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недостатністю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чоловічого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тлі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дефіциту,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(М±m)</w:t>
      </w:r>
    </w:p>
    <w:tbl>
      <w:tblPr>
        <w:tblW w:w="7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080"/>
        <w:gridCol w:w="1080"/>
        <w:gridCol w:w="1170"/>
        <w:gridCol w:w="1080"/>
        <w:gridCol w:w="1260"/>
      </w:tblGrid>
      <w:tr w:rsidR="00DD7C90" w:rsidRPr="00F472C0" w:rsidTr="00F472C0">
        <w:trPr>
          <w:trHeight w:val="95"/>
          <w:jc w:val="center"/>
        </w:trPr>
        <w:tc>
          <w:tcPr>
            <w:tcW w:w="1620" w:type="dxa"/>
            <w:vMerge w:val="restart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Група</w:t>
            </w:r>
            <w:r w:rsidR="006527A6" w:rsidRPr="00F472C0">
              <w:rPr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sz w:val="20"/>
                <w:szCs w:val="20"/>
                <w:lang w:val="uk-UA"/>
              </w:rPr>
              <w:t>обстежених</w:t>
            </w:r>
          </w:p>
        </w:tc>
        <w:tc>
          <w:tcPr>
            <w:tcW w:w="1080" w:type="dxa"/>
            <w:vMerge w:val="restart"/>
            <w:vAlign w:val="center"/>
          </w:tcPr>
          <w:p w:rsidR="00A754A5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Вікова</w:t>
            </w:r>
            <w:r w:rsidR="006527A6" w:rsidRPr="00F472C0">
              <w:rPr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sz w:val="20"/>
                <w:szCs w:val="20"/>
                <w:lang w:val="uk-UA"/>
              </w:rPr>
              <w:t>група,</w:t>
            </w:r>
            <w:r w:rsidR="006527A6" w:rsidRPr="00F472C0">
              <w:rPr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sz w:val="20"/>
                <w:szCs w:val="20"/>
                <w:lang w:val="uk-UA"/>
              </w:rPr>
              <w:t>кількіст</w:t>
            </w:r>
            <w:r w:rsidR="002E2F15" w:rsidRPr="00F472C0">
              <w:rPr>
                <w:sz w:val="20"/>
                <w:szCs w:val="20"/>
                <w:lang w:val="uk-UA"/>
              </w:rPr>
              <w:t>ь</w:t>
            </w:r>
            <w:r w:rsidR="006527A6" w:rsidRPr="00F472C0">
              <w:rPr>
                <w:sz w:val="20"/>
                <w:szCs w:val="20"/>
              </w:rPr>
              <w:t xml:space="preserve"> </w:t>
            </w:r>
            <w:r w:rsidRPr="00F472C0">
              <w:rPr>
                <w:sz w:val="20"/>
                <w:szCs w:val="20"/>
                <w:lang w:val="uk-UA"/>
              </w:rPr>
              <w:t>обсте-</w:t>
            </w:r>
            <w:r w:rsidR="00A754A5" w:rsidRPr="00F472C0">
              <w:rPr>
                <w:sz w:val="20"/>
                <w:szCs w:val="20"/>
                <w:lang w:val="uk-UA"/>
              </w:rPr>
              <w:t>жених</w:t>
            </w:r>
          </w:p>
        </w:tc>
        <w:tc>
          <w:tcPr>
            <w:tcW w:w="4590" w:type="dxa"/>
            <w:gridSpan w:val="4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Гормональний</w:t>
            </w:r>
            <w:r w:rsidR="006527A6" w:rsidRPr="00F472C0">
              <w:rPr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sz w:val="20"/>
                <w:szCs w:val="20"/>
                <w:lang w:val="uk-UA"/>
              </w:rPr>
              <w:t>показник</w:t>
            </w:r>
          </w:p>
        </w:tc>
      </w:tr>
      <w:tr w:rsidR="00DD7C90" w:rsidRPr="00F472C0" w:rsidTr="00F472C0">
        <w:trPr>
          <w:trHeight w:val="60"/>
          <w:jc w:val="center"/>
        </w:trPr>
        <w:tc>
          <w:tcPr>
            <w:tcW w:w="1620" w:type="dxa"/>
            <w:vMerge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Т,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нмоль/л</w:t>
            </w:r>
          </w:p>
        </w:tc>
        <w:tc>
          <w:tcPr>
            <w:tcW w:w="1170" w:type="dxa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ФСГ,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МО/л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ЛГ,</w:t>
            </w:r>
          </w:p>
          <w:p w:rsidR="00DD7C90" w:rsidRPr="00F472C0" w:rsidRDefault="00DD7C90" w:rsidP="00F472C0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uk-UA"/>
              </w:rPr>
              <w:t>МО/л</w:t>
            </w:r>
          </w:p>
        </w:tc>
        <w:tc>
          <w:tcPr>
            <w:tcW w:w="1260" w:type="dxa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Т/ЛГ,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ум.од</w:t>
            </w:r>
            <w:r w:rsidR="00BD1B48" w:rsidRPr="00F472C0">
              <w:rPr>
                <w:sz w:val="20"/>
                <w:szCs w:val="20"/>
                <w:lang w:val="uk-UA"/>
              </w:rPr>
              <w:t>.</w:t>
            </w:r>
          </w:p>
        </w:tc>
      </w:tr>
      <w:tr w:rsidR="00DD7C90" w:rsidRPr="00F472C0" w:rsidTr="00F472C0">
        <w:trPr>
          <w:trHeight w:val="673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Контрольна</w:t>
            </w:r>
            <w:r w:rsidR="004D06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  <w:p w:rsidR="00AC1B58" w:rsidRPr="00F472C0" w:rsidRDefault="00AC1B58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n=10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n=10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5,9±0,2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10,3±0,9</w:t>
            </w:r>
          </w:p>
        </w:tc>
        <w:tc>
          <w:tcPr>
            <w:tcW w:w="1170" w:type="dxa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4,2±0,4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4,6±0,3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3,0±0,2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4,8±0,</w:t>
            </w:r>
            <w:r w:rsidR="00893044" w:rsidRPr="00F472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1,98±0,</w:t>
            </w:r>
            <w:r w:rsidR="00893044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19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2,27±0,</w:t>
            </w:r>
            <w:r w:rsidR="00893044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21</w:t>
            </w:r>
          </w:p>
        </w:tc>
      </w:tr>
      <w:tr w:rsidR="00DD7C90" w:rsidRPr="00F472C0" w:rsidTr="00F472C0">
        <w:trPr>
          <w:trHeight w:val="922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Первинний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n=6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n=8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2,8±0,4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3,3±0,3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170" w:type="dxa"/>
          </w:tcPr>
          <w:p w:rsidR="00DD7C90" w:rsidRPr="00F472C0" w:rsidRDefault="004A7FA2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9,3±0,2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13,5±0,5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11,4±0,3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15,8±0,6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0,22±0,0</w:t>
            </w:r>
            <w:r w:rsidR="0058278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0,25±0,0</w:t>
            </w:r>
            <w:r w:rsidR="00C3176A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</w:tr>
      <w:tr w:rsidR="00DD7C90" w:rsidRPr="00F472C0" w:rsidTr="00F472C0">
        <w:trPr>
          <w:trHeight w:val="918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Вторинний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n=15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n=17</w:t>
            </w:r>
          </w:p>
        </w:tc>
        <w:tc>
          <w:tcPr>
            <w:tcW w:w="1080" w:type="dxa"/>
          </w:tcPr>
          <w:p w:rsidR="00DD7C90" w:rsidRPr="00F472C0" w:rsidRDefault="0025211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2,1±0,1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25211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2,9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±0,2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170" w:type="dxa"/>
          </w:tcPr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0,4±0,05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0,5±0,04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0,5±0,03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0,9±0,03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4,82±0,</w:t>
            </w:r>
            <w:r w:rsidR="00C3176A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5,07±0,2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8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</w:tr>
      <w:tr w:rsidR="00DD7C90" w:rsidRPr="00F472C0" w:rsidTr="00F472C0">
        <w:trPr>
          <w:trHeight w:val="876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Корелятив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–ний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n=23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n=44</w:t>
            </w:r>
          </w:p>
        </w:tc>
        <w:tc>
          <w:tcPr>
            <w:tcW w:w="1080" w:type="dxa"/>
          </w:tcPr>
          <w:p w:rsidR="00DD7C90" w:rsidRPr="00F472C0" w:rsidRDefault="0025211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2,6±0,1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4,9±0,1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</w:tc>
        <w:tc>
          <w:tcPr>
            <w:tcW w:w="1170" w:type="dxa"/>
          </w:tcPr>
          <w:p w:rsidR="00DD7C90" w:rsidRPr="00F472C0" w:rsidRDefault="004A7FA2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2,1±0,2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2,4±0,2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2,2±0,2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</w:t>
            </w:r>
            <w:r w:rsidR="00F5411F" w:rsidRPr="00F472C0">
              <w:rPr>
                <w:sz w:val="20"/>
                <w:szCs w:val="20"/>
                <w:lang w:val="uk-UA"/>
              </w:rPr>
              <w:t>0</w:t>
            </w:r>
            <w:r w:rsidRPr="00F472C0">
              <w:rPr>
                <w:sz w:val="20"/>
                <w:szCs w:val="20"/>
                <w:lang w:val="uk-UA"/>
              </w:rPr>
              <w:t>1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3,7±0,1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&lt;0,05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1,21±0,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08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1,35±0,06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</w:tr>
      <w:tr w:rsidR="00DD7C90" w:rsidRPr="00F472C0" w:rsidTr="00F472C0">
        <w:trPr>
          <w:trHeight w:val="328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Перинатально</w:t>
            </w:r>
          </w:p>
          <w:p w:rsidR="00DD7C90" w:rsidRPr="00F472C0" w:rsidRDefault="00C1780F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д</w:t>
            </w:r>
            <w:r w:rsidR="00DD7C90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етерміно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DD7C90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-ваний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DD7C90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n=22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n=19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3,3±0,2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5,1±0,3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</w:tc>
        <w:tc>
          <w:tcPr>
            <w:tcW w:w="1170" w:type="dxa"/>
          </w:tcPr>
          <w:p w:rsidR="00DD7C90" w:rsidRPr="00F472C0" w:rsidRDefault="004A7FA2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4,1±0,2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&gt;0,05</w:t>
            </w:r>
          </w:p>
          <w:p w:rsidR="00DD7C90" w:rsidRPr="00F472C0" w:rsidRDefault="009B2876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4,9±0,</w:t>
            </w:r>
            <w:r w:rsidR="004A7FA2" w:rsidRPr="00F472C0">
              <w:rPr>
                <w:sz w:val="20"/>
                <w:szCs w:val="20"/>
                <w:lang w:val="uk-UA"/>
              </w:rPr>
              <w:t>2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2,8±0,2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&gt;0,05</w:t>
            </w:r>
          </w:p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4,5±0,1</w:t>
            </w:r>
          </w:p>
          <w:p w:rsidR="00DD7C90" w:rsidRPr="00F472C0" w:rsidRDefault="00DD7C90" w:rsidP="00F472C0">
            <w:pPr>
              <w:pStyle w:val="21"/>
              <w:spacing w:after="0"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1,24±0,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11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="003C5FF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</w:t>
            </w:r>
            <w:r w:rsidR="003C5FF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5</w:t>
            </w:r>
          </w:p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1,43±0,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</w:t>
            </w:r>
            <w:r w:rsidR="00DD7C90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="003C5FF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</w:t>
            </w:r>
            <w:r w:rsidR="003C5FF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1</w:t>
            </w:r>
          </w:p>
        </w:tc>
      </w:tr>
      <w:tr w:rsidR="00DD7C90" w:rsidRPr="00F472C0" w:rsidTr="00F472C0">
        <w:trPr>
          <w:trHeight w:val="60"/>
          <w:jc w:val="center"/>
        </w:trPr>
        <w:tc>
          <w:tcPr>
            <w:tcW w:w="162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Функціональ</w:t>
            </w:r>
            <w:r w:rsidR="00044B89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-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на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недостатність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пубертату</w:t>
            </w:r>
          </w:p>
        </w:tc>
        <w:tc>
          <w:tcPr>
            <w:tcW w:w="1080" w:type="dxa"/>
          </w:tcPr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12–14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15–17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n=15</w:t>
            </w:r>
          </w:p>
        </w:tc>
        <w:tc>
          <w:tcPr>
            <w:tcW w:w="1080" w:type="dxa"/>
          </w:tcPr>
          <w:p w:rsidR="00DD7C90" w:rsidRPr="00F472C0" w:rsidRDefault="004A7FA2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3,5±0,2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  <w:p w:rsidR="00DD7C90" w:rsidRPr="00F472C0" w:rsidRDefault="004A7FA2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6,2±0,3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</w:tc>
        <w:tc>
          <w:tcPr>
            <w:tcW w:w="1170" w:type="dxa"/>
          </w:tcPr>
          <w:p w:rsidR="00DD7C90" w:rsidRPr="00F472C0" w:rsidRDefault="004A7FA2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3,1±0,2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&lt;0,05</w:t>
            </w:r>
          </w:p>
          <w:p w:rsidR="00DD7C90" w:rsidRPr="00F472C0" w:rsidRDefault="004A7FA2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3,6±0,1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="009B2876" w:rsidRPr="00F472C0">
              <w:rPr>
                <w:sz w:val="20"/>
                <w:szCs w:val="20"/>
                <w:lang w:val="uk-UA"/>
              </w:rPr>
              <w:t>&lt;0,0</w:t>
            </w:r>
            <w:r w:rsidR="009B2876" w:rsidRPr="00F472C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0" w:type="dxa"/>
          </w:tcPr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2,2±0,3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sz w:val="20"/>
                <w:szCs w:val="20"/>
                <w:lang w:val="uk-UA"/>
              </w:rPr>
              <w:t>&lt;0,05</w:t>
            </w:r>
          </w:p>
          <w:p w:rsidR="00DD7C90" w:rsidRPr="00F472C0" w:rsidRDefault="00893044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3,6±0,2</w:t>
            </w:r>
          </w:p>
          <w:p w:rsidR="00DD7C90" w:rsidRPr="00F472C0" w:rsidRDefault="00DD7C90" w:rsidP="00F472C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F472C0">
              <w:rPr>
                <w:sz w:val="20"/>
                <w:szCs w:val="20"/>
                <w:lang w:val="uk-UA"/>
              </w:rPr>
              <w:t>P</w:t>
            </w:r>
            <w:r w:rsidRPr="00F472C0">
              <w:rPr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1260" w:type="dxa"/>
          </w:tcPr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1,45±0,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13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&lt;0,05</w:t>
            </w:r>
          </w:p>
          <w:p w:rsidR="00DD7C90" w:rsidRPr="00F472C0" w:rsidRDefault="003C5FF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1,71±0,</w:t>
            </w:r>
            <w:r w:rsidR="00F6021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</w:p>
          <w:p w:rsidR="00DD7C90" w:rsidRPr="00F472C0" w:rsidRDefault="00DD7C9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P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&lt;0,05</w:t>
            </w:r>
          </w:p>
        </w:tc>
      </w:tr>
    </w:tbl>
    <w:p w:rsidR="00F472C0" w:rsidRDefault="00F472C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Примітки:</w:t>
      </w:r>
    </w:p>
    <w:p w:rsidR="00DD7C90" w:rsidRPr="00DC4B6E" w:rsidRDefault="00DD7C90" w:rsidP="00F472C0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</w:t>
      </w:r>
      <w:r w:rsidRPr="00DC4B6E">
        <w:rPr>
          <w:sz w:val="28"/>
          <w:szCs w:val="28"/>
          <w:vertAlign w:val="subscript"/>
          <w:lang w:val="uk-UA"/>
        </w:rPr>
        <w:t>1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вірогідність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різниці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</w:t>
      </w:r>
      <w:r w:rsidR="00BE4569" w:rsidRPr="00DC4B6E">
        <w:rPr>
          <w:sz w:val="28"/>
          <w:szCs w:val="28"/>
          <w:lang w:val="uk-UA"/>
        </w:rPr>
        <w:t>азників</w:t>
      </w:r>
      <w:r w:rsidR="006527A6">
        <w:rPr>
          <w:sz w:val="28"/>
          <w:szCs w:val="28"/>
          <w:lang w:val="uk-UA"/>
        </w:rPr>
        <w:t xml:space="preserve"> </w:t>
      </w:r>
      <w:r w:rsidR="00BE4569" w:rsidRPr="00DC4B6E">
        <w:rPr>
          <w:sz w:val="28"/>
          <w:szCs w:val="28"/>
          <w:lang w:val="uk-UA"/>
        </w:rPr>
        <w:t>контрольної</w:t>
      </w:r>
      <w:r w:rsidR="006527A6">
        <w:rPr>
          <w:sz w:val="28"/>
          <w:szCs w:val="28"/>
          <w:lang w:val="uk-UA"/>
        </w:rPr>
        <w:t xml:space="preserve"> </w:t>
      </w:r>
      <w:r w:rsidR="00BE4569"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="00BE4569" w:rsidRPr="00DC4B6E">
        <w:rPr>
          <w:sz w:val="28"/>
          <w:szCs w:val="28"/>
          <w:lang w:val="uk-UA"/>
        </w:rPr>
        <w:t>12–14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аналогічної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935855" w:rsidRPr="00DC4B6E">
        <w:rPr>
          <w:sz w:val="28"/>
          <w:szCs w:val="28"/>
          <w:lang w:val="uk-UA"/>
        </w:rPr>
        <w:t>;</w:t>
      </w:r>
    </w:p>
    <w:p w:rsidR="00DD7C90" w:rsidRPr="00DC4B6E" w:rsidRDefault="00DD7C90" w:rsidP="00F472C0">
      <w:pPr>
        <w:numPr>
          <w:ilvl w:val="0"/>
          <w:numId w:val="5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</w:t>
      </w:r>
      <w:r w:rsidRPr="00DC4B6E">
        <w:rPr>
          <w:sz w:val="28"/>
          <w:szCs w:val="28"/>
          <w:vertAlign w:val="subscript"/>
          <w:lang w:val="uk-UA"/>
        </w:rPr>
        <w:t>2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вірогідність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різниці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контрольної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15–17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аналогічної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935855" w:rsidRPr="00DC4B6E">
        <w:rPr>
          <w:sz w:val="28"/>
          <w:szCs w:val="28"/>
          <w:lang w:val="uk-UA"/>
        </w:rPr>
        <w:t>.</w:t>
      </w:r>
    </w:p>
    <w:p w:rsidR="00A93A59" w:rsidRPr="00DC4B6E" w:rsidRDefault="00A93A59" w:rsidP="00DC4B6E">
      <w:pPr>
        <w:tabs>
          <w:tab w:val="left" w:pos="993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86553A" w:rsidRPr="00DC4B6E" w:rsidRDefault="00477DAC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той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час,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ФНП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ФСГ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порівняно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контролем,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однак,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вони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суттєво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перевищували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вторинний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гіпогонадизм.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ПДГ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рівні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гонадотропінів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відповідали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контрольним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значенням.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Вивчення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рівня</w:t>
      </w:r>
      <w:r w:rsidR="006527A6">
        <w:rPr>
          <w:sz w:val="28"/>
          <w:szCs w:val="28"/>
          <w:lang w:val="uk-UA"/>
        </w:rPr>
        <w:t xml:space="preserve"> </w:t>
      </w:r>
      <w:r w:rsidR="00A15BE7" w:rsidRPr="00DC4B6E">
        <w:rPr>
          <w:sz w:val="28"/>
          <w:szCs w:val="28"/>
          <w:lang w:val="uk-UA"/>
        </w:rPr>
        <w:t>пролактину</w:t>
      </w:r>
      <w:r w:rsidR="006527A6">
        <w:rPr>
          <w:sz w:val="28"/>
          <w:szCs w:val="28"/>
          <w:lang w:val="uk-UA"/>
        </w:rPr>
        <w:t xml:space="preserve"> </w:t>
      </w:r>
      <w:r w:rsidR="00A15BE7" w:rsidRPr="00DC4B6E">
        <w:rPr>
          <w:sz w:val="28"/>
          <w:szCs w:val="28"/>
          <w:lang w:val="uk-UA"/>
        </w:rPr>
        <w:t>(</w:t>
      </w:r>
      <w:r w:rsidR="0086553A" w:rsidRPr="00DC4B6E">
        <w:rPr>
          <w:sz w:val="28"/>
          <w:szCs w:val="28"/>
          <w:lang w:val="uk-UA"/>
        </w:rPr>
        <w:t>ПРЛ</w:t>
      </w:r>
      <w:r w:rsidR="00A15BE7"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сироватці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крові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встановило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його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зростання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первинний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гіпогонадизм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обох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вікових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групах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осіб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в</w:t>
      </w:r>
      <w:r w:rsidRPr="00DC4B6E">
        <w:rPr>
          <w:sz w:val="28"/>
          <w:szCs w:val="28"/>
          <w:lang w:val="uk-UA"/>
        </w:rPr>
        <w:t>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12–14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порівнянні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практично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здоровими</w:t>
      </w:r>
      <w:r w:rsidR="006527A6">
        <w:rPr>
          <w:sz w:val="28"/>
          <w:szCs w:val="28"/>
          <w:lang w:val="uk-UA"/>
        </w:rPr>
        <w:t xml:space="preserve"> </w:t>
      </w:r>
      <w:r w:rsidR="0086553A" w:rsidRPr="00DC4B6E">
        <w:rPr>
          <w:sz w:val="28"/>
          <w:szCs w:val="28"/>
          <w:lang w:val="uk-UA"/>
        </w:rPr>
        <w:t>хлопцями.</w:t>
      </w:r>
    </w:p>
    <w:p w:rsidR="00597F6E" w:rsidRPr="00DC4B6E" w:rsidRDefault="00597F6E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Зіставленя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показало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суттєві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обох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незалежно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варіанту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Звертає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себе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увагу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вірогідне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співвідношення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Т/ЛГ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ФНП,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первинний,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ПДГ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корелятивний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свідчить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гіпореалізацію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клітини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Лейдіга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(Бондаренко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В.О.,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2004).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Найменші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Т/ЛГ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первинний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навпаки,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вторинниму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коефіцієнт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Т/ЛГ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навіть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перевищував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контрольні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значення,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передбачає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адекватну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тестостеронпродукуючу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відповідь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сім'яників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стимуляцію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ЛГ.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Встановлений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роб</w:t>
      </w:r>
      <w:r w:rsidR="00BB0DED" w:rsidRPr="00DC4B6E">
        <w:rPr>
          <w:sz w:val="28"/>
          <w:szCs w:val="28"/>
          <w:lang w:val="uk-UA"/>
        </w:rPr>
        <w:t>оті</w:t>
      </w:r>
      <w:r w:rsidR="006527A6">
        <w:rPr>
          <w:sz w:val="28"/>
          <w:szCs w:val="28"/>
          <w:lang w:val="uk-UA"/>
        </w:rPr>
        <w:t xml:space="preserve"> </w:t>
      </w:r>
      <w:r w:rsidR="00BB0DED" w:rsidRPr="00DC4B6E">
        <w:rPr>
          <w:sz w:val="28"/>
          <w:szCs w:val="28"/>
          <w:lang w:val="uk-UA"/>
        </w:rPr>
        <w:t>позитивний</w:t>
      </w:r>
      <w:r w:rsidR="006527A6">
        <w:rPr>
          <w:sz w:val="28"/>
          <w:szCs w:val="28"/>
          <w:lang w:val="uk-UA"/>
        </w:rPr>
        <w:t xml:space="preserve"> </w:t>
      </w:r>
      <w:r w:rsidR="00BB0DED" w:rsidRPr="00DC4B6E">
        <w:rPr>
          <w:sz w:val="28"/>
          <w:szCs w:val="28"/>
          <w:lang w:val="uk-UA"/>
        </w:rPr>
        <w:t>кореляційний</w:t>
      </w:r>
      <w:r w:rsidR="006527A6">
        <w:rPr>
          <w:sz w:val="28"/>
          <w:szCs w:val="28"/>
          <w:lang w:val="uk-UA"/>
        </w:rPr>
        <w:t xml:space="preserve"> </w:t>
      </w:r>
      <w:r w:rsidR="00BB0DED" w:rsidRPr="00DC4B6E">
        <w:rPr>
          <w:sz w:val="28"/>
          <w:szCs w:val="28"/>
          <w:lang w:val="uk-UA"/>
        </w:rPr>
        <w:t>зв′</w:t>
      </w:r>
      <w:r w:rsidR="00F44C4B" w:rsidRPr="00DC4B6E">
        <w:rPr>
          <w:sz w:val="28"/>
          <w:szCs w:val="28"/>
          <w:lang w:val="uk-UA"/>
        </w:rPr>
        <w:t>язок</w:t>
      </w:r>
      <w:r w:rsidR="006527A6">
        <w:rPr>
          <w:sz w:val="28"/>
          <w:szCs w:val="28"/>
          <w:lang w:val="uk-UA"/>
        </w:rPr>
        <w:t xml:space="preserve"> </w:t>
      </w:r>
      <w:r w:rsidR="00F44C4B" w:rsidRPr="00DC4B6E">
        <w:rPr>
          <w:sz w:val="28"/>
          <w:szCs w:val="28"/>
          <w:lang w:val="uk-UA"/>
        </w:rPr>
        <w:t>між</w:t>
      </w:r>
      <w:r w:rsidR="006527A6">
        <w:rPr>
          <w:sz w:val="28"/>
          <w:szCs w:val="28"/>
          <w:lang w:val="uk-UA"/>
        </w:rPr>
        <w:t xml:space="preserve"> </w:t>
      </w:r>
      <w:r w:rsidR="00F44C4B" w:rsidRPr="00DC4B6E">
        <w:rPr>
          <w:sz w:val="28"/>
          <w:szCs w:val="28"/>
          <w:lang w:val="uk-UA"/>
        </w:rPr>
        <w:t>величинами</w:t>
      </w:r>
      <w:r w:rsidR="006527A6">
        <w:rPr>
          <w:sz w:val="28"/>
          <w:szCs w:val="28"/>
          <w:lang w:val="uk-UA"/>
        </w:rPr>
        <w:t xml:space="preserve"> </w:t>
      </w:r>
      <w:r w:rsidR="00F44C4B"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="00F44C4B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(r=0,297;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Р&lt;0,01),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також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між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0,220;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Р&lt;0,05)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</w:t>
      </w:r>
      <w:r w:rsidR="00C37475" w:rsidRPr="00DC4B6E">
        <w:rPr>
          <w:sz w:val="28"/>
          <w:szCs w:val="28"/>
          <w:lang w:val="uk-UA"/>
        </w:rPr>
        <w:t>едостатністю</w:t>
      </w:r>
      <w:r w:rsidR="006527A6">
        <w:rPr>
          <w:sz w:val="28"/>
          <w:szCs w:val="28"/>
          <w:lang w:val="uk-UA"/>
        </w:rPr>
        <w:t xml:space="preserve"> </w:t>
      </w:r>
      <w:r w:rsidR="00C37475"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="00C37475" w:rsidRPr="00DC4B6E">
        <w:rPr>
          <w:sz w:val="28"/>
          <w:szCs w:val="28"/>
          <w:lang w:val="uk-UA"/>
        </w:rPr>
        <w:t>свідчить</w:t>
      </w:r>
      <w:r w:rsidR="006527A6">
        <w:rPr>
          <w:sz w:val="28"/>
          <w:szCs w:val="28"/>
          <w:lang w:val="uk-UA"/>
        </w:rPr>
        <w:t xml:space="preserve"> </w:t>
      </w:r>
      <w:r w:rsidR="00C37475"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="00C37475" w:rsidRPr="00DC4B6E">
        <w:rPr>
          <w:sz w:val="28"/>
          <w:szCs w:val="28"/>
          <w:lang w:val="uk-UA"/>
        </w:rPr>
        <w:t>те,</w:t>
      </w:r>
      <w:r w:rsidR="006527A6">
        <w:rPr>
          <w:sz w:val="28"/>
          <w:szCs w:val="28"/>
          <w:lang w:val="uk-UA"/>
        </w:rPr>
        <w:t xml:space="preserve"> </w:t>
      </w:r>
      <w:r w:rsidR="00CA1A82"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механізмі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формування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4148CD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4148CD" w:rsidRPr="00DC4B6E">
        <w:rPr>
          <w:sz w:val="28"/>
          <w:szCs w:val="28"/>
          <w:lang w:val="uk-UA"/>
        </w:rPr>
        <w:t>хлопців</w:t>
      </w:r>
      <w:r w:rsidR="00B941C8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насамперед</w:t>
      </w:r>
      <w:r w:rsidR="00B941C8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значення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C215CC" w:rsidRPr="00DC4B6E">
        <w:rPr>
          <w:sz w:val="28"/>
          <w:szCs w:val="28"/>
          <w:lang w:val="uk-UA"/>
        </w:rPr>
        <w:t>сироватці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крові.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Аналіз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тиреоїдних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показав,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93E0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незалежно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93E0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93E0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явними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клінічними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суттєво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F665F2"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="00F665F2"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="006B325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підвищений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свідчить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лабораторні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маніфестного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6EB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(табл.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звертає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себе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331BB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вагу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31BB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31BB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середніх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31BB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значень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інших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говорить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ймовірність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латентного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категорії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FA008A" w:rsidRPr="00DC4B6E" w:rsidRDefault="00FA008A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функціональний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впливає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забезпеченості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організму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йодом.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свідчить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наявність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кореляційного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зв'язку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екскреції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сечею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рівнем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(r=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0,239;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Р&lt;0,02)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(r=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0,321;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Р&lt;0,001)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пубертатопатіями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існує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негативна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кореляція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екскреції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(r=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-0,267;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Р&lt;0,01).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чергу,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тестостеронпродокуюча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залежить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секреції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тиреоїдних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підтверджується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позитивною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кореляцією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практично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здорових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(r=0,640;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Р&lt;0,05),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процесів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пубертатогенезу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(r=0,312;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Р&lt;0,02).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FA008A" w:rsidRPr="00DC4B6E" w:rsidRDefault="00FA008A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Крім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того,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секреції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трийодтироніну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може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негативно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впливати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розвиток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первинних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вторинних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ознак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статі.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вказує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між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vertAlign w:val="subscript"/>
          <w:lang w:val="uk-UA"/>
        </w:rPr>
        <w:t>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vertAlign w:val="subscript"/>
          <w:lang w:val="uk-UA"/>
        </w:rPr>
        <w:t>вільного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величинами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(r=0,286;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Р&lt;0,02)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річному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(r=0,221;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Р&lt;0,05).</w:t>
      </w:r>
    </w:p>
    <w:p w:rsidR="00DD5E15" w:rsidRPr="00DC4B6E" w:rsidRDefault="006608D7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br w:type="page"/>
      </w:r>
      <w:r w:rsidR="00DD5E15"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Таблиця</w:t>
      </w:r>
      <w:r w:rsidR="006527A6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 xml:space="preserve"> </w:t>
      </w:r>
      <w:r w:rsidR="00DD5E15" w:rsidRPr="00DC4B6E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uk-UA"/>
        </w:rPr>
        <w:t>2</w:t>
      </w:r>
    </w:p>
    <w:p w:rsidR="00DD5E15" w:rsidRPr="00DC4B6E" w:rsidRDefault="00DD5E15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sz w:val="28"/>
          <w:szCs w:val="28"/>
          <w:lang w:val="uk-UA"/>
        </w:rPr>
        <w:t>Рівні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тиреотропного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тиреоїдних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гормонів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сироватці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крові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недостатністю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дефіциту,</w:t>
      </w:r>
      <w:r w:rsidR="006527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sz w:val="28"/>
          <w:szCs w:val="28"/>
          <w:lang w:val="uk-UA"/>
        </w:rPr>
        <w:t>(М±m)</w:t>
      </w:r>
    </w:p>
    <w:tbl>
      <w:tblPr>
        <w:tblW w:w="44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7"/>
        <w:gridCol w:w="1825"/>
        <w:gridCol w:w="1705"/>
        <w:gridCol w:w="1463"/>
        <w:gridCol w:w="1307"/>
      </w:tblGrid>
      <w:tr w:rsidR="00DD5E15" w:rsidRPr="00F472C0" w:rsidTr="006608D7">
        <w:trPr>
          <w:trHeight w:val="145"/>
          <w:jc w:val="center"/>
        </w:trPr>
        <w:tc>
          <w:tcPr>
            <w:tcW w:w="1275" w:type="pct"/>
            <w:vMerge w:val="restar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Група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обстежених</w:t>
            </w:r>
          </w:p>
        </w:tc>
        <w:tc>
          <w:tcPr>
            <w:tcW w:w="1079" w:type="pct"/>
            <w:vMerge w:val="restart"/>
          </w:tcPr>
          <w:p w:rsidR="00DD5E15" w:rsidRPr="00F472C0" w:rsidRDefault="00071C4F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Вікова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група</w:t>
            </w:r>
            <w:r w:rsidR="00DD5E15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,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DD5E15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кількість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DD5E15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обстежених</w:t>
            </w:r>
          </w:p>
        </w:tc>
        <w:tc>
          <w:tcPr>
            <w:tcW w:w="2646" w:type="pct"/>
            <w:gridSpan w:val="3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Гормональний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показник</w:t>
            </w:r>
          </w:p>
        </w:tc>
      </w:tr>
      <w:tr w:rsidR="00DD5E15" w:rsidRPr="00F472C0" w:rsidTr="006608D7">
        <w:trPr>
          <w:trHeight w:val="145"/>
          <w:jc w:val="center"/>
        </w:trPr>
        <w:tc>
          <w:tcPr>
            <w:tcW w:w="1275" w:type="pct"/>
            <w:vMerge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1079" w:type="pct"/>
            <w:vMerge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1008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ТТГ,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мМО/л</w:t>
            </w:r>
          </w:p>
        </w:tc>
        <w:tc>
          <w:tcPr>
            <w:tcW w:w="86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Т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3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вільний,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нмоль/л</w:t>
            </w:r>
          </w:p>
        </w:tc>
        <w:tc>
          <w:tcPr>
            <w:tcW w:w="773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Т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4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вільний,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нмоль/л</w:t>
            </w:r>
          </w:p>
        </w:tc>
      </w:tr>
      <w:tr w:rsidR="00DD5E15" w:rsidRPr="00F472C0" w:rsidTr="006608D7">
        <w:trPr>
          <w:trHeight w:val="653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Контрольна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n=10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n=10</w:t>
            </w:r>
          </w:p>
        </w:tc>
        <w:tc>
          <w:tcPr>
            <w:tcW w:w="1008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2,6±0,3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  <w:p w:rsidR="00DD5E15" w:rsidRPr="00F472C0" w:rsidRDefault="005523E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2,9±0,4</w:t>
            </w:r>
          </w:p>
        </w:tc>
        <w:tc>
          <w:tcPr>
            <w:tcW w:w="86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2,9±0,4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2,8±0,3</w:t>
            </w:r>
          </w:p>
        </w:tc>
        <w:tc>
          <w:tcPr>
            <w:tcW w:w="773" w:type="pct"/>
          </w:tcPr>
          <w:p w:rsidR="00DD5E15" w:rsidRPr="00F472C0" w:rsidRDefault="00847FC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23,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2</w:t>
            </w:r>
            <w:r w:rsidR="00DD5E15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±1,2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24,7±1,4</w:t>
            </w:r>
          </w:p>
        </w:tc>
      </w:tr>
      <w:tr w:rsidR="00DD5E15" w:rsidRPr="00F472C0" w:rsidTr="006608D7">
        <w:trPr>
          <w:trHeight w:val="145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Первинний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</w:pP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n=6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n=8</w:t>
            </w:r>
          </w:p>
        </w:tc>
        <w:tc>
          <w:tcPr>
            <w:tcW w:w="1008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6,4±0,6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5A2C84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5,3±0,4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865" w:type="pct"/>
          </w:tcPr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2,2±0,5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2,7±0,4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773" w:type="pct"/>
          </w:tcPr>
          <w:p w:rsidR="00DD5E15" w:rsidRPr="00F472C0" w:rsidRDefault="00BC0F59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23,0±2,0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BC0F59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21,8±1,5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</w:tr>
      <w:tr w:rsidR="00DD5E15" w:rsidRPr="00F472C0" w:rsidTr="006608D7">
        <w:trPr>
          <w:trHeight w:val="145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Вторинний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 xml:space="preserve"> 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n=15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n=17</w:t>
            </w:r>
          </w:p>
        </w:tc>
        <w:tc>
          <w:tcPr>
            <w:tcW w:w="1008" w:type="pct"/>
          </w:tcPr>
          <w:p w:rsidR="00DD5E15" w:rsidRPr="00F472C0" w:rsidRDefault="005A2C84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4,2±0,3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5A2C84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4,7±0,3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865" w:type="pct"/>
          </w:tcPr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2,6±0,3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2,8±0,3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773" w:type="pct"/>
          </w:tcPr>
          <w:p w:rsidR="00DD5E15" w:rsidRPr="00F472C0" w:rsidRDefault="00BC0F59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22,9±1,3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BC0F59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23,2±1,2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</w:tr>
      <w:tr w:rsidR="00DD5E15" w:rsidRPr="00F472C0" w:rsidTr="006608D7">
        <w:trPr>
          <w:trHeight w:val="894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Корелятивний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n=23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n=44</w:t>
            </w:r>
          </w:p>
        </w:tc>
        <w:tc>
          <w:tcPr>
            <w:tcW w:w="1008" w:type="pct"/>
          </w:tcPr>
          <w:p w:rsidR="00DD5E15" w:rsidRPr="00F472C0" w:rsidRDefault="005523E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9,8±0,2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5A2C84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10,6±0,1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865" w:type="pct"/>
          </w:tcPr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1,1±0,</w:t>
            </w:r>
            <w:r w:rsidR="005523E1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</w:t>
            </w:r>
            <w:r w:rsidR="00DD5E15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3451A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0,9±0,01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773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9,</w:t>
            </w:r>
            <w:r w:rsidR="003005BE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7±0,4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3005BE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7,4±0,1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sym w:font="Symbol" w:char="F03C"/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0,001</w:t>
            </w:r>
          </w:p>
        </w:tc>
      </w:tr>
      <w:tr w:rsidR="00DD5E15" w:rsidRPr="00F472C0" w:rsidTr="006608D7">
        <w:trPr>
          <w:trHeight w:val="948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Перинатально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детермінований</w:t>
            </w:r>
            <w:r w:rsidR="004D06E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гіпогонадизм</w:t>
            </w: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n=22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n=19</w:t>
            </w:r>
          </w:p>
        </w:tc>
        <w:tc>
          <w:tcPr>
            <w:tcW w:w="1008" w:type="pct"/>
          </w:tcPr>
          <w:p w:rsidR="00DD5E15" w:rsidRPr="00F472C0" w:rsidRDefault="005523E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5,3±0,2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4,9±0,3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865" w:type="pct"/>
          </w:tcPr>
          <w:p w:rsidR="00DD5E15" w:rsidRPr="00F472C0" w:rsidRDefault="003451A1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2,8±0,2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2,5±0,3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773" w:type="pct"/>
          </w:tcPr>
          <w:p w:rsidR="00DD5E15" w:rsidRPr="00F472C0" w:rsidRDefault="003005BE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21,8±0,3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F12FCE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23,6±0,</w:t>
            </w:r>
            <w:r w:rsidR="003005BE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</w:tr>
      <w:tr w:rsidR="00DD5E15" w:rsidRPr="00F472C0" w:rsidTr="006608D7">
        <w:trPr>
          <w:trHeight w:val="1052"/>
          <w:jc w:val="center"/>
        </w:trPr>
        <w:tc>
          <w:tcPr>
            <w:tcW w:w="1275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Функціональна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недостатність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пубертату</w:t>
            </w:r>
          </w:p>
        </w:tc>
        <w:tc>
          <w:tcPr>
            <w:tcW w:w="1079" w:type="pct"/>
          </w:tcPr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12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15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–</w:t>
            </w:r>
            <w:r w:rsidR="006527A6"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17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n=15</w:t>
            </w:r>
          </w:p>
        </w:tc>
        <w:tc>
          <w:tcPr>
            <w:tcW w:w="1008" w:type="pct"/>
          </w:tcPr>
          <w:p w:rsidR="00DD5E15" w:rsidRPr="00F472C0" w:rsidRDefault="00272ECF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4,5±0,4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  <w:p w:rsidR="00DD5E15" w:rsidRPr="00F472C0" w:rsidRDefault="00272ECF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4,8±0,3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&lt;0,001</w:t>
            </w:r>
          </w:p>
        </w:tc>
        <w:tc>
          <w:tcPr>
            <w:tcW w:w="865" w:type="pct"/>
          </w:tcPr>
          <w:p w:rsidR="00DD5E15" w:rsidRPr="00F472C0" w:rsidRDefault="00683640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3,2±0,4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2,9±0,3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  <w:tc>
          <w:tcPr>
            <w:tcW w:w="773" w:type="pct"/>
          </w:tcPr>
          <w:p w:rsidR="00DD5E15" w:rsidRPr="00F472C0" w:rsidRDefault="00F12FCE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22,3±1,4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1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24,0±1,2</w:t>
            </w:r>
          </w:p>
          <w:p w:rsidR="00DD5E15" w:rsidRPr="00F472C0" w:rsidRDefault="00DD5E15" w:rsidP="00F472C0">
            <w:pPr>
              <w:pStyle w:val="a3"/>
              <w:spacing w:before="0" w:after="0"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Р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bscript"/>
                <w:lang w:val="uk-UA"/>
              </w:rPr>
              <w:t>2</w:t>
            </w:r>
            <w:r w:rsidRPr="00F472C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&gt;0,05</w:t>
            </w:r>
          </w:p>
        </w:tc>
      </w:tr>
    </w:tbl>
    <w:p w:rsidR="006608D7" w:rsidRDefault="006608D7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D5E15" w:rsidRPr="00DC4B6E" w:rsidRDefault="00DD5E15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Примітки:</w:t>
      </w:r>
    </w:p>
    <w:p w:rsidR="00DD5E15" w:rsidRPr="00DC4B6E" w:rsidRDefault="00DD5E15" w:rsidP="00DC4B6E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</w:t>
      </w:r>
      <w:r w:rsidRPr="00DC4B6E">
        <w:rPr>
          <w:sz w:val="28"/>
          <w:szCs w:val="28"/>
          <w:vertAlign w:val="subscript"/>
          <w:lang w:val="uk-UA"/>
        </w:rPr>
        <w:t>1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вірогідність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різниці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контрольної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аналогічної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000C88" w:rsidRPr="00DC4B6E">
        <w:rPr>
          <w:sz w:val="28"/>
          <w:szCs w:val="28"/>
          <w:lang w:val="uk-UA"/>
        </w:rPr>
        <w:t>;</w:t>
      </w:r>
    </w:p>
    <w:p w:rsidR="00DD5E15" w:rsidRPr="00DC4B6E" w:rsidRDefault="00DD5E15" w:rsidP="00DC4B6E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</w:t>
      </w:r>
      <w:r w:rsidRPr="00DC4B6E">
        <w:rPr>
          <w:sz w:val="28"/>
          <w:szCs w:val="28"/>
          <w:vertAlign w:val="subscript"/>
          <w:lang w:val="uk-UA"/>
        </w:rPr>
        <w:t>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вірогідність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різниці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контрольної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аналогічної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000C88" w:rsidRPr="00DC4B6E">
        <w:rPr>
          <w:sz w:val="28"/>
          <w:szCs w:val="28"/>
          <w:lang w:val="uk-UA"/>
        </w:rPr>
        <w:t>.</w:t>
      </w:r>
    </w:p>
    <w:p w:rsidR="003F5CE2" w:rsidRPr="00DC4B6E" w:rsidRDefault="003F5CE2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Оцінка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будови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скелета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відповідні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особливості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змін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патологічними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характерним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відсутність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регресії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інфантильності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скелета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старшої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переважно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інфантильний.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рвинному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718DC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встановлено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суттєве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інфантильності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євнухоїдності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скелета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порівняно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контролем,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євнухоїдно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інфантильні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морфограм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характерним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гіноїдний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будови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тіла.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той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134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лопців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морфотип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суттєво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відрізнявся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Інфантильність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скелета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морфопиповою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ознакою,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насамперед,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Дослідження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фізичного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показало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існування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зросту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ваги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обох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групах,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умов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Низькорослість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характерною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тільки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для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осифікації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скелета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встановило,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усіх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існує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невідповідність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біологічного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(кістково</w:t>
      </w:r>
      <w:r w:rsidR="001A4F8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A4F8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A4F8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хронологічному.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A4F8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A4F8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51,5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зрілості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кісткової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тканини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запізнювався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29,4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%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Відзначено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вірогідне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збільшення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осифікації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віковими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хлопців,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патологічними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формами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нашу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думку,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пов'язано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наростанням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вираженості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патології,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більшою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біологічною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незрілістю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глибокими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нейрогормональними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4D06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 </w:t>
      </w:r>
      <w:r w:rsidR="002203C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</w:t>
      </w:r>
      <w:r w:rsidR="002203C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віку.</w:t>
      </w:r>
    </w:p>
    <w:p w:rsidR="00DD7C90" w:rsidRPr="00DC4B6E" w:rsidRDefault="00DD7C90" w:rsidP="00DC4B6E">
      <w:pPr>
        <w:pStyle w:val="21"/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Зріст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початку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залежить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забезпеченості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організму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тиреоїдними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гормонами.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вказує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існування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позитивної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між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величинами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vertAlign w:val="subscript"/>
          <w:lang w:val="uk-UA"/>
        </w:rPr>
        <w:t>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vertAlign w:val="subscript"/>
          <w:lang w:val="uk-UA"/>
        </w:rPr>
        <w:t>вільного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(r=0,320;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Р&lt;0,01),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також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vertAlign w:val="subscript"/>
          <w:lang w:val="uk-UA"/>
        </w:rPr>
        <w:t>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vertAlign w:val="subscript"/>
          <w:lang w:val="uk-UA"/>
        </w:rPr>
        <w:t>вільного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(r=0,231;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Р&lt;0,05)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14)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</w:t>
      </w:r>
      <w:r w:rsidR="00C83FD7" w:rsidRPr="00DC4B6E">
        <w:rPr>
          <w:sz w:val="28"/>
          <w:szCs w:val="28"/>
          <w:lang w:val="uk-UA"/>
        </w:rPr>
        <w:t>лопців</w:t>
      </w:r>
      <w:r w:rsidR="006527A6">
        <w:rPr>
          <w:sz w:val="28"/>
          <w:szCs w:val="28"/>
          <w:lang w:val="uk-UA"/>
        </w:rPr>
        <w:t xml:space="preserve"> </w:t>
      </w:r>
      <w:r w:rsidR="00C83FD7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C83FD7" w:rsidRPr="00DC4B6E">
        <w:rPr>
          <w:sz w:val="28"/>
          <w:szCs w:val="28"/>
          <w:lang w:val="uk-UA"/>
        </w:rPr>
        <w:t>недостатністю</w:t>
      </w:r>
      <w:r w:rsidR="006527A6">
        <w:rPr>
          <w:sz w:val="28"/>
          <w:szCs w:val="28"/>
          <w:lang w:val="uk-UA"/>
        </w:rPr>
        <w:t xml:space="preserve"> </w:t>
      </w:r>
      <w:r w:rsidR="00C83FD7" w:rsidRPr="00DC4B6E">
        <w:rPr>
          <w:sz w:val="28"/>
          <w:szCs w:val="28"/>
          <w:lang w:val="uk-UA"/>
        </w:rPr>
        <w:t>пубертат</w:t>
      </w:r>
      <w:r w:rsidRPr="00DC4B6E">
        <w:rPr>
          <w:sz w:val="28"/>
          <w:szCs w:val="28"/>
          <w:lang w:val="uk-UA"/>
        </w:rPr>
        <w:t>у.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екскреції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сечею,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осифікації,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низькорослість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серед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обстежених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низький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вільного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підвищений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вміст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передбачає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пацієнтам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тільки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відповідної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спрямованої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стимуляцію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процесів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пубертатогенезу,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тиреоїдних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гормонів.</w:t>
      </w:r>
    </w:p>
    <w:p w:rsidR="00DD7C90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чергу,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низькі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високі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величини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співвідношення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Т/ЛГ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свідчать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необхідність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даному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контингенту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хоріо</w:t>
      </w:r>
      <w:r w:rsidR="006078B7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нічного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гонадотропіну,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властивості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ЛГ.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первинний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яких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відсутні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функціональні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резерви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яєчок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(значно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співвідношення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Т/ЛГ),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потребують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андрогенами.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Хлопцям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06BC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гіпогонадизмом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існує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зниження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рівнів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гонадотропінів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або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вони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знаходяться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межах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фізіологічних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коливань,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тлі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766B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можливого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зменшення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коефіцієнта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Т/ЛГ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необхідно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спрямована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посилення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утворення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активацію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реалізації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ендогенних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гонадотропінів.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можна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віднести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гормоноредуковану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схему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(ГРТ),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запропоновану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професором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О.М.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Демченком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(2000).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Вона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складається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B03F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препаратів: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B03F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аденозинтрифосфорна</w:t>
      </w:r>
      <w:r w:rsidR="006527A6" w:rsidRP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B03F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кислота</w:t>
      </w:r>
      <w:r w:rsidR="006527A6" w:rsidRP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3B03F9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(АТФ),</w:t>
      </w:r>
      <w:r w:rsidR="006527A6" w:rsidRP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піридоксина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гідрохлорид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(Віт.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vertAlign w:val="subscript"/>
          <w:lang w:val="uk-UA"/>
        </w:rPr>
        <w:t>6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),</w:t>
      </w:r>
      <w:r w:rsidR="004D06E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глютамінова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кислота,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метиландростендіол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пентоксифілін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або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теофілін.</w:t>
      </w:r>
    </w:p>
    <w:p w:rsidR="004C7C74" w:rsidRPr="00DC4B6E" w:rsidRDefault="00DD7C90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Враховуючи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наявність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B5F2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встановленого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B5F2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дефіциту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B5F2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B5F2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усім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B5F2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D44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D44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порушеннями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D44E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49198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поряд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патогенетичною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терапією,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спрямованою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нормалізацію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параметрів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статевого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розвитку,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було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призначено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йодиду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"Йодид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Фармак"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мкг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242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242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добу.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констатації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маніфестного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</w:t>
      </w:r>
      <w:r w:rsidR="00F7436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разом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йодиду,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застосовувався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L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582FD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60EE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тироксин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60EE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60EE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мкг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60EE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60EE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добу.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ці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застосовувались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10435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постійно.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B111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Ї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сприяє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збільше</w:t>
      </w:r>
      <w:r w:rsidR="00DB539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кількості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повноцінних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щитоподібної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залози,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регулюванню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основного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обміну,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процесу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росту,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диференціюванню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кісткової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тканини.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74BE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74BE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інших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74BE3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варіантах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недостатності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пубертату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калію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йодиду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же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дозах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призначались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протягом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2215F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півтора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місяця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залежності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базової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пубертатопатій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даного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контингенту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відзначались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ознаки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лат</w:t>
      </w:r>
      <w:r w:rsidR="000E10B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ентного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10B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гіпотиреозу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10B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(рівень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10B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ТТГ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&gt;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0E10B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4,0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A51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мМО/л),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76F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був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76F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зоб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76F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C76F76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ступеня,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також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призначався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L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тироксин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мкг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добу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період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проведення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відповідної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4C7C74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терапії.</w:t>
      </w:r>
    </w:p>
    <w:p w:rsidR="00DD7C90" w:rsidRPr="00DC4B6E" w:rsidRDefault="004C7C74" w:rsidP="00DC4B6E">
      <w:pPr>
        <w:pStyle w:val="a3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корелятивним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гіпогонадизмом</w:t>
      </w:r>
      <w:r w:rsidR="00AD7F2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7F2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ПДГ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7F2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</w:t>
      </w:r>
      <w:r w:rsidR="001F3F8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F3F8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ФНП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F3F8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застосовува</w:t>
      </w:r>
      <w:r w:rsidR="00AD7F2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лась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1153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модифікована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1153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893CB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МГРТ</w:t>
      </w:r>
      <w:r w:rsidR="00B1153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протягом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півтора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місяця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(рис.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1),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первинний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тестостерона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пропіонат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A4708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внуртішньом'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язово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двічі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тиждень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всього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680EAA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AD7F2E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ін'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єкцій.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Хворим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13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призначали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1500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7479D1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внуртішньом'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язово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тричі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тиждень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всього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18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ін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єкцій.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Тривалість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лікування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усіх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групах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склала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два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роки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(чотири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–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шість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курсів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терапії).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Під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час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перерви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2603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між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B2603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курсами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698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модифікованої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698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гормональної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698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терапії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81698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(</w:t>
      </w:r>
      <w:r w:rsidR="00B2603B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МГТ</w:t>
      </w:r>
      <w:r w:rsidR="0081698F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)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,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хворі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первинний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та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вторинний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гіпогонадизм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отримували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анаболічний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препарат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ретаболіл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50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мг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F82CCD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внуртішньом'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язово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один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раз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на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DD7C90" w:rsidRPr="00DC4B6E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місяць.</w:t>
      </w:r>
      <w:r w:rsidR="006527A6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:rsidR="009018C3" w:rsidRPr="00DC4B6E" w:rsidRDefault="009018C3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Показником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успішної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була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позитивна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динаміка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(більше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од.),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зменшення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нормованого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відхилення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більше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однієї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сигми,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нормалізація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тиреоїдних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сироватці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крові.</w:t>
      </w:r>
      <w:r w:rsidR="004D06E3">
        <w:rPr>
          <w:sz w:val="28"/>
          <w:szCs w:val="28"/>
          <w:lang w:val="uk-UA"/>
        </w:rPr>
        <w:t xml:space="preserve"> </w:t>
      </w:r>
    </w:p>
    <w:p w:rsidR="006F61F2" w:rsidRPr="00DC4B6E" w:rsidRDefault="0052668B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Встановлено,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після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двох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чотирьох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курсів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досягнуто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</w:t>
      </w:r>
      <w:r w:rsidR="00A3467E" w:rsidRPr="00DC4B6E">
        <w:rPr>
          <w:sz w:val="28"/>
          <w:szCs w:val="28"/>
          <w:lang w:val="uk-UA"/>
        </w:rPr>
        <w:t>ення</w:t>
      </w:r>
      <w:r w:rsidR="006527A6">
        <w:rPr>
          <w:sz w:val="28"/>
          <w:szCs w:val="28"/>
          <w:lang w:val="uk-UA"/>
        </w:rPr>
        <w:t xml:space="preserve"> </w:t>
      </w:r>
      <w:r w:rsidR="00A3467E"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="00A3467E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A3467E" w:rsidRPr="00DC4B6E">
        <w:rPr>
          <w:sz w:val="28"/>
          <w:szCs w:val="28"/>
          <w:lang w:val="uk-UA"/>
        </w:rPr>
        <w:t>1,8</w:t>
      </w:r>
      <w:r w:rsidR="006527A6">
        <w:rPr>
          <w:sz w:val="28"/>
          <w:szCs w:val="28"/>
          <w:lang w:val="uk-UA"/>
        </w:rPr>
        <w:t xml:space="preserve"> </w:t>
      </w:r>
      <w:r w:rsidR="00A3467E"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="00A3467E" w:rsidRPr="00DC4B6E">
        <w:rPr>
          <w:sz w:val="28"/>
          <w:szCs w:val="28"/>
          <w:lang w:val="uk-UA"/>
        </w:rPr>
        <w:t>од.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1,7±0,1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(3,5±0,09)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од.),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(9,2±1,4)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</w:t>
      </w:r>
      <w:r w:rsidR="00E136D0" w:rsidRPr="00DC4B6E">
        <w:rPr>
          <w:sz w:val="28"/>
          <w:szCs w:val="28"/>
          <w:lang w:val="uk-UA"/>
        </w:rPr>
        <w:t>опців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17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відповідно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2,2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="00E136D0" w:rsidRPr="00DC4B6E">
        <w:rPr>
          <w:sz w:val="28"/>
          <w:szCs w:val="28"/>
          <w:lang w:val="uk-UA"/>
        </w:rPr>
        <w:t>од.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2,3±0,08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(4,5±0,02)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од.),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(9,6±1,2)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см.</w:t>
      </w:r>
    </w:p>
    <w:p w:rsidR="005C6E80" w:rsidRPr="00DC4B6E" w:rsidRDefault="004D06E3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C6E80" w:rsidRPr="00DC4B6E" w:rsidRDefault="001B03D1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rect id="_x0000_s1026" style="position:absolute;left:0;text-align:left;margin-left:260.25pt;margin-top:-17.45pt;width:96pt;height:42.3pt;z-index:251657216">
            <v:textbox style="mso-next-textbox:#_x0000_s1026">
              <w:txbxContent>
                <w:p w:rsidR="006527A6" w:rsidRPr="005F71D4" w:rsidRDefault="006527A6" w:rsidP="005C6E8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5F71D4">
                    <w:rPr>
                      <w:sz w:val="20"/>
                      <w:szCs w:val="20"/>
                      <w:lang w:val="uk-UA"/>
                    </w:rPr>
                    <w:t>Пацієнти із вторинним гіпогонадизмом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left:0;text-align:left;margin-left:165.65pt;margin-top:-15.95pt;width:87pt;height:45.35pt;z-index:251656192">
            <v:textbox style="mso-next-textbox:#_x0000_s1027">
              <w:txbxContent>
                <w:p w:rsidR="006527A6" w:rsidRPr="005F71D4" w:rsidRDefault="006527A6" w:rsidP="005C6E8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5F71D4">
                    <w:rPr>
                      <w:sz w:val="20"/>
                      <w:szCs w:val="20"/>
                      <w:lang w:val="uk-UA"/>
                    </w:rPr>
                    <w:t>Пацієнти із первинним гіпогонадизмом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98.4pt;margin-top:-20.5pt;width:55.95pt;height:45.35pt;z-index:251658240">
            <v:textbox style="mso-next-textbox:#_x0000_s1028">
              <w:txbxContent>
                <w:p w:rsidR="006527A6" w:rsidRDefault="006527A6">
                  <w:r>
                    <w:rPr>
                      <w:sz w:val="20"/>
                      <w:szCs w:val="20"/>
                      <w:lang w:val="uk-UA"/>
                    </w:rPr>
                    <w:t xml:space="preserve">Пацієнти із </w:t>
                  </w:r>
                  <w:r w:rsidRPr="005F71D4">
                    <w:rPr>
                      <w:sz w:val="20"/>
                      <w:szCs w:val="20"/>
                      <w:lang w:val="uk-UA"/>
                    </w:rPr>
                    <w:t>ПДГ, ФНП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6.2pt;margin-top:-20.5pt;width:85.2pt;height:45.35pt;z-index:251655168">
            <v:textbox style="mso-next-textbox:#_x0000_s1029">
              <w:txbxContent>
                <w:p w:rsidR="006527A6" w:rsidRPr="005F71D4" w:rsidRDefault="006527A6" w:rsidP="005C6E80">
                  <w:pPr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Пацієнти із корелятивним  гіпогонадизмом</w:t>
                  </w:r>
                </w:p>
              </w:txbxContent>
            </v:textbox>
          </v:rect>
        </w:pict>
      </w:r>
    </w:p>
    <w:p w:rsidR="005C6E80" w:rsidRPr="00DC4B6E" w:rsidRDefault="001B03D1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30" style="position:absolute;left:0;text-align:left;flip:x;z-index:251659264" from="299.45pt,14pt" to="299.45pt,30.05pt">
            <v:stroke endarrow="block"/>
          </v:line>
        </w:pict>
      </w:r>
    </w:p>
    <w:p w:rsidR="005C6E80" w:rsidRPr="00DC4B6E" w:rsidRDefault="001B03D1" w:rsidP="004D06E3">
      <w:pPr>
        <w:pStyle w:val="31"/>
        <w:spacing w:after="0" w:line="360" w:lineRule="auto"/>
        <w:ind w:left="0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031" editas="canvas" style="width:362.25pt;height:330.4pt;mso-position-horizontal-relative:char;mso-position-vertical-relative:line" coordorigin="2086,2084" coordsize="5468,495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086;top:2084;width:5468;height:4955" o:preferrelative="f">
              <v:fill o:detectmouseclick="t"/>
              <v:path o:extrusionok="t" o:connecttype="none"/>
              <o:lock v:ext="edit" text="t"/>
            </v:shape>
            <v:rect id="_x0000_s1033" style="position:absolute;left:4756;top:4886;width:2043;height:968">
              <v:textbox style="mso-next-textbox:#_x0000_s1033">
                <w:txbxContent>
                  <w:p w:rsidR="006527A6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При наявності латентного гіпотиреозу, зоба І–ІІ ст.</w:t>
                    </w:r>
                  </w:p>
                  <w:p w:rsidR="006527A6" w:rsidRPr="008778DD" w:rsidRDefault="006527A6" w:rsidP="00E44DB6">
                    <w:r>
                      <w:rPr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Pr="00A70C48">
                      <w:rPr>
                        <w:sz w:val="20"/>
                        <w:szCs w:val="20"/>
                        <w:lang w:val="en-US"/>
                      </w:rPr>
                      <w:t>L</w:t>
                    </w:r>
                    <w:r w:rsidRPr="00D820DB"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тироксин 50 мкг на період відповідної базової терапії</w:t>
                    </w:r>
                  </w:p>
                  <w:p w:rsidR="006527A6" w:rsidRPr="008778DD" w:rsidRDefault="006527A6" w:rsidP="00E44DB6"/>
                </w:txbxContent>
              </v:textbox>
            </v:rect>
            <v:rect id="_x0000_s1034" style="position:absolute;left:2385;top:6208;width:4519;height:749">
              <v:textbox style="mso-next-textbox:#_x0000_s1034">
                <w:txbxContent>
                  <w:p w:rsidR="006527A6" w:rsidRPr="006447C6" w:rsidRDefault="006527A6" w:rsidP="00E44DB6">
                    <w:pPr>
                      <w:rPr>
                        <w:sz w:val="22"/>
                        <w:szCs w:val="22"/>
                        <w:lang w:val="uk-UA"/>
                      </w:rPr>
                    </w:pPr>
                    <w:r w:rsidRPr="006447C6">
                      <w:rPr>
                        <w:sz w:val="22"/>
                        <w:szCs w:val="22"/>
                        <w:lang w:val="uk-UA"/>
                      </w:rPr>
                      <w:t>Динамічне</w:t>
                    </w:r>
                    <w:r>
                      <w:rPr>
                        <w:sz w:val="22"/>
                        <w:szCs w:val="22"/>
                        <w:lang w:val="uk-UA"/>
                      </w:rPr>
                      <w:t xml:space="preserve"> спостереження, повторні курси гормональної або гормоноредукованої терапії в залежності від варіанту порушень статевого розвитку</w:t>
                    </w:r>
                  </w:p>
                </w:txbxContent>
              </v:textbox>
            </v:rect>
            <v:rect id="_x0000_s1035" style="position:absolute;left:4375;top:4097;width:2267;height:548">
              <v:textbox style="mso-next-textbox:#_x0000_s1035">
                <w:txbxContent>
                  <w:p w:rsidR="006527A6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Калію йодид 150 мкг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на період базової терапії </w:t>
                    </w:r>
                  </w:p>
                </w:txbxContent>
              </v:textbox>
            </v:rect>
            <v:rect id="_x0000_s1036" style="position:absolute;left:2180;top:4823;width:1692;height:635">
              <v:textbox style="mso-next-textbox:#_x0000_s1036">
                <w:txbxContent>
                  <w:p w:rsidR="006527A6" w:rsidRPr="00C57FAC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К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алію йодид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150 мкг,</w:t>
                    </w:r>
                  </w:p>
                  <w:p w:rsidR="006527A6" w:rsidRPr="008778DD" w:rsidRDefault="006527A6" w:rsidP="00E44DB6">
                    <w:r w:rsidRPr="008778DD">
                      <w:rPr>
                        <w:sz w:val="20"/>
                        <w:szCs w:val="20"/>
                      </w:rPr>
                      <w:t xml:space="preserve"> </w:t>
                    </w:r>
                    <w:r w:rsidRPr="00A70C48">
                      <w:rPr>
                        <w:sz w:val="20"/>
                        <w:szCs w:val="20"/>
                        <w:lang w:val="en-US"/>
                      </w:rPr>
                      <w:t>L</w:t>
                    </w:r>
                    <w:r w:rsidRPr="008778DD">
                      <w:rPr>
                        <w:sz w:val="20"/>
                        <w:szCs w:val="20"/>
                      </w:rPr>
                      <w:t>–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тироксин 50 мкг постійно</w:t>
                    </w:r>
                  </w:p>
                </w:txbxContent>
              </v:textbox>
            </v:rect>
            <v:line id="_x0000_s1037" style="position:absolute" from="3942,2084" to="4521,4097">
              <v:stroke endarrow="block"/>
            </v:line>
            <v:line id="_x0000_s1038" style="position:absolute" from="2292,2084" to="2881,2470">
              <v:stroke endarrow="block"/>
            </v:line>
            <v:line id="_x0000_s1039" style="position:absolute;flip:x" from="2680,5458" to="2681,6213">
              <v:stroke endarrow="block"/>
            </v:line>
            <v:line id="_x0000_s1040" style="position:absolute;flip:x" from="5787,4645" to="5789,4886">
              <v:stroke endarrow="block"/>
            </v:line>
            <v:line id="_x0000_s1041" style="position:absolute;flip:x" from="5971,5854" to="5972,6208">
              <v:stroke endarrow="block"/>
            </v:line>
            <v:line id="_x0000_s1042" style="position:absolute" from="6516,3712" to="6517,4097">
              <v:stroke endarrow="block"/>
            </v:line>
            <v:rect id="_x0000_s1043" style="position:absolute;left:2385;top:2470;width:1557;height:1753">
              <v:textbox style="mso-next-textbox:#_x0000_s1043">
                <w:txbxContent>
                  <w:p w:rsidR="006527A6" w:rsidRPr="00A70C48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A70C48">
                      <w:rPr>
                        <w:sz w:val="20"/>
                        <w:szCs w:val="20"/>
                        <w:lang w:val="uk-UA"/>
                      </w:rPr>
                      <w:t>2–</w:t>
                    </w:r>
                    <w:r w:rsidRPr="008778DD">
                      <w:rPr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курси АТФ, віт 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>В</w:t>
                    </w:r>
                    <w:r w:rsidRPr="00A70C48">
                      <w:rPr>
                        <w:sz w:val="20"/>
                        <w:szCs w:val="20"/>
                        <w:vertAlign w:val="subscript"/>
                        <w:lang w:val="uk-UA"/>
                      </w:rPr>
                      <w:t>6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, глутамінова кислота, теофілін або пентоксифілін, метиландростендіол або метандростенолон, дієта, лікувальна фізкультура </w:t>
                    </w:r>
                  </w:p>
                </w:txbxContent>
              </v:textbox>
            </v:rect>
            <v:line id="_x0000_s1044" style="position:absolute;flip:x" from="2291,2084" to="2292,4823">
              <v:stroke endarrow="block"/>
            </v:line>
            <v:rect id="_x0000_s1045" style="position:absolute;left:4521;top:2273;width:1493;height:1439">
              <v:textbox style="mso-next-textbox:#_x0000_s1045">
                <w:txbxContent>
                  <w:p w:rsidR="006527A6" w:rsidRPr="00A70C48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9815DB">
                      <w:rPr>
                        <w:sz w:val="20"/>
                        <w:szCs w:val="20"/>
                      </w:rPr>
                      <w:t>12–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>15 ін'єкцій тестостерон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у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 пропіонату 5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 %-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1,0 внутрішньом'язово двічі на тиждень, </w:t>
                    </w:r>
                  </w:p>
                  <w:p w:rsidR="006527A6" w:rsidRPr="00A70C48" w:rsidRDefault="006527A6" w:rsidP="00E44DB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дієта, лікувальна фізкультура </w:t>
                    </w:r>
                  </w:p>
                </w:txbxContent>
              </v:textbox>
            </v:rect>
            <v:line id="_x0000_s1046" style="position:absolute" from="5065,2084" to="5066,2273">
              <v:stroke endarrow="block"/>
            </v:line>
            <v:rect id="_x0000_s1047" style="position:absolute;left:6062;top:2273;width:1492;height:1439">
              <v:textbox style="mso-next-textbox:#_x0000_s1047">
                <w:txbxContent>
                  <w:p w:rsidR="006527A6" w:rsidRPr="00D1241E" w:rsidRDefault="006527A6" w:rsidP="00E44DB6">
                    <w:pPr>
                      <w:rPr>
                        <w:sz w:val="20"/>
                        <w:szCs w:val="20"/>
                      </w:rPr>
                    </w:pPr>
                    <w:r w:rsidRPr="00A70C48">
                      <w:rPr>
                        <w:sz w:val="20"/>
                        <w:szCs w:val="20"/>
                        <w:lang w:val="uk-UA"/>
                      </w:rPr>
                      <w:t>1</w:t>
                    </w:r>
                    <w:r w:rsidRPr="00D1241E">
                      <w:rPr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-18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 ін'єкцій препаратів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>Х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Г по </w:t>
                    </w:r>
                    <w:r w:rsidRPr="00A70C48">
                      <w:rPr>
                        <w:sz w:val="20"/>
                        <w:szCs w:val="20"/>
                        <w:lang w:val="uk-UA"/>
                      </w:rPr>
                      <w:t xml:space="preserve">1500 ОД внутрішньом'язово тричі на тиждень,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дієта, лікувальна фізкультура</w:t>
                    </w:r>
                  </w:p>
                </w:txbxContent>
              </v:textbox>
            </v:rect>
            <v:line id="_x0000_s1048" style="position:absolute;flip:x" from="3280,2084" to="3942,2470">
              <v:stroke endarrow="block"/>
            </v:line>
            <v:line id="_x0000_s1049" style="position:absolute" from="5405,3712" to="5406,4097">
              <v:stroke endarrow="block"/>
            </v:line>
            <w10:wrap type="none"/>
            <w10:anchorlock/>
          </v:group>
        </w:pict>
      </w:r>
    </w:p>
    <w:p w:rsidR="005C6E80" w:rsidRPr="00DC4B6E" w:rsidRDefault="004E7B38" w:rsidP="00DC4B6E">
      <w:pPr>
        <w:pStyle w:val="31"/>
        <w:spacing w:after="0" w:line="360" w:lineRule="auto"/>
        <w:ind w:left="0" w:firstLine="720"/>
        <w:jc w:val="both"/>
        <w:rPr>
          <w:i/>
          <w:iCs/>
          <w:sz w:val="28"/>
          <w:szCs w:val="28"/>
          <w:lang w:val="uk-UA"/>
        </w:rPr>
      </w:pPr>
      <w:r w:rsidRPr="00DC4B6E">
        <w:rPr>
          <w:i/>
          <w:iCs/>
          <w:sz w:val="28"/>
          <w:szCs w:val="28"/>
          <w:lang w:val="uk-UA"/>
        </w:rPr>
        <w:t>Рис.</w:t>
      </w:r>
      <w:r w:rsidR="006527A6">
        <w:rPr>
          <w:i/>
          <w:iCs/>
          <w:sz w:val="28"/>
          <w:szCs w:val="28"/>
          <w:lang w:val="uk-UA"/>
        </w:rPr>
        <w:t xml:space="preserve"> </w:t>
      </w:r>
      <w:r w:rsidR="005C6E80" w:rsidRPr="00DC4B6E">
        <w:rPr>
          <w:i/>
          <w:iCs/>
          <w:sz w:val="28"/>
          <w:szCs w:val="28"/>
          <w:lang w:val="uk-UA"/>
        </w:rPr>
        <w:t>1</w:t>
      </w:r>
      <w:r w:rsidRPr="00DC4B6E">
        <w:rPr>
          <w:i/>
          <w:iCs/>
          <w:sz w:val="28"/>
          <w:szCs w:val="28"/>
          <w:lang w:val="uk-UA"/>
        </w:rPr>
        <w:t>.</w:t>
      </w:r>
      <w:r w:rsidR="006527A6">
        <w:rPr>
          <w:i/>
          <w:iCs/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Алгоритм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йодної</w:t>
      </w:r>
      <w:r w:rsidR="006527A6">
        <w:rPr>
          <w:sz w:val="28"/>
          <w:szCs w:val="28"/>
          <w:lang w:val="uk-UA"/>
        </w:rPr>
        <w:t xml:space="preserve"> </w:t>
      </w:r>
      <w:r w:rsidR="005C6E80" w:rsidRPr="00DC4B6E">
        <w:rPr>
          <w:sz w:val="28"/>
          <w:szCs w:val="28"/>
          <w:lang w:val="uk-UA"/>
        </w:rPr>
        <w:t>недостатності</w:t>
      </w:r>
      <w:r w:rsidR="00DA1ED2" w:rsidRPr="00DC4B6E">
        <w:rPr>
          <w:i/>
          <w:iCs/>
          <w:sz w:val="28"/>
          <w:szCs w:val="28"/>
          <w:lang w:val="uk-UA"/>
        </w:rPr>
        <w:t>.</w:t>
      </w:r>
    </w:p>
    <w:p w:rsidR="00A075B4" w:rsidRPr="00DC4B6E" w:rsidRDefault="00A075B4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</w:p>
    <w:p w:rsidR="008F3DC6" w:rsidRPr="00DC4B6E" w:rsidRDefault="008F3DC6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об'єднаній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</w:t>
      </w:r>
      <w:r w:rsidR="00667F39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="00667F39" w:rsidRPr="00DC4B6E">
        <w:rPr>
          <w:sz w:val="28"/>
          <w:szCs w:val="28"/>
          <w:lang w:val="uk-UA"/>
        </w:rPr>
        <w:t>пубертату,</w:t>
      </w:r>
      <w:r w:rsidR="006527A6">
        <w:rPr>
          <w:sz w:val="28"/>
          <w:szCs w:val="28"/>
          <w:lang w:val="uk-UA"/>
        </w:rPr>
        <w:t xml:space="preserve"> </w:t>
      </w:r>
      <w:r w:rsidR="00667F39" w:rsidRPr="00DC4B6E">
        <w:rPr>
          <w:sz w:val="28"/>
          <w:szCs w:val="28"/>
          <w:lang w:val="uk-UA"/>
        </w:rPr>
        <w:t>які</w:t>
      </w:r>
      <w:r w:rsidR="006527A6">
        <w:rPr>
          <w:sz w:val="28"/>
          <w:szCs w:val="28"/>
          <w:lang w:val="uk-UA"/>
        </w:rPr>
        <w:t xml:space="preserve"> </w:t>
      </w:r>
      <w:r w:rsidR="00667F39" w:rsidRPr="00DC4B6E">
        <w:rPr>
          <w:sz w:val="28"/>
          <w:szCs w:val="28"/>
          <w:lang w:val="uk-UA"/>
        </w:rPr>
        <w:t>отримували</w:t>
      </w:r>
      <w:r w:rsidR="006527A6">
        <w:rPr>
          <w:sz w:val="28"/>
          <w:szCs w:val="28"/>
          <w:lang w:val="uk-UA"/>
        </w:rPr>
        <w:t xml:space="preserve"> </w:t>
      </w:r>
      <w:r w:rsidR="00667F39" w:rsidRPr="00DC4B6E">
        <w:rPr>
          <w:sz w:val="28"/>
          <w:szCs w:val="28"/>
          <w:lang w:val="uk-UA"/>
        </w:rPr>
        <w:t>модифіковану</w:t>
      </w:r>
      <w:r w:rsidR="006527A6">
        <w:rPr>
          <w:sz w:val="28"/>
          <w:szCs w:val="28"/>
          <w:lang w:val="uk-UA"/>
        </w:rPr>
        <w:t xml:space="preserve"> </w:t>
      </w:r>
      <w:r w:rsidR="00667F39" w:rsidRPr="00DC4B6E">
        <w:rPr>
          <w:sz w:val="28"/>
          <w:szCs w:val="28"/>
          <w:lang w:val="uk-UA"/>
        </w:rPr>
        <w:t>терапію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вдалося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досягти,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середньому,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14)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віку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AB1793" w:rsidRPr="00DC4B6E">
        <w:rPr>
          <w:sz w:val="28"/>
          <w:szCs w:val="28"/>
          <w:lang w:val="uk-UA"/>
        </w:rPr>
        <w:t>(1,5±0,2</w:t>
      </w:r>
      <w:r w:rsidR="00C33AFB"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="00C33AFB"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од.,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</w:t>
      </w:r>
      <w:r w:rsidR="000045D5" w:rsidRPr="00DC4B6E">
        <w:rPr>
          <w:sz w:val="28"/>
          <w:szCs w:val="28"/>
          <w:lang w:val="uk-UA"/>
        </w:rPr>
        <w:t>рих</w:t>
      </w:r>
      <w:r w:rsidR="006527A6">
        <w:rPr>
          <w:sz w:val="28"/>
          <w:szCs w:val="28"/>
          <w:lang w:val="uk-UA"/>
        </w:rPr>
        <w:t xml:space="preserve"> </w:t>
      </w:r>
      <w:r w:rsidR="000045D5"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="000045D5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0045D5" w:rsidRPr="00DC4B6E">
        <w:rPr>
          <w:sz w:val="28"/>
          <w:szCs w:val="28"/>
          <w:lang w:val="uk-UA"/>
        </w:rPr>
        <w:t>17</w:t>
      </w:r>
      <w:r w:rsidR="006527A6" w:rsidRP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років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(2,1±0,2</w:t>
      </w:r>
      <w:r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Динаміка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об'єднаній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віковій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рокі</w:t>
      </w:r>
      <w:r w:rsidR="00001A96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склала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(8,8</w:t>
      </w:r>
      <w:r w:rsidR="006A6105" w:rsidRPr="00DC4B6E">
        <w:rPr>
          <w:sz w:val="28"/>
          <w:szCs w:val="28"/>
          <w:lang w:val="uk-UA"/>
        </w:rPr>
        <w:t>±0,2</w:t>
      </w:r>
      <w:r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C469CB" w:rsidRPr="00DC4B6E">
        <w:rPr>
          <w:sz w:val="28"/>
          <w:szCs w:val="28"/>
          <w:lang w:val="uk-UA"/>
        </w:rPr>
        <w:t>(</w:t>
      </w:r>
      <w:r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</w:t>
      </w:r>
      <w:r w:rsidR="00C469CB"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="00C469CB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</w:t>
      </w:r>
      <w:r w:rsidR="00001A96" w:rsidRPr="00DC4B6E">
        <w:rPr>
          <w:sz w:val="28"/>
          <w:szCs w:val="28"/>
          <w:lang w:val="uk-UA"/>
        </w:rPr>
        <w:t>ку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зріст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збільшився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001A96" w:rsidRPr="00DC4B6E">
        <w:rPr>
          <w:sz w:val="28"/>
          <w:szCs w:val="28"/>
          <w:lang w:val="uk-UA"/>
        </w:rPr>
        <w:t>(6,1±0,3)</w:t>
      </w:r>
      <w:r w:rsidR="006527A6" w:rsidRP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см.</w:t>
      </w:r>
      <w:r w:rsidR="006527A6">
        <w:rPr>
          <w:sz w:val="28"/>
          <w:szCs w:val="28"/>
          <w:lang w:val="uk-UA"/>
        </w:rPr>
        <w:t xml:space="preserve"> </w:t>
      </w:r>
    </w:p>
    <w:p w:rsidR="00703443" w:rsidRPr="00DC4B6E" w:rsidRDefault="00703443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Отримані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результати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МГРТ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свідчать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A21493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пролікованих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вдалося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="00D813FE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813FE" w:rsidRPr="00DC4B6E">
        <w:rPr>
          <w:sz w:val="28"/>
          <w:szCs w:val="28"/>
          <w:lang w:val="uk-UA"/>
        </w:rPr>
        <w:t>зросту.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Найкращі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результати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досягнуті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гіпогонадизмом,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зріс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92,5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ПДГ,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збільшився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87,1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%.</w:t>
      </w:r>
      <w:r w:rsidR="006527A6">
        <w:rPr>
          <w:sz w:val="28"/>
          <w:szCs w:val="28"/>
          <w:lang w:val="uk-UA"/>
        </w:rPr>
        <w:t xml:space="preserve"> </w:t>
      </w:r>
    </w:p>
    <w:p w:rsidR="002F47CD" w:rsidRPr="00DC4B6E" w:rsidRDefault="00703443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Аналіз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індивідуальних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результатів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через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один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6742B4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055F13" w:rsidRPr="00DC4B6E">
        <w:rPr>
          <w:sz w:val="28"/>
          <w:szCs w:val="28"/>
          <w:lang w:val="uk-UA"/>
        </w:rPr>
        <w:t>61</w:t>
      </w:r>
      <w:r w:rsidR="006527A6">
        <w:rPr>
          <w:sz w:val="28"/>
          <w:szCs w:val="28"/>
          <w:lang w:val="uk-UA"/>
        </w:rPr>
        <w:t xml:space="preserve"> </w:t>
      </w:r>
      <w:r w:rsidR="00794A77" w:rsidRPr="00DC4B6E">
        <w:rPr>
          <w:sz w:val="28"/>
          <w:szCs w:val="28"/>
          <w:lang w:val="uk-UA"/>
        </w:rPr>
        <w:t>хворого</w:t>
      </w:r>
      <w:r w:rsidR="006527A6">
        <w:rPr>
          <w:sz w:val="28"/>
          <w:szCs w:val="28"/>
          <w:lang w:val="uk-UA"/>
        </w:rPr>
        <w:t xml:space="preserve"> </w:t>
      </w:r>
      <w:r w:rsidR="00A90BA4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794A77" w:rsidRPr="00DC4B6E">
        <w:rPr>
          <w:sz w:val="28"/>
          <w:szCs w:val="28"/>
          <w:lang w:val="uk-UA"/>
        </w:rPr>
        <w:t>корелятивний</w:t>
      </w:r>
      <w:r w:rsidR="006527A6">
        <w:rPr>
          <w:sz w:val="28"/>
          <w:szCs w:val="28"/>
          <w:lang w:val="uk-UA"/>
        </w:rPr>
        <w:t xml:space="preserve"> </w:t>
      </w:r>
      <w:r w:rsidR="00794A77" w:rsidRPr="00DC4B6E">
        <w:rPr>
          <w:sz w:val="28"/>
          <w:szCs w:val="28"/>
          <w:lang w:val="uk-UA"/>
        </w:rPr>
        <w:t>гіпогонадизм</w:t>
      </w:r>
      <w:r w:rsidR="006527A6">
        <w:rPr>
          <w:sz w:val="28"/>
          <w:szCs w:val="28"/>
          <w:lang w:val="uk-UA"/>
        </w:rPr>
        <w:t xml:space="preserve"> </w:t>
      </w:r>
      <w:r w:rsidR="00794A77" w:rsidRPr="00DC4B6E">
        <w:rPr>
          <w:sz w:val="28"/>
          <w:szCs w:val="28"/>
          <w:lang w:val="uk-UA"/>
        </w:rPr>
        <w:t>(91</w:t>
      </w:r>
      <w:r w:rsidR="006527A6">
        <w:rPr>
          <w:sz w:val="28"/>
          <w:szCs w:val="28"/>
          <w:lang w:val="uk-UA"/>
        </w:rPr>
        <w:t xml:space="preserve"> </w:t>
      </w:r>
      <w:r w:rsidR="00A90BA4" w:rsidRPr="00DC4B6E">
        <w:rPr>
          <w:sz w:val="28"/>
          <w:szCs w:val="28"/>
          <w:lang w:val="uk-UA"/>
        </w:rPr>
        <w:t>%)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досягнута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нормалізація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дозрівання</w:t>
      </w:r>
      <w:r w:rsidR="00BA3C8F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фізичного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BA3C8F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BA3C8F" w:rsidRPr="00DC4B6E">
        <w:rPr>
          <w:sz w:val="28"/>
          <w:szCs w:val="28"/>
          <w:lang w:val="uk-UA"/>
        </w:rPr>
        <w:t>компенсація</w:t>
      </w:r>
      <w:r w:rsidR="006527A6">
        <w:rPr>
          <w:sz w:val="28"/>
          <w:szCs w:val="28"/>
          <w:lang w:val="uk-UA"/>
        </w:rPr>
        <w:t xml:space="preserve"> </w:t>
      </w:r>
      <w:r w:rsidR="00BA3C8F" w:rsidRPr="00DC4B6E">
        <w:rPr>
          <w:sz w:val="28"/>
          <w:szCs w:val="28"/>
          <w:lang w:val="uk-UA"/>
        </w:rPr>
        <w:t>тиреоїдного</w:t>
      </w:r>
      <w:r w:rsidR="006527A6">
        <w:rPr>
          <w:sz w:val="28"/>
          <w:szCs w:val="28"/>
          <w:lang w:val="uk-UA"/>
        </w:rPr>
        <w:t xml:space="preserve"> </w:t>
      </w:r>
      <w:r w:rsidR="00BA3C8F" w:rsidRPr="00DC4B6E">
        <w:rPr>
          <w:sz w:val="28"/>
          <w:szCs w:val="28"/>
          <w:lang w:val="uk-UA"/>
        </w:rPr>
        <w:t>статусу</w:t>
      </w:r>
      <w:r w:rsidR="00A63DD4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A63DD4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1F062A" w:rsidRPr="00DC4B6E">
        <w:rPr>
          <w:sz w:val="28"/>
          <w:szCs w:val="28"/>
          <w:lang w:val="uk-UA"/>
        </w:rPr>
        <w:t>30</w:t>
      </w:r>
      <w:r w:rsidR="006527A6">
        <w:rPr>
          <w:sz w:val="28"/>
          <w:szCs w:val="28"/>
          <w:lang w:val="uk-UA"/>
        </w:rPr>
        <w:t xml:space="preserve"> </w:t>
      </w:r>
      <w:r w:rsidR="001F062A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ПДГ</w:t>
      </w:r>
      <w:r w:rsidR="006527A6">
        <w:rPr>
          <w:sz w:val="28"/>
          <w:szCs w:val="28"/>
          <w:lang w:val="uk-UA"/>
        </w:rPr>
        <w:t xml:space="preserve"> </w:t>
      </w:r>
      <w:r w:rsidR="001F062A" w:rsidRPr="00DC4B6E">
        <w:rPr>
          <w:sz w:val="28"/>
          <w:szCs w:val="28"/>
          <w:lang w:val="uk-UA"/>
        </w:rPr>
        <w:t>(73,1</w:t>
      </w:r>
      <w:r w:rsidR="006527A6">
        <w:rPr>
          <w:sz w:val="28"/>
          <w:szCs w:val="28"/>
          <w:lang w:val="uk-UA"/>
        </w:rPr>
        <w:t xml:space="preserve"> </w:t>
      </w:r>
      <w:r w:rsidR="001F062A" w:rsidRPr="00DC4B6E">
        <w:rPr>
          <w:sz w:val="28"/>
          <w:szCs w:val="28"/>
          <w:lang w:val="uk-UA"/>
        </w:rPr>
        <w:t>%)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досягнуто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нормалізації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сомато–статевого</w:t>
      </w:r>
      <w:r w:rsidR="006527A6">
        <w:rPr>
          <w:sz w:val="28"/>
          <w:szCs w:val="28"/>
          <w:lang w:val="uk-UA"/>
        </w:rPr>
        <w:t xml:space="preserve"> </w:t>
      </w:r>
      <w:r w:rsidR="002F47CD" w:rsidRPr="00DC4B6E">
        <w:rPr>
          <w:sz w:val="28"/>
          <w:szCs w:val="28"/>
          <w:lang w:val="uk-UA"/>
        </w:rPr>
        <w:t>розвитку.</w:t>
      </w:r>
      <w:r w:rsidR="006527A6">
        <w:rPr>
          <w:sz w:val="28"/>
          <w:szCs w:val="28"/>
          <w:lang w:val="uk-UA"/>
        </w:rPr>
        <w:t xml:space="preserve"> </w:t>
      </w:r>
    </w:p>
    <w:p w:rsidR="00703443" w:rsidRPr="00DC4B6E" w:rsidRDefault="00703443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Дослідження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концентрації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після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показало,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має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місце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його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підвищення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два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рази</w:t>
      </w:r>
      <w:r w:rsidR="006527A6">
        <w:rPr>
          <w:sz w:val="28"/>
          <w:szCs w:val="28"/>
          <w:lang w:val="uk-UA"/>
        </w:rPr>
        <w:t xml:space="preserve"> </w:t>
      </w:r>
      <w:r w:rsidR="00CF790E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CF790E" w:rsidRPr="00DC4B6E">
        <w:rPr>
          <w:sz w:val="28"/>
          <w:szCs w:val="28"/>
          <w:lang w:val="uk-UA"/>
        </w:rPr>
        <w:t>обох</w:t>
      </w:r>
      <w:r w:rsidR="006527A6">
        <w:rPr>
          <w:sz w:val="28"/>
          <w:szCs w:val="28"/>
          <w:lang w:val="uk-UA"/>
        </w:rPr>
        <w:t xml:space="preserve"> </w:t>
      </w:r>
      <w:r w:rsidR="00CF790E" w:rsidRPr="00DC4B6E">
        <w:rPr>
          <w:sz w:val="28"/>
          <w:szCs w:val="28"/>
          <w:lang w:val="uk-UA"/>
        </w:rPr>
        <w:t>вікових</w:t>
      </w:r>
      <w:r w:rsidR="006527A6">
        <w:rPr>
          <w:sz w:val="28"/>
          <w:szCs w:val="28"/>
          <w:lang w:val="uk-UA"/>
        </w:rPr>
        <w:t xml:space="preserve"> </w:t>
      </w:r>
      <w:r w:rsidR="00CF790E" w:rsidRPr="00DC4B6E">
        <w:rPr>
          <w:sz w:val="28"/>
          <w:szCs w:val="28"/>
          <w:lang w:val="uk-UA"/>
        </w:rPr>
        <w:t>групах</w:t>
      </w:r>
      <w:r w:rsidR="006527A6">
        <w:rPr>
          <w:sz w:val="28"/>
          <w:szCs w:val="28"/>
          <w:lang w:val="uk-UA"/>
        </w:rPr>
        <w:t xml:space="preserve"> </w:t>
      </w:r>
      <w:r w:rsidR="00D203D8" w:rsidRPr="00DC4B6E">
        <w:rPr>
          <w:sz w:val="28"/>
          <w:szCs w:val="28"/>
          <w:lang w:val="uk-UA"/>
        </w:rPr>
        <w:t>(від</w:t>
      </w:r>
      <w:r w:rsidR="006527A6">
        <w:rPr>
          <w:sz w:val="28"/>
          <w:szCs w:val="28"/>
          <w:lang w:val="uk-UA"/>
        </w:rPr>
        <w:t xml:space="preserve"> </w:t>
      </w:r>
      <w:r w:rsidR="00D203D8" w:rsidRPr="00DC4B6E">
        <w:rPr>
          <w:sz w:val="28"/>
          <w:szCs w:val="28"/>
          <w:lang w:val="uk-UA"/>
        </w:rPr>
        <w:t>3,7±0,1</w:t>
      </w:r>
      <w:r w:rsidR="006527A6">
        <w:rPr>
          <w:sz w:val="28"/>
          <w:szCs w:val="28"/>
          <w:lang w:val="uk-UA"/>
        </w:rPr>
        <w:t xml:space="preserve"> </w:t>
      </w:r>
      <w:r w:rsidR="00D203D8"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="00D203D8" w:rsidRPr="00DC4B6E">
        <w:rPr>
          <w:sz w:val="28"/>
          <w:szCs w:val="28"/>
          <w:lang w:val="uk-UA"/>
        </w:rPr>
        <w:t>(7,5±0,2</w:t>
      </w:r>
      <w:r w:rsidR="000704C6" w:rsidRPr="00DC4B6E">
        <w:rPr>
          <w:sz w:val="28"/>
          <w:szCs w:val="28"/>
          <w:lang w:val="uk-UA"/>
        </w:rPr>
        <w:t>)</w:t>
      </w:r>
      <w:r w:rsidR="006527A6">
        <w:rPr>
          <w:sz w:val="28"/>
          <w:szCs w:val="28"/>
          <w:lang w:val="uk-UA"/>
        </w:rPr>
        <w:t xml:space="preserve"> </w:t>
      </w:r>
      <w:r w:rsidR="000704C6" w:rsidRPr="00DC4B6E">
        <w:rPr>
          <w:sz w:val="28"/>
          <w:szCs w:val="28"/>
          <w:lang w:val="uk-UA"/>
        </w:rPr>
        <w:t>нмоль/л)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</w:t>
      </w:r>
      <w:r w:rsidR="00BC3587" w:rsidRPr="00DC4B6E">
        <w:rPr>
          <w:sz w:val="28"/>
          <w:szCs w:val="28"/>
          <w:lang w:val="uk-UA"/>
        </w:rPr>
        <w:t>елятивним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BC3587" w:rsidRPr="00DC4B6E">
        <w:rPr>
          <w:sz w:val="28"/>
          <w:szCs w:val="28"/>
          <w:lang w:val="uk-UA"/>
        </w:rPr>
        <w:t>1,6</w:t>
      </w:r>
      <w:r w:rsidR="006527A6">
        <w:rPr>
          <w:sz w:val="28"/>
          <w:szCs w:val="28"/>
          <w:lang w:val="uk-UA"/>
        </w:rPr>
        <w:t xml:space="preserve"> </w:t>
      </w:r>
      <w:r w:rsidR="000704C6" w:rsidRPr="00DC4B6E">
        <w:rPr>
          <w:sz w:val="28"/>
          <w:szCs w:val="28"/>
          <w:lang w:val="uk-UA"/>
        </w:rPr>
        <w:t>рази</w:t>
      </w:r>
      <w:r w:rsidR="006527A6">
        <w:rPr>
          <w:sz w:val="28"/>
          <w:szCs w:val="28"/>
          <w:lang w:val="uk-UA"/>
        </w:rPr>
        <w:t xml:space="preserve"> </w:t>
      </w:r>
      <w:r w:rsidR="000704C6" w:rsidRPr="00DC4B6E">
        <w:rPr>
          <w:sz w:val="28"/>
          <w:szCs w:val="28"/>
          <w:lang w:val="uk-UA"/>
        </w:rPr>
        <w:t>(від</w:t>
      </w:r>
      <w:r w:rsidR="006527A6">
        <w:rPr>
          <w:sz w:val="28"/>
          <w:szCs w:val="28"/>
          <w:lang w:val="uk-UA"/>
        </w:rPr>
        <w:t xml:space="preserve"> </w:t>
      </w:r>
      <w:r w:rsidR="000704C6" w:rsidRPr="00DC4B6E">
        <w:rPr>
          <w:sz w:val="28"/>
          <w:szCs w:val="28"/>
          <w:lang w:val="uk-UA"/>
        </w:rPr>
        <w:t>4,2±0,3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</w:t>
      </w:r>
      <w:r w:rsidR="000704C6" w:rsidRPr="00DC4B6E">
        <w:rPr>
          <w:sz w:val="28"/>
          <w:szCs w:val="28"/>
          <w:lang w:val="uk-UA"/>
        </w:rPr>
        <w:t>о</w:t>
      </w:r>
      <w:r w:rsidR="006527A6">
        <w:rPr>
          <w:sz w:val="28"/>
          <w:szCs w:val="28"/>
          <w:lang w:val="uk-UA"/>
        </w:rPr>
        <w:t xml:space="preserve"> </w:t>
      </w:r>
      <w:r w:rsidR="000704C6" w:rsidRPr="00DC4B6E">
        <w:rPr>
          <w:sz w:val="28"/>
          <w:szCs w:val="28"/>
          <w:lang w:val="uk-UA"/>
        </w:rPr>
        <w:t>(6,8</w:t>
      </w:r>
      <w:r w:rsidRPr="00DC4B6E">
        <w:rPr>
          <w:sz w:val="28"/>
          <w:szCs w:val="28"/>
          <w:lang w:val="uk-UA"/>
        </w:rPr>
        <w:t>±0,2)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нмоль/л)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ПДГ.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ФНП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прирі</w:t>
      </w:r>
      <w:r w:rsidR="00E165CA" w:rsidRPr="00DC4B6E">
        <w:rPr>
          <w:sz w:val="28"/>
          <w:szCs w:val="28"/>
          <w:lang w:val="uk-UA"/>
        </w:rPr>
        <w:t>ст</w:t>
      </w:r>
      <w:r w:rsidR="006527A6">
        <w:rPr>
          <w:sz w:val="28"/>
          <w:szCs w:val="28"/>
          <w:lang w:val="uk-UA"/>
        </w:rPr>
        <w:t xml:space="preserve"> </w:t>
      </w:r>
      <w:r w:rsidR="00E165CA"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="00E165CA"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="00E165CA" w:rsidRPr="00DC4B6E">
        <w:rPr>
          <w:sz w:val="28"/>
          <w:szCs w:val="28"/>
          <w:lang w:val="uk-UA"/>
        </w:rPr>
        <w:t>збільшився</w:t>
      </w:r>
      <w:r w:rsidR="006527A6">
        <w:rPr>
          <w:sz w:val="28"/>
          <w:szCs w:val="28"/>
          <w:lang w:val="uk-UA"/>
        </w:rPr>
        <w:t xml:space="preserve"> </w:t>
      </w:r>
      <w:r w:rsidR="00E165CA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E165CA" w:rsidRPr="00DC4B6E">
        <w:rPr>
          <w:sz w:val="28"/>
          <w:szCs w:val="28"/>
          <w:lang w:val="uk-UA"/>
        </w:rPr>
        <w:t>46,3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вторинним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пацієнтів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первинним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суттєво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змінилися.</w:t>
      </w:r>
    </w:p>
    <w:p w:rsidR="00703443" w:rsidRPr="00DC4B6E" w:rsidRDefault="00703443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Таким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чином,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проводити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комплексно,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шляхом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застосування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модифікованих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схем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МГРТ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призначенням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препаратів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тиреоїдних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гормонів.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4D06E3" w:rsidP="004D06E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D7C90" w:rsidRPr="00DC4B6E">
        <w:rPr>
          <w:b/>
          <w:bCs/>
          <w:sz w:val="28"/>
          <w:szCs w:val="28"/>
          <w:lang w:val="uk-UA"/>
        </w:rPr>
        <w:t>ВИСНОВКИ</w:t>
      </w:r>
    </w:p>
    <w:p w:rsidR="004D06E3" w:rsidRDefault="004D06E3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</w:p>
    <w:p w:rsidR="00DD7C90" w:rsidRPr="00DC4B6E" w:rsidRDefault="00DD7C90" w:rsidP="00DC4B6E">
      <w:pPr>
        <w:pStyle w:val="31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дисертації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наведено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теоретичне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узагальнення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представлені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нові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фізичного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також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запропоновано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патогенетично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обґрунтовані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диференційовані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підходи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pStyle w:val="31"/>
        <w:numPr>
          <w:ilvl w:val="0"/>
          <w:numId w:val="1"/>
        </w:numPr>
        <w:tabs>
          <w:tab w:val="clear" w:pos="870"/>
          <w:tab w:val="num" w:pos="567"/>
          <w:tab w:val="num" w:pos="993"/>
        </w:tabs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Частота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="00B05D05"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="00B05D05"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="00B05D05" w:rsidRPr="00DC4B6E">
        <w:rPr>
          <w:sz w:val="28"/>
          <w:szCs w:val="28"/>
          <w:lang w:val="uk-UA"/>
        </w:rPr>
        <w:t>становить</w:t>
      </w:r>
      <w:r w:rsidR="006527A6">
        <w:rPr>
          <w:sz w:val="28"/>
          <w:szCs w:val="28"/>
          <w:lang w:val="uk-UA"/>
        </w:rPr>
        <w:t xml:space="preserve"> </w:t>
      </w:r>
      <w:r w:rsidR="00B05D05" w:rsidRPr="00DC4B6E">
        <w:rPr>
          <w:sz w:val="28"/>
          <w:szCs w:val="28"/>
          <w:lang w:val="uk-UA"/>
        </w:rPr>
        <w:t>7,1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%,</w:t>
      </w:r>
      <w:r w:rsidR="006527A6">
        <w:rPr>
          <w:sz w:val="28"/>
          <w:szCs w:val="28"/>
          <w:lang w:val="uk-UA"/>
        </w:rPr>
        <w:t xml:space="preserve"> </w:t>
      </w:r>
      <w:r w:rsidR="002551DA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293FAE"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="00293FAE"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="00032873" w:rsidRPr="00DC4B6E">
        <w:rPr>
          <w:sz w:val="28"/>
          <w:szCs w:val="28"/>
          <w:lang w:val="uk-UA"/>
        </w:rPr>
        <w:t>5</w:t>
      </w:r>
      <w:r w:rsidR="002551DA" w:rsidRPr="00DC4B6E">
        <w:rPr>
          <w:sz w:val="28"/>
          <w:szCs w:val="28"/>
          <w:lang w:val="uk-UA"/>
        </w:rPr>
        <w:t>6,9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пацієнтів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мають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зоб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тлі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екскреції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сечею.</w:t>
      </w:r>
    </w:p>
    <w:p w:rsidR="00DD7C90" w:rsidRPr="00DC4B6E" w:rsidRDefault="00DD7C90" w:rsidP="00DC4B6E">
      <w:pPr>
        <w:pStyle w:val="31"/>
        <w:numPr>
          <w:ilvl w:val="0"/>
          <w:numId w:val="1"/>
        </w:numPr>
        <w:tabs>
          <w:tab w:val="num" w:pos="0"/>
          <w:tab w:val="left" w:pos="993"/>
        </w:tabs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клінічного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перебігу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різних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варіантів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мешканців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йододефіцитного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полягають</w:t>
      </w:r>
      <w:r w:rsidR="006527A6">
        <w:rPr>
          <w:sz w:val="28"/>
          <w:szCs w:val="28"/>
          <w:lang w:val="uk-UA"/>
        </w:rPr>
        <w:t xml:space="preserve"> </w:t>
      </w:r>
      <w:r w:rsidR="00DB1E2E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DB1E2E" w:rsidRPr="00DC4B6E">
        <w:rPr>
          <w:sz w:val="28"/>
          <w:szCs w:val="28"/>
          <w:lang w:val="uk-UA"/>
        </w:rPr>
        <w:t>вираженому</w:t>
      </w:r>
      <w:r w:rsidR="006527A6">
        <w:rPr>
          <w:sz w:val="28"/>
          <w:szCs w:val="28"/>
          <w:lang w:val="uk-UA"/>
        </w:rPr>
        <w:t xml:space="preserve"> </w:t>
      </w:r>
      <w:r w:rsidR="00DB1E2E" w:rsidRPr="00DC4B6E">
        <w:rPr>
          <w:sz w:val="28"/>
          <w:szCs w:val="28"/>
          <w:lang w:val="uk-UA"/>
        </w:rPr>
        <w:t>відставанні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перви</w:t>
      </w:r>
      <w:r w:rsidR="00216EA0" w:rsidRPr="00DC4B6E">
        <w:rPr>
          <w:sz w:val="28"/>
          <w:szCs w:val="28"/>
          <w:lang w:val="uk-UA"/>
        </w:rPr>
        <w:t>нних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вторинних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ознак,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низькорослості,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тлі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запізнювання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осифікації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кістяка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80,9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хворих</w:t>
      </w:r>
      <w:r w:rsidR="00761277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інфантильному</w:t>
      </w:r>
      <w:r w:rsidR="006527A6">
        <w:rPr>
          <w:sz w:val="28"/>
          <w:szCs w:val="28"/>
          <w:lang w:val="uk-UA"/>
        </w:rPr>
        <w:t xml:space="preserve"> </w:t>
      </w:r>
      <w:r w:rsidR="00216EA0" w:rsidRPr="00DC4B6E">
        <w:rPr>
          <w:sz w:val="28"/>
          <w:szCs w:val="28"/>
          <w:lang w:val="uk-UA"/>
        </w:rPr>
        <w:t>морфотипі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наявності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клінічних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ознак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маніфестного</w:t>
      </w:r>
      <w:r w:rsidR="006527A6">
        <w:rPr>
          <w:sz w:val="28"/>
          <w:szCs w:val="28"/>
          <w:lang w:val="uk-UA"/>
        </w:rPr>
        <w:t xml:space="preserve"> </w:t>
      </w:r>
      <w:r w:rsidR="00B71820" w:rsidRPr="00DC4B6E">
        <w:rPr>
          <w:sz w:val="28"/>
          <w:szCs w:val="28"/>
          <w:lang w:val="uk-UA"/>
        </w:rPr>
        <w:t>гіпотиреозу</w:t>
      </w:r>
      <w:r w:rsidR="00D22022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numPr>
          <w:ilvl w:val="0"/>
          <w:numId w:val="1"/>
        </w:numPr>
        <w:tabs>
          <w:tab w:val="clear" w:pos="870"/>
          <w:tab w:val="left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встановлена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наявність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дисфункціональних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відхилень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системі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гіпофіз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свідчать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наявність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маніфестного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або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латентного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гіпотиреозу.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Незалежно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виду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гіпогонадизму,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існує</w:t>
      </w:r>
      <w:r w:rsidR="006527A6">
        <w:rPr>
          <w:sz w:val="28"/>
          <w:szCs w:val="28"/>
          <w:lang w:val="uk-UA"/>
        </w:rPr>
        <w:t xml:space="preserve"> </w:t>
      </w:r>
      <w:r w:rsidR="008378E0" w:rsidRPr="00DC4B6E">
        <w:rPr>
          <w:sz w:val="28"/>
          <w:szCs w:val="28"/>
          <w:lang w:val="uk-UA"/>
        </w:rPr>
        <w:t>зрос</w:t>
      </w:r>
      <w:r w:rsidR="002A6448" w:rsidRPr="00DC4B6E">
        <w:rPr>
          <w:sz w:val="28"/>
          <w:szCs w:val="28"/>
          <w:lang w:val="uk-UA"/>
        </w:rPr>
        <w:t>тання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рівня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ТТГ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62,3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хворих.</w:t>
      </w:r>
      <w:r w:rsidR="006527A6">
        <w:rPr>
          <w:sz w:val="28"/>
          <w:szCs w:val="28"/>
          <w:lang w:val="uk-UA"/>
        </w:rPr>
        <w:t xml:space="preserve"> </w:t>
      </w:r>
      <w:r w:rsidR="002A6448" w:rsidRPr="00DC4B6E">
        <w:rPr>
          <w:sz w:val="28"/>
          <w:szCs w:val="28"/>
          <w:lang w:val="uk-UA"/>
        </w:rPr>
        <w:t>П</w:t>
      </w:r>
      <w:r w:rsidRPr="00DC4B6E">
        <w:rPr>
          <w:sz w:val="28"/>
          <w:szCs w:val="28"/>
          <w:lang w:val="uk-UA"/>
        </w:rPr>
        <w:t>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цьому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структурі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43,5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займає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корелятивний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обумовлений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</w:t>
      </w:r>
      <w:r w:rsidR="00E459D0" w:rsidRPr="00DC4B6E">
        <w:rPr>
          <w:sz w:val="28"/>
          <w:szCs w:val="28"/>
          <w:lang w:val="uk-UA"/>
        </w:rPr>
        <w:t>іпофункцією</w:t>
      </w:r>
      <w:r w:rsidR="006527A6">
        <w:rPr>
          <w:sz w:val="28"/>
          <w:szCs w:val="28"/>
          <w:lang w:val="uk-UA"/>
        </w:rPr>
        <w:t xml:space="preserve"> </w:t>
      </w:r>
      <w:r w:rsidR="00E459D0" w:rsidRPr="00DC4B6E">
        <w:rPr>
          <w:sz w:val="28"/>
          <w:szCs w:val="28"/>
          <w:lang w:val="uk-UA"/>
        </w:rPr>
        <w:t>щитоподіб</w:t>
      </w:r>
      <w:r w:rsidR="006527A6">
        <w:rPr>
          <w:sz w:val="28"/>
          <w:szCs w:val="28"/>
          <w:lang w:val="uk-UA"/>
        </w:rPr>
        <w:t xml:space="preserve"> </w:t>
      </w:r>
      <w:r w:rsidR="00B4509D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459D0" w:rsidRPr="00DC4B6E">
        <w:rPr>
          <w:sz w:val="28"/>
          <w:szCs w:val="28"/>
          <w:lang w:val="uk-UA"/>
        </w:rPr>
        <w:t>ної</w:t>
      </w:r>
      <w:r w:rsidR="006527A6">
        <w:rPr>
          <w:sz w:val="28"/>
          <w:szCs w:val="28"/>
          <w:lang w:val="uk-UA"/>
        </w:rPr>
        <w:t xml:space="preserve"> </w:t>
      </w:r>
      <w:r w:rsidR="00E459D0" w:rsidRPr="00DC4B6E">
        <w:rPr>
          <w:sz w:val="28"/>
          <w:szCs w:val="28"/>
          <w:lang w:val="uk-UA"/>
        </w:rPr>
        <w:t>залози.</w:t>
      </w:r>
    </w:p>
    <w:p w:rsidR="00DD7C90" w:rsidRPr="00DC4B6E" w:rsidRDefault="00DD7C90" w:rsidP="00DC4B6E">
      <w:pPr>
        <w:numPr>
          <w:ilvl w:val="0"/>
          <w:numId w:val="1"/>
        </w:numPr>
        <w:tabs>
          <w:tab w:val="clear" w:pos="870"/>
          <w:tab w:val="num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Обґрунтовано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апробовано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необхідність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шляхом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застосування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модифікованих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схем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класичної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гормоноредукованої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ранніх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стадіях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захворювання,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найбільш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суттєве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збільшення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зросту,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компенсацію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розвитку.</w:t>
      </w:r>
    </w:p>
    <w:p w:rsidR="008F069B" w:rsidRPr="00DC4B6E" w:rsidRDefault="00DD7C90" w:rsidP="00DC4B6E">
      <w:pPr>
        <w:numPr>
          <w:ilvl w:val="0"/>
          <w:numId w:val="1"/>
        </w:numPr>
        <w:tabs>
          <w:tab w:val="clear" w:pos="870"/>
          <w:tab w:val="num" w:pos="993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Запропонований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алгоритм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позитивний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вплив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реалізацію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ендогенних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інкреторну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можливість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досягти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нормалізації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сомато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застосуванні</w:t>
      </w:r>
      <w:r w:rsidR="006527A6">
        <w:rPr>
          <w:sz w:val="28"/>
          <w:szCs w:val="28"/>
          <w:lang w:val="uk-UA"/>
        </w:rPr>
        <w:t xml:space="preserve"> </w:t>
      </w:r>
      <w:r w:rsidR="00FA5778" w:rsidRPr="00DC4B6E">
        <w:rPr>
          <w:sz w:val="28"/>
          <w:szCs w:val="28"/>
          <w:lang w:val="uk-UA"/>
        </w:rPr>
        <w:t>модифікованої</w:t>
      </w:r>
      <w:r w:rsidR="006527A6">
        <w:rPr>
          <w:sz w:val="28"/>
          <w:szCs w:val="28"/>
          <w:lang w:val="uk-UA"/>
        </w:rPr>
        <w:t xml:space="preserve"> </w:t>
      </w:r>
      <w:r w:rsidR="00FA5778" w:rsidRPr="00DC4B6E">
        <w:rPr>
          <w:sz w:val="28"/>
          <w:szCs w:val="28"/>
          <w:lang w:val="uk-UA"/>
        </w:rPr>
        <w:t>гормоно</w:t>
      </w:r>
      <w:r w:rsidR="008F069B" w:rsidRPr="00DC4B6E">
        <w:rPr>
          <w:sz w:val="28"/>
          <w:szCs w:val="28"/>
          <w:lang w:val="uk-UA"/>
        </w:rPr>
        <w:t>редукованої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перинатально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детермі</w:t>
      </w:r>
      <w:r w:rsidR="00F92F31" w:rsidRPr="00DC4B6E">
        <w:rPr>
          <w:sz w:val="28"/>
          <w:szCs w:val="28"/>
          <w:lang w:val="uk-UA"/>
        </w:rPr>
        <w:t>нованим</w:t>
      </w:r>
      <w:r w:rsidR="006527A6">
        <w:rPr>
          <w:sz w:val="28"/>
          <w:szCs w:val="28"/>
          <w:lang w:val="uk-UA"/>
        </w:rPr>
        <w:t xml:space="preserve"> </w:t>
      </w:r>
      <w:r w:rsidR="00F92F31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F92F31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F92F31" w:rsidRPr="00DC4B6E">
        <w:rPr>
          <w:sz w:val="28"/>
          <w:szCs w:val="28"/>
          <w:lang w:val="uk-UA"/>
        </w:rPr>
        <w:t>8</w:t>
      </w:r>
      <w:r w:rsidR="008F069B" w:rsidRPr="00DC4B6E">
        <w:rPr>
          <w:sz w:val="28"/>
          <w:szCs w:val="28"/>
          <w:lang w:val="uk-UA"/>
        </w:rPr>
        <w:t>4,2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8F069B" w:rsidRPr="00DC4B6E">
        <w:rPr>
          <w:sz w:val="28"/>
          <w:szCs w:val="28"/>
          <w:lang w:val="uk-UA"/>
        </w:rPr>
        <w:t>випад</w:t>
      </w:r>
      <w:r w:rsidR="00B81DA1" w:rsidRPr="00DC4B6E">
        <w:rPr>
          <w:sz w:val="28"/>
          <w:szCs w:val="28"/>
          <w:lang w:val="uk-UA"/>
        </w:rPr>
        <w:t>ків.</w:t>
      </w:r>
    </w:p>
    <w:p w:rsidR="00DD7C90" w:rsidRDefault="004D06E3" w:rsidP="004D06E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DD7C90" w:rsidRPr="00DC4B6E">
        <w:rPr>
          <w:b/>
          <w:bCs/>
          <w:sz w:val="28"/>
          <w:szCs w:val="28"/>
          <w:lang w:val="uk-UA"/>
        </w:rPr>
        <w:t>ПРАКТИЧНІ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="00DD7C90" w:rsidRPr="00DC4B6E">
        <w:rPr>
          <w:b/>
          <w:bCs/>
          <w:sz w:val="28"/>
          <w:szCs w:val="28"/>
          <w:lang w:val="uk-UA"/>
        </w:rPr>
        <w:t>РЕКОМЕНДАЦІЇ</w:t>
      </w:r>
    </w:p>
    <w:p w:rsidR="004D06E3" w:rsidRPr="00DC4B6E" w:rsidRDefault="004D06E3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DD7C90" w:rsidRPr="00DC4B6E" w:rsidRDefault="00DD7C90" w:rsidP="00DC4B6E">
      <w:pPr>
        <w:numPr>
          <w:ilvl w:val="0"/>
          <w:numId w:val="2"/>
        </w:numPr>
        <w:tabs>
          <w:tab w:val="clear" w:pos="1590"/>
          <w:tab w:val="left" w:pos="993"/>
          <w:tab w:val="num" w:pos="1985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метою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запобігання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мешкають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є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обов'язковим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лікаря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для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визначення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відхилень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фізичному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дозріванні.</w:t>
      </w:r>
    </w:p>
    <w:p w:rsidR="00DD7C90" w:rsidRPr="00DC4B6E" w:rsidRDefault="00DD7C90" w:rsidP="00DC4B6E">
      <w:pPr>
        <w:numPr>
          <w:ilvl w:val="0"/>
          <w:numId w:val="2"/>
        </w:numPr>
        <w:tabs>
          <w:tab w:val="clear" w:pos="1590"/>
          <w:tab w:val="num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Уже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першому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зверненні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пацієнта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лікаря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розрахувати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величину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інтегрального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показника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дозрівання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провести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пальпаторне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УЗД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залози,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дослідити</w:t>
      </w:r>
      <w:r w:rsidR="006527A6">
        <w:rPr>
          <w:sz w:val="28"/>
          <w:szCs w:val="28"/>
          <w:lang w:val="uk-UA"/>
        </w:rPr>
        <w:t xml:space="preserve"> </w:t>
      </w:r>
      <w:r w:rsidR="00132840" w:rsidRPr="00DC4B6E">
        <w:rPr>
          <w:sz w:val="28"/>
          <w:szCs w:val="28"/>
          <w:lang w:val="uk-UA"/>
        </w:rPr>
        <w:t>вміст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статевих</w:t>
      </w:r>
      <w:r w:rsidR="005A6E11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5A6E11" w:rsidRPr="00DC4B6E">
        <w:rPr>
          <w:sz w:val="28"/>
          <w:szCs w:val="28"/>
          <w:lang w:val="uk-UA"/>
        </w:rPr>
        <w:t>тиреоїдних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гонадо</w:t>
      </w:r>
      <w:r w:rsidR="005743C4"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lang w:val="uk-UA"/>
        </w:rPr>
        <w:t>ропінів,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ТТГ,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дозволить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встановити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наявність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ранніх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стадіях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захворювання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можливість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провести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своєчасну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корекцію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порушень.</w:t>
      </w:r>
    </w:p>
    <w:p w:rsidR="00DD7C90" w:rsidRPr="00DC4B6E" w:rsidRDefault="00DD7C90" w:rsidP="00DC4B6E">
      <w:pPr>
        <w:numPr>
          <w:ilvl w:val="0"/>
          <w:numId w:val="2"/>
        </w:numPr>
        <w:tabs>
          <w:tab w:val="clear" w:pos="1590"/>
          <w:tab w:val="num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повинно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бути</w:t>
      </w:r>
      <w:r w:rsidR="006527A6">
        <w:rPr>
          <w:sz w:val="28"/>
          <w:szCs w:val="28"/>
          <w:lang w:val="uk-UA"/>
        </w:rPr>
        <w:t xml:space="preserve"> </w:t>
      </w:r>
      <w:r w:rsidR="00A71900" w:rsidRPr="00DC4B6E">
        <w:rPr>
          <w:sz w:val="28"/>
          <w:szCs w:val="28"/>
          <w:lang w:val="uk-UA"/>
        </w:rPr>
        <w:t>комплексним</w:t>
      </w:r>
      <w:r w:rsidR="006527A6">
        <w:rPr>
          <w:sz w:val="28"/>
          <w:szCs w:val="28"/>
          <w:lang w:val="uk-UA"/>
        </w:rPr>
        <w:t xml:space="preserve"> </w:t>
      </w:r>
      <w:r w:rsidR="00A71900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A71900" w:rsidRPr="00DC4B6E">
        <w:rPr>
          <w:sz w:val="28"/>
          <w:szCs w:val="28"/>
          <w:lang w:val="uk-UA"/>
        </w:rPr>
        <w:t>застосуванням</w:t>
      </w:r>
      <w:r w:rsidR="006527A6">
        <w:rPr>
          <w:sz w:val="28"/>
          <w:szCs w:val="28"/>
          <w:lang w:val="uk-UA"/>
        </w:rPr>
        <w:t xml:space="preserve"> </w:t>
      </w:r>
      <w:r w:rsidR="00A71900" w:rsidRPr="00DC4B6E">
        <w:rPr>
          <w:sz w:val="28"/>
          <w:szCs w:val="28"/>
          <w:lang w:val="uk-UA"/>
        </w:rPr>
        <w:t>відповідної</w:t>
      </w:r>
      <w:r w:rsidR="006527A6">
        <w:rPr>
          <w:sz w:val="28"/>
          <w:szCs w:val="28"/>
          <w:lang w:val="uk-UA"/>
        </w:rPr>
        <w:t xml:space="preserve"> </w:t>
      </w:r>
      <w:r w:rsidR="00A71900" w:rsidRPr="00DC4B6E">
        <w:rPr>
          <w:sz w:val="28"/>
          <w:szCs w:val="28"/>
          <w:lang w:val="uk-UA"/>
        </w:rPr>
        <w:t>гормональної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або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гормоно</w:t>
      </w:r>
      <w:r w:rsidR="006527A6">
        <w:rPr>
          <w:sz w:val="28"/>
          <w:szCs w:val="28"/>
          <w:lang w:val="uk-UA"/>
        </w:rPr>
        <w:t xml:space="preserve"> </w:t>
      </w:r>
      <w:r w:rsidR="00AB4A04" w:rsidRPr="00DC4B6E">
        <w:rPr>
          <w:sz w:val="28"/>
          <w:szCs w:val="28"/>
          <w:lang w:val="uk-UA"/>
        </w:rPr>
        <w:t>–</w:t>
      </w:r>
      <w:r w:rsidR="00BC504B" w:rsidRPr="00DC4B6E">
        <w:rPr>
          <w:sz w:val="28"/>
          <w:szCs w:val="28"/>
          <w:lang w:val="uk-UA"/>
        </w:rPr>
        <w:t>редукованої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терапії,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залежності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="009A2677" w:rsidRPr="00DC4B6E">
        <w:rPr>
          <w:sz w:val="28"/>
          <w:szCs w:val="28"/>
          <w:lang w:val="uk-UA"/>
        </w:rPr>
        <w:t>його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варіанту,</w:t>
      </w:r>
      <w:r w:rsidR="006527A6">
        <w:rPr>
          <w:sz w:val="28"/>
          <w:szCs w:val="28"/>
          <w:lang w:val="uk-UA"/>
        </w:rPr>
        <w:t xml:space="preserve"> </w:t>
      </w:r>
      <w:r w:rsidR="009A2677" w:rsidRPr="00DC4B6E">
        <w:rPr>
          <w:sz w:val="28"/>
          <w:szCs w:val="28"/>
          <w:lang w:val="uk-UA"/>
        </w:rPr>
        <w:t>призначенням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лікувальної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фізкультури,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використання</w:t>
      </w:r>
      <w:r w:rsidR="009A2677" w:rsidRPr="00DC4B6E">
        <w:rPr>
          <w:sz w:val="28"/>
          <w:szCs w:val="28"/>
          <w:lang w:val="uk-UA"/>
        </w:rPr>
        <w:t>м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раціоні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харчування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йодованої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солі,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продуктів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моря,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їжі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збагаченої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білками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BC504B" w:rsidRPr="00DC4B6E">
        <w:rPr>
          <w:sz w:val="28"/>
          <w:szCs w:val="28"/>
          <w:lang w:val="uk-UA"/>
        </w:rPr>
        <w:t>вітамінами.</w:t>
      </w:r>
    </w:p>
    <w:p w:rsidR="00DD7C90" w:rsidRPr="00DC4B6E" w:rsidRDefault="007E0188" w:rsidP="00DC4B6E">
      <w:pPr>
        <w:numPr>
          <w:ilvl w:val="0"/>
          <w:numId w:val="2"/>
        </w:numPr>
        <w:tabs>
          <w:tab w:val="clear" w:pos="1590"/>
          <w:tab w:val="num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485FFD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поряд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патогенетичною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терапією,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спрямованою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нормалізацію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розвитку,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призначати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препарати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калію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йодиду</w:t>
      </w:r>
      <w:r w:rsidR="006527A6">
        <w:rPr>
          <w:sz w:val="28"/>
          <w:szCs w:val="28"/>
          <w:lang w:val="uk-UA"/>
        </w:rPr>
        <w:t xml:space="preserve"> </w:t>
      </w:r>
      <w:r w:rsidR="00485FFD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по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150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мкг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добу</w:t>
      </w:r>
      <w:r w:rsidR="004C78BA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A85308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A85308" w:rsidRPr="00DC4B6E">
        <w:rPr>
          <w:sz w:val="28"/>
          <w:szCs w:val="28"/>
          <w:lang w:val="uk-UA"/>
        </w:rPr>
        <w:t>констатації</w:t>
      </w:r>
      <w:r w:rsidR="006527A6">
        <w:rPr>
          <w:sz w:val="28"/>
          <w:szCs w:val="28"/>
          <w:lang w:val="uk-UA"/>
        </w:rPr>
        <w:t xml:space="preserve"> </w:t>
      </w:r>
      <w:r w:rsidR="00807519" w:rsidRPr="00DC4B6E">
        <w:rPr>
          <w:sz w:val="28"/>
          <w:szCs w:val="28"/>
          <w:lang w:val="uk-UA"/>
        </w:rPr>
        <w:t>маніфестного</w:t>
      </w:r>
      <w:r w:rsidR="006527A6">
        <w:rPr>
          <w:sz w:val="28"/>
          <w:szCs w:val="28"/>
          <w:lang w:val="uk-UA"/>
        </w:rPr>
        <w:t xml:space="preserve"> </w:t>
      </w:r>
      <w:r w:rsidR="00807519" w:rsidRPr="00DC4B6E">
        <w:rPr>
          <w:sz w:val="28"/>
          <w:szCs w:val="28"/>
          <w:lang w:val="uk-UA"/>
        </w:rPr>
        <w:t>гіпо</w:t>
      </w:r>
      <w:r w:rsidR="00FD5356" w:rsidRPr="00DC4B6E">
        <w:rPr>
          <w:sz w:val="28"/>
          <w:szCs w:val="28"/>
          <w:lang w:val="uk-UA"/>
        </w:rPr>
        <w:t>тиреозу</w:t>
      </w:r>
      <w:r w:rsidR="006527A6">
        <w:rPr>
          <w:sz w:val="28"/>
          <w:szCs w:val="28"/>
          <w:lang w:val="uk-UA"/>
        </w:rPr>
        <w:t xml:space="preserve"> </w:t>
      </w:r>
      <w:r w:rsidR="00FD5356" w:rsidRPr="00DC4B6E">
        <w:rPr>
          <w:sz w:val="28"/>
          <w:szCs w:val="28"/>
          <w:lang w:val="uk-UA"/>
        </w:rPr>
        <w:t>разо</w:t>
      </w:r>
      <w:r w:rsidR="00807519" w:rsidRPr="00DC4B6E">
        <w:rPr>
          <w:sz w:val="28"/>
          <w:szCs w:val="28"/>
          <w:lang w:val="uk-UA"/>
        </w:rPr>
        <w:t>м</w:t>
      </w:r>
      <w:r w:rsidR="006527A6">
        <w:rPr>
          <w:sz w:val="28"/>
          <w:szCs w:val="28"/>
          <w:lang w:val="uk-UA"/>
        </w:rPr>
        <w:t xml:space="preserve"> </w:t>
      </w:r>
      <w:r w:rsidR="00EC73E4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EC73E4" w:rsidRPr="00DC4B6E">
        <w:rPr>
          <w:sz w:val="28"/>
          <w:szCs w:val="28"/>
          <w:lang w:val="uk-UA"/>
        </w:rPr>
        <w:t>препаратами</w:t>
      </w:r>
      <w:r w:rsidR="006527A6">
        <w:rPr>
          <w:sz w:val="28"/>
          <w:szCs w:val="28"/>
          <w:lang w:val="uk-UA"/>
        </w:rPr>
        <w:t xml:space="preserve"> </w:t>
      </w:r>
      <w:r w:rsidR="00A85308" w:rsidRPr="00DC4B6E">
        <w:rPr>
          <w:sz w:val="28"/>
          <w:szCs w:val="28"/>
          <w:lang w:val="uk-UA"/>
        </w:rPr>
        <w:t>калію</w:t>
      </w:r>
      <w:r w:rsidR="006527A6">
        <w:rPr>
          <w:sz w:val="28"/>
          <w:szCs w:val="28"/>
          <w:lang w:val="uk-UA"/>
        </w:rPr>
        <w:t xml:space="preserve"> </w:t>
      </w:r>
      <w:r w:rsidR="00EC73E4" w:rsidRPr="00DC4B6E">
        <w:rPr>
          <w:sz w:val="28"/>
          <w:szCs w:val="28"/>
          <w:lang w:val="uk-UA"/>
        </w:rPr>
        <w:t>йодиду,</w:t>
      </w:r>
      <w:r w:rsidR="006527A6">
        <w:rPr>
          <w:sz w:val="28"/>
          <w:szCs w:val="28"/>
          <w:lang w:val="uk-UA"/>
        </w:rPr>
        <w:t xml:space="preserve"> </w:t>
      </w:r>
      <w:r w:rsidR="00A85308"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="00A85308" w:rsidRPr="00DC4B6E">
        <w:rPr>
          <w:sz w:val="28"/>
          <w:szCs w:val="28"/>
          <w:lang w:val="uk-UA"/>
        </w:rPr>
        <w:t>застосовувати</w:t>
      </w:r>
      <w:r w:rsidR="006527A6">
        <w:rPr>
          <w:sz w:val="28"/>
          <w:szCs w:val="28"/>
          <w:lang w:val="uk-UA"/>
        </w:rPr>
        <w:t xml:space="preserve"> </w:t>
      </w:r>
      <w:r w:rsidR="00EC73E4" w:rsidRPr="00DC4B6E">
        <w:rPr>
          <w:sz w:val="28"/>
          <w:szCs w:val="28"/>
          <w:lang w:val="uk-UA"/>
        </w:rPr>
        <w:t>L</w:t>
      </w:r>
      <w:r w:rsidR="006527A6">
        <w:rPr>
          <w:sz w:val="28"/>
          <w:szCs w:val="28"/>
          <w:lang w:val="uk-UA"/>
        </w:rPr>
        <w:t xml:space="preserve"> </w:t>
      </w:r>
      <w:r w:rsidR="000A522E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134767" w:rsidRPr="00DC4B6E">
        <w:rPr>
          <w:sz w:val="28"/>
          <w:szCs w:val="28"/>
          <w:lang w:val="uk-UA"/>
        </w:rPr>
        <w:t>тирок</w:t>
      </w:r>
      <w:r w:rsidR="006527A6">
        <w:rPr>
          <w:sz w:val="28"/>
          <w:szCs w:val="28"/>
          <w:lang w:val="uk-UA"/>
        </w:rPr>
        <w:t xml:space="preserve"> </w:t>
      </w:r>
      <w:r w:rsidR="000A522E" w:rsidRPr="00DC4B6E">
        <w:rPr>
          <w:sz w:val="28"/>
          <w:szCs w:val="28"/>
          <w:lang w:val="uk-UA"/>
        </w:rPr>
        <w:t>–</w:t>
      </w:r>
      <w:r w:rsidR="004D06E3">
        <w:rPr>
          <w:sz w:val="28"/>
          <w:szCs w:val="28"/>
          <w:lang w:val="uk-UA"/>
        </w:rPr>
        <w:t xml:space="preserve"> </w:t>
      </w:r>
      <w:r w:rsidR="00134767" w:rsidRPr="00DC4B6E">
        <w:rPr>
          <w:sz w:val="28"/>
          <w:szCs w:val="28"/>
          <w:lang w:val="uk-UA"/>
        </w:rPr>
        <w:t>син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50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мкг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E80EEB" w:rsidRPr="00DC4B6E">
        <w:rPr>
          <w:sz w:val="28"/>
          <w:szCs w:val="28"/>
          <w:lang w:val="uk-UA"/>
        </w:rPr>
        <w:t>добу</w:t>
      </w:r>
      <w:r w:rsidR="004C78BA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ці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препарати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застосовуються</w:t>
      </w:r>
      <w:r w:rsidR="006527A6">
        <w:rPr>
          <w:sz w:val="28"/>
          <w:szCs w:val="28"/>
          <w:lang w:val="uk-UA"/>
        </w:rPr>
        <w:t xml:space="preserve"> </w:t>
      </w:r>
      <w:r w:rsidR="004C78BA" w:rsidRPr="00DC4B6E">
        <w:rPr>
          <w:sz w:val="28"/>
          <w:szCs w:val="28"/>
          <w:lang w:val="uk-UA"/>
        </w:rPr>
        <w:t>постійно.</w:t>
      </w:r>
      <w:r w:rsidR="006527A6">
        <w:rPr>
          <w:sz w:val="28"/>
          <w:szCs w:val="28"/>
          <w:lang w:val="uk-UA"/>
        </w:rPr>
        <w:t xml:space="preserve"> </w:t>
      </w:r>
      <w:r w:rsidR="005B1331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5B1331" w:rsidRPr="00DC4B6E">
        <w:rPr>
          <w:sz w:val="28"/>
          <w:szCs w:val="28"/>
          <w:lang w:val="uk-UA"/>
        </w:rPr>
        <w:t>інших</w:t>
      </w:r>
      <w:r w:rsidR="006527A6">
        <w:rPr>
          <w:sz w:val="28"/>
          <w:szCs w:val="28"/>
          <w:lang w:val="uk-UA"/>
        </w:rPr>
        <w:t xml:space="preserve"> </w:t>
      </w:r>
      <w:r w:rsidR="005B1331" w:rsidRPr="00DC4B6E">
        <w:rPr>
          <w:sz w:val="28"/>
          <w:szCs w:val="28"/>
          <w:lang w:val="uk-UA"/>
        </w:rPr>
        <w:t>варіантах</w:t>
      </w:r>
      <w:r w:rsidR="006527A6">
        <w:rPr>
          <w:sz w:val="28"/>
          <w:szCs w:val="28"/>
          <w:lang w:val="uk-UA"/>
        </w:rPr>
        <w:t xml:space="preserve"> </w:t>
      </w:r>
      <w:r w:rsidR="005B1331" w:rsidRPr="00DC4B6E">
        <w:rPr>
          <w:sz w:val="28"/>
          <w:szCs w:val="28"/>
          <w:lang w:val="uk-UA"/>
        </w:rPr>
        <w:t>недостатності</w:t>
      </w:r>
      <w:r w:rsidR="006527A6">
        <w:rPr>
          <w:sz w:val="28"/>
          <w:szCs w:val="28"/>
          <w:lang w:val="uk-UA"/>
        </w:rPr>
        <w:t xml:space="preserve"> </w:t>
      </w:r>
      <w:r w:rsidR="005B1331" w:rsidRPr="00DC4B6E">
        <w:rPr>
          <w:sz w:val="28"/>
          <w:szCs w:val="28"/>
          <w:lang w:val="uk-UA"/>
        </w:rPr>
        <w:t>пубертату,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препарати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калію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йодиду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тих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же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дозах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призначаються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протягом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одного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півтора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місяця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залежності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від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базової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="005E1CDC" w:rsidRPr="00DC4B6E">
        <w:rPr>
          <w:sz w:val="28"/>
          <w:szCs w:val="28"/>
          <w:lang w:val="uk-UA"/>
        </w:rPr>
        <w:t>пубертатопатій.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Коли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даного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контингенту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відзначаються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ознаки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латентного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гіпотиреозу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(рівень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ТТГ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&gt;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4,0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мМО/л),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або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має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місце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зоб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ступеня,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також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призначається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L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тироксин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по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50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мкг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6F5AFC" w:rsidRPr="00DC4B6E">
        <w:rPr>
          <w:sz w:val="28"/>
          <w:szCs w:val="28"/>
          <w:lang w:val="uk-UA"/>
        </w:rPr>
        <w:t>добу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період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проведення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відповідної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базової</w:t>
      </w:r>
      <w:r w:rsidR="006527A6">
        <w:rPr>
          <w:sz w:val="28"/>
          <w:szCs w:val="28"/>
          <w:lang w:val="uk-UA"/>
        </w:rPr>
        <w:t xml:space="preserve"> </w:t>
      </w:r>
      <w:r w:rsidR="00BD3855" w:rsidRPr="00DC4B6E">
        <w:rPr>
          <w:sz w:val="28"/>
          <w:szCs w:val="28"/>
          <w:lang w:val="uk-UA"/>
        </w:rPr>
        <w:t>терапії.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цьому,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хворим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корелятивним</w:t>
      </w:r>
      <w:r w:rsidR="006527A6">
        <w:rPr>
          <w:sz w:val="28"/>
          <w:szCs w:val="28"/>
          <w:lang w:val="uk-UA"/>
        </w:rPr>
        <w:t xml:space="preserve"> </w:t>
      </w:r>
      <w:r w:rsidR="00937E40" w:rsidRPr="00DC4B6E">
        <w:rPr>
          <w:sz w:val="28"/>
          <w:szCs w:val="28"/>
          <w:lang w:val="uk-UA"/>
        </w:rPr>
        <w:t>гіпогонадизмом</w:t>
      </w:r>
      <w:r w:rsidR="00DD7C90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ПДГ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ФНП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призна</w:t>
      </w:r>
      <w:r w:rsidR="000F3423" w:rsidRPr="00DC4B6E">
        <w:rPr>
          <w:sz w:val="28"/>
          <w:szCs w:val="28"/>
          <w:lang w:val="uk-UA"/>
        </w:rPr>
        <w:t>чати</w:t>
      </w:r>
      <w:r w:rsidR="006527A6">
        <w:rPr>
          <w:sz w:val="28"/>
          <w:szCs w:val="28"/>
          <w:lang w:val="uk-UA"/>
        </w:rPr>
        <w:t xml:space="preserve"> </w:t>
      </w:r>
      <w:r w:rsidR="000F3423" w:rsidRPr="00DC4B6E">
        <w:rPr>
          <w:sz w:val="28"/>
          <w:szCs w:val="28"/>
          <w:lang w:val="uk-UA"/>
        </w:rPr>
        <w:t>МГРТ,</w:t>
      </w:r>
      <w:r w:rsidR="006527A6">
        <w:rPr>
          <w:sz w:val="28"/>
          <w:szCs w:val="28"/>
          <w:lang w:val="uk-UA"/>
        </w:rPr>
        <w:t xml:space="preserve"> </w:t>
      </w:r>
      <w:r w:rsidR="000F3423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хворим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первинним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вторинним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A40EE7" w:rsidRPr="00DC4B6E">
        <w:rPr>
          <w:sz w:val="28"/>
          <w:szCs w:val="28"/>
          <w:lang w:val="uk-UA"/>
        </w:rPr>
        <w:t>модифіковану</w:t>
      </w:r>
      <w:r w:rsidR="006527A6">
        <w:rPr>
          <w:sz w:val="28"/>
          <w:szCs w:val="28"/>
          <w:lang w:val="uk-UA"/>
        </w:rPr>
        <w:t xml:space="preserve"> </w:t>
      </w:r>
      <w:r w:rsidR="00A40EE7" w:rsidRPr="00DC4B6E">
        <w:rPr>
          <w:sz w:val="28"/>
          <w:szCs w:val="28"/>
          <w:lang w:val="uk-UA"/>
        </w:rPr>
        <w:t>гормональну</w:t>
      </w:r>
      <w:r w:rsidR="006527A6">
        <w:rPr>
          <w:sz w:val="28"/>
          <w:szCs w:val="28"/>
          <w:lang w:val="uk-UA"/>
        </w:rPr>
        <w:t xml:space="preserve"> </w:t>
      </w:r>
      <w:r w:rsidR="00A40EE7" w:rsidRPr="00DC4B6E">
        <w:rPr>
          <w:sz w:val="28"/>
          <w:szCs w:val="28"/>
          <w:lang w:val="uk-UA"/>
        </w:rPr>
        <w:t>терапію.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Тривалість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всіх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групах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повинна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бути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один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два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роки,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чотири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шість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курсів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повторен</w:t>
      </w:r>
      <w:r w:rsidR="00516DC3" w:rsidRPr="00DC4B6E">
        <w:rPr>
          <w:sz w:val="28"/>
          <w:szCs w:val="28"/>
          <w:lang w:val="uk-UA"/>
        </w:rPr>
        <w:t>ням</w:t>
      </w:r>
      <w:r w:rsidR="006527A6">
        <w:rPr>
          <w:sz w:val="28"/>
          <w:szCs w:val="28"/>
          <w:lang w:val="uk-UA"/>
        </w:rPr>
        <w:t xml:space="preserve"> </w:t>
      </w:r>
      <w:r w:rsidR="00516DC3" w:rsidRPr="00DC4B6E">
        <w:rPr>
          <w:sz w:val="28"/>
          <w:szCs w:val="28"/>
          <w:lang w:val="uk-UA"/>
        </w:rPr>
        <w:t>курсу</w:t>
      </w:r>
      <w:r w:rsidR="006527A6">
        <w:rPr>
          <w:sz w:val="28"/>
          <w:szCs w:val="28"/>
          <w:lang w:val="uk-UA"/>
        </w:rPr>
        <w:t xml:space="preserve"> </w:t>
      </w:r>
      <w:r w:rsidR="00516DC3"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="00516DC3" w:rsidRPr="00DC4B6E">
        <w:rPr>
          <w:sz w:val="28"/>
          <w:szCs w:val="28"/>
          <w:lang w:val="uk-UA"/>
        </w:rPr>
        <w:t>через</w:t>
      </w:r>
      <w:r w:rsidR="006527A6">
        <w:rPr>
          <w:sz w:val="28"/>
          <w:szCs w:val="28"/>
          <w:lang w:val="uk-UA"/>
        </w:rPr>
        <w:t xml:space="preserve"> </w:t>
      </w:r>
      <w:r w:rsidR="00516DC3" w:rsidRPr="00DC4B6E">
        <w:rPr>
          <w:sz w:val="28"/>
          <w:szCs w:val="28"/>
          <w:lang w:val="uk-UA"/>
        </w:rPr>
        <w:t>1–1,5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місяця.</w:t>
      </w:r>
    </w:p>
    <w:p w:rsidR="00DD7C90" w:rsidRPr="00DC4B6E" w:rsidRDefault="00DD7C90" w:rsidP="00DC4B6E">
      <w:pPr>
        <w:numPr>
          <w:ilvl w:val="0"/>
          <w:numId w:val="2"/>
        </w:numPr>
        <w:tabs>
          <w:tab w:val="clear" w:pos="1590"/>
          <w:tab w:val="num" w:pos="993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препаратами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хоріогонічного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гонадотропіну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необхідно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розпочинати</w:t>
      </w:r>
      <w:r w:rsidR="006527A6">
        <w:rPr>
          <w:sz w:val="28"/>
          <w:szCs w:val="28"/>
          <w:lang w:val="uk-UA"/>
        </w:rPr>
        <w:t xml:space="preserve"> </w:t>
      </w:r>
      <w:r w:rsidR="002C242E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(13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14)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="004E4BFD" w:rsidRPr="00DC4B6E">
        <w:rPr>
          <w:sz w:val="28"/>
          <w:szCs w:val="28"/>
          <w:lang w:val="uk-UA"/>
        </w:rPr>
        <w:t>віку</w:t>
      </w:r>
      <w:r w:rsidR="002C242E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2C242E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2524B5" w:rsidRPr="00DC4B6E">
        <w:rPr>
          <w:sz w:val="28"/>
          <w:szCs w:val="28"/>
          <w:lang w:val="uk-UA"/>
        </w:rPr>
        <w:t>тестостерон</w:t>
      </w:r>
      <w:r w:rsidR="000D4567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2524B5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012B62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ED7E7C" w:rsidRPr="00DC4B6E">
        <w:rPr>
          <w:sz w:val="28"/>
          <w:szCs w:val="28"/>
          <w:lang w:val="uk-UA"/>
        </w:rPr>
        <w:t>14</w:t>
      </w:r>
      <w:r w:rsidR="006527A6">
        <w:rPr>
          <w:sz w:val="28"/>
          <w:szCs w:val="28"/>
          <w:lang w:val="uk-UA"/>
        </w:rPr>
        <w:t xml:space="preserve"> </w:t>
      </w:r>
      <w:r w:rsidR="00ED7E7C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D7E7C" w:rsidRPr="00DC4B6E">
        <w:rPr>
          <w:sz w:val="28"/>
          <w:szCs w:val="28"/>
          <w:lang w:val="uk-UA"/>
        </w:rPr>
        <w:t>15</w:t>
      </w:r>
      <w:r w:rsidR="006527A6">
        <w:rPr>
          <w:sz w:val="28"/>
          <w:szCs w:val="28"/>
          <w:lang w:val="uk-UA"/>
        </w:rPr>
        <w:t xml:space="preserve"> </w:t>
      </w:r>
      <w:r w:rsidR="00ED7E7C" w:rsidRPr="00DC4B6E">
        <w:rPr>
          <w:sz w:val="28"/>
          <w:szCs w:val="28"/>
          <w:lang w:val="uk-UA"/>
        </w:rPr>
        <w:t>років.</w:t>
      </w:r>
    </w:p>
    <w:p w:rsidR="00DD7C90" w:rsidRPr="00216724" w:rsidRDefault="00216724" w:rsidP="00216724">
      <w:pPr>
        <w:spacing w:line="360" w:lineRule="auto"/>
        <w:ind w:firstLine="720"/>
        <w:jc w:val="both"/>
        <w:rPr>
          <w:b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D7C90" w:rsidRPr="00216724">
        <w:rPr>
          <w:b/>
          <w:iCs/>
          <w:sz w:val="28"/>
          <w:szCs w:val="28"/>
          <w:lang w:val="uk-UA"/>
        </w:rPr>
        <w:t>СПИСОК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  <w:r w:rsidR="00472149" w:rsidRPr="00216724">
        <w:rPr>
          <w:b/>
          <w:iCs/>
          <w:sz w:val="28"/>
          <w:szCs w:val="28"/>
          <w:lang w:val="uk-UA"/>
        </w:rPr>
        <w:t>ПРАЦЬ</w:t>
      </w:r>
      <w:r w:rsidR="001D43FF" w:rsidRPr="00216724">
        <w:rPr>
          <w:b/>
          <w:iCs/>
          <w:sz w:val="28"/>
          <w:szCs w:val="28"/>
          <w:lang w:val="uk-UA"/>
        </w:rPr>
        <w:t>,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  <w:r w:rsidR="00472149" w:rsidRPr="00216724">
        <w:rPr>
          <w:b/>
          <w:iCs/>
          <w:sz w:val="28"/>
          <w:szCs w:val="28"/>
          <w:lang w:val="uk-UA"/>
        </w:rPr>
        <w:t>ОПУБЛІКОВАНИХ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  <w:r w:rsidR="00472149" w:rsidRPr="00216724">
        <w:rPr>
          <w:b/>
          <w:iCs/>
          <w:sz w:val="28"/>
          <w:szCs w:val="28"/>
          <w:lang w:val="uk-UA"/>
        </w:rPr>
        <w:t>ЗА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  <w:r w:rsidR="00472149" w:rsidRPr="00216724">
        <w:rPr>
          <w:b/>
          <w:iCs/>
          <w:sz w:val="28"/>
          <w:szCs w:val="28"/>
          <w:lang w:val="uk-UA"/>
        </w:rPr>
        <w:t>ТЕМОЮ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  <w:r w:rsidR="00472149" w:rsidRPr="00216724">
        <w:rPr>
          <w:b/>
          <w:iCs/>
          <w:sz w:val="28"/>
          <w:szCs w:val="28"/>
          <w:lang w:val="uk-UA"/>
        </w:rPr>
        <w:t>ДИСЕРТАЦІЇ</w:t>
      </w:r>
      <w:r w:rsidR="006527A6" w:rsidRPr="00216724">
        <w:rPr>
          <w:b/>
          <w:iCs/>
          <w:sz w:val="28"/>
          <w:szCs w:val="28"/>
          <w:lang w:val="uk-UA"/>
        </w:rPr>
        <w:t xml:space="preserve"> </w:t>
      </w:r>
    </w:p>
    <w:p w:rsidR="00216724" w:rsidRPr="00DC4B6E" w:rsidRDefault="00216724" w:rsidP="00216724">
      <w:pPr>
        <w:spacing w:line="360" w:lineRule="auto"/>
        <w:ind w:firstLine="720"/>
        <w:jc w:val="both"/>
        <w:rPr>
          <w:i/>
          <w:iCs/>
          <w:lang w:val="uk-UA"/>
        </w:rPr>
      </w:pPr>
    </w:p>
    <w:p w:rsidR="00DD7C90" w:rsidRPr="00DC4B6E" w:rsidRDefault="00B72BBE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Функція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її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вплив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чоловічий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пубертат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мешканців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йододефіц</w:t>
      </w:r>
      <w:r w:rsidR="00345A6C" w:rsidRPr="00DC4B6E">
        <w:rPr>
          <w:sz w:val="28"/>
          <w:szCs w:val="28"/>
          <w:lang w:val="uk-UA"/>
        </w:rPr>
        <w:t>итного</w:t>
      </w:r>
      <w:r w:rsidR="006527A6">
        <w:rPr>
          <w:sz w:val="28"/>
          <w:szCs w:val="28"/>
          <w:lang w:val="uk-UA"/>
        </w:rPr>
        <w:t xml:space="preserve"> </w:t>
      </w:r>
      <w:r w:rsidR="00345A6C"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="00345A6C"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Гурська,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Л.В.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Гуменюк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Вісник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наукових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досліджень.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2004.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№2.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28–30.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(Автор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здійснила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пошук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літератури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темою</w:t>
      </w:r>
      <w:r w:rsidR="00752EFE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752EFE" w:rsidRPr="00DC4B6E">
        <w:rPr>
          <w:sz w:val="28"/>
          <w:szCs w:val="28"/>
          <w:lang w:val="uk-UA"/>
        </w:rPr>
        <w:t>провела</w:t>
      </w:r>
      <w:r w:rsidR="006527A6">
        <w:rPr>
          <w:sz w:val="28"/>
          <w:szCs w:val="28"/>
          <w:lang w:val="uk-UA"/>
        </w:rPr>
        <w:t xml:space="preserve"> </w:t>
      </w:r>
      <w:r w:rsidR="00752EFE" w:rsidRPr="00DC4B6E">
        <w:rPr>
          <w:sz w:val="28"/>
          <w:szCs w:val="28"/>
          <w:lang w:val="uk-UA"/>
        </w:rPr>
        <w:t>підбір,</w:t>
      </w:r>
      <w:r w:rsidR="006527A6">
        <w:rPr>
          <w:sz w:val="28"/>
          <w:szCs w:val="28"/>
          <w:lang w:val="uk-UA"/>
        </w:rPr>
        <w:t xml:space="preserve"> </w:t>
      </w:r>
      <w:r w:rsidR="00752EFE" w:rsidRPr="00DC4B6E">
        <w:rPr>
          <w:sz w:val="28"/>
          <w:szCs w:val="28"/>
          <w:lang w:val="uk-UA"/>
        </w:rPr>
        <w:t>обстеження</w:t>
      </w:r>
      <w:r w:rsidR="006527A6">
        <w:rPr>
          <w:sz w:val="28"/>
          <w:szCs w:val="28"/>
          <w:lang w:val="uk-UA"/>
        </w:rPr>
        <w:t xml:space="preserve"> </w:t>
      </w:r>
      <w:r w:rsidR="00752EFE" w:rsidRPr="00DC4B6E">
        <w:rPr>
          <w:sz w:val="28"/>
          <w:szCs w:val="28"/>
          <w:lang w:val="uk-UA"/>
        </w:rPr>
        <w:t>201</w:t>
      </w:r>
      <w:r w:rsidR="006527A6">
        <w:rPr>
          <w:sz w:val="28"/>
          <w:szCs w:val="28"/>
          <w:lang w:val="uk-UA"/>
        </w:rPr>
        <w:t xml:space="preserve"> </w:t>
      </w:r>
      <w:r w:rsidR="000B6EF8" w:rsidRPr="00DC4B6E">
        <w:rPr>
          <w:sz w:val="28"/>
          <w:szCs w:val="28"/>
          <w:lang w:val="uk-UA"/>
        </w:rPr>
        <w:t>хлопця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12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17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років,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мешканців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дефіциту,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уза</w:t>
      </w:r>
      <w:r w:rsidR="003E2B74" w:rsidRPr="00DC4B6E">
        <w:rPr>
          <w:sz w:val="28"/>
          <w:szCs w:val="28"/>
          <w:lang w:val="uk-UA"/>
        </w:rPr>
        <w:t>гальнила</w:t>
      </w:r>
      <w:r w:rsidR="006527A6">
        <w:rPr>
          <w:sz w:val="28"/>
          <w:szCs w:val="28"/>
          <w:lang w:val="uk-UA"/>
        </w:rPr>
        <w:t xml:space="preserve"> </w:t>
      </w:r>
      <w:r w:rsidR="003E2B74" w:rsidRPr="00DC4B6E">
        <w:rPr>
          <w:sz w:val="28"/>
          <w:szCs w:val="28"/>
          <w:lang w:val="uk-UA"/>
        </w:rPr>
        <w:t>результати</w:t>
      </w:r>
      <w:r w:rsidR="006527A6">
        <w:rPr>
          <w:sz w:val="28"/>
          <w:szCs w:val="28"/>
          <w:lang w:val="uk-UA"/>
        </w:rPr>
        <w:t xml:space="preserve"> </w:t>
      </w:r>
      <w:r w:rsidR="003E2B74" w:rsidRPr="00DC4B6E">
        <w:rPr>
          <w:sz w:val="28"/>
          <w:szCs w:val="28"/>
          <w:lang w:val="uk-UA"/>
        </w:rPr>
        <w:t>дослідження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підготувала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друку).</w:t>
      </w:r>
    </w:p>
    <w:p w:rsidR="009D74D8" w:rsidRPr="00DC4B6E" w:rsidRDefault="00DD7C9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702546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параметрів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фізичного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</w:t>
      </w:r>
      <w:r w:rsidR="00BD6C04" w:rsidRPr="00DC4B6E">
        <w:rPr>
          <w:sz w:val="28"/>
          <w:szCs w:val="28"/>
          <w:lang w:val="uk-UA"/>
        </w:rPr>
        <w:t>лопців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дефіциту</w:t>
      </w:r>
      <w:r w:rsidR="004D06E3">
        <w:rPr>
          <w:sz w:val="28"/>
          <w:szCs w:val="28"/>
          <w:lang w:val="uk-UA"/>
        </w:rPr>
        <w:t xml:space="preserve"> </w:t>
      </w:r>
      <w:r w:rsidR="00702546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7C28A1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7C28A1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7C28A1"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Проблеми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патології.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2007.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№</w:t>
      </w:r>
      <w:r w:rsidR="006527A6">
        <w:rPr>
          <w:sz w:val="28"/>
          <w:szCs w:val="28"/>
          <w:lang w:val="uk-UA"/>
        </w:rPr>
        <w:t xml:space="preserve"> </w:t>
      </w:r>
      <w:r w:rsidR="00BD6C04" w:rsidRPr="00DC4B6E">
        <w:rPr>
          <w:sz w:val="28"/>
          <w:szCs w:val="28"/>
          <w:lang w:val="uk-UA"/>
        </w:rPr>
        <w:t>1.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47–51.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3E0025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статус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підходи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="003E0025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A2074D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A2074D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A2074D" w:rsidRPr="00DC4B6E">
        <w:rPr>
          <w:sz w:val="28"/>
          <w:szCs w:val="28"/>
          <w:lang w:val="uk-UA"/>
        </w:rPr>
        <w:t>Гурська,</w:t>
      </w:r>
      <w:r w:rsidR="006527A6">
        <w:rPr>
          <w:sz w:val="28"/>
          <w:szCs w:val="28"/>
          <w:lang w:val="uk-UA"/>
        </w:rPr>
        <w:t xml:space="preserve"> </w:t>
      </w:r>
      <w:r w:rsidR="00512C0F" w:rsidRPr="00DC4B6E">
        <w:rPr>
          <w:sz w:val="28"/>
          <w:szCs w:val="28"/>
          <w:lang w:val="uk-UA"/>
        </w:rPr>
        <w:t>В.О.</w:t>
      </w:r>
      <w:r w:rsidR="006527A6">
        <w:rPr>
          <w:sz w:val="28"/>
          <w:szCs w:val="28"/>
          <w:lang w:val="uk-UA"/>
        </w:rPr>
        <w:t xml:space="preserve"> </w:t>
      </w:r>
      <w:r w:rsidR="00A2074D" w:rsidRPr="00DC4B6E">
        <w:rPr>
          <w:sz w:val="28"/>
          <w:szCs w:val="28"/>
          <w:lang w:val="uk-UA"/>
        </w:rPr>
        <w:t>Бондаренко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</w:t>
      </w:r>
      <w:r w:rsidR="003E0025" w:rsidRPr="00DC4B6E">
        <w:rPr>
          <w:sz w:val="28"/>
          <w:szCs w:val="28"/>
          <w:lang w:val="uk-UA"/>
        </w:rPr>
        <w:t>инної</w:t>
      </w:r>
      <w:r w:rsidR="006527A6">
        <w:rPr>
          <w:sz w:val="28"/>
          <w:szCs w:val="28"/>
          <w:lang w:val="uk-UA"/>
        </w:rPr>
        <w:t xml:space="preserve"> </w:t>
      </w:r>
      <w:r w:rsidR="003E0025" w:rsidRPr="00DC4B6E">
        <w:rPr>
          <w:sz w:val="28"/>
          <w:szCs w:val="28"/>
          <w:lang w:val="uk-UA"/>
        </w:rPr>
        <w:t>патології.</w:t>
      </w:r>
      <w:r w:rsidR="006527A6">
        <w:rPr>
          <w:sz w:val="28"/>
          <w:szCs w:val="28"/>
          <w:lang w:val="uk-UA"/>
        </w:rPr>
        <w:t xml:space="preserve"> </w:t>
      </w:r>
      <w:r w:rsidR="00B270CE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B270CE" w:rsidRPr="00DC4B6E">
        <w:rPr>
          <w:sz w:val="28"/>
          <w:szCs w:val="28"/>
          <w:lang w:val="uk-UA"/>
        </w:rPr>
        <w:t>2007.</w:t>
      </w:r>
      <w:r w:rsidR="006527A6">
        <w:rPr>
          <w:sz w:val="28"/>
          <w:szCs w:val="28"/>
          <w:lang w:val="uk-UA"/>
        </w:rPr>
        <w:t xml:space="preserve"> </w:t>
      </w:r>
      <w:r w:rsidR="00B270CE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B270CE" w:rsidRPr="00DC4B6E">
        <w:rPr>
          <w:sz w:val="28"/>
          <w:szCs w:val="28"/>
          <w:lang w:val="uk-UA"/>
        </w:rPr>
        <w:t>№</w:t>
      </w:r>
      <w:r w:rsidR="006527A6">
        <w:rPr>
          <w:sz w:val="28"/>
          <w:szCs w:val="28"/>
          <w:lang w:val="uk-UA"/>
        </w:rPr>
        <w:t xml:space="preserve"> </w:t>
      </w:r>
      <w:r w:rsidR="00B270CE" w:rsidRPr="00DC4B6E">
        <w:rPr>
          <w:sz w:val="28"/>
          <w:szCs w:val="28"/>
          <w:lang w:val="uk-UA"/>
        </w:rPr>
        <w:t>3.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34–38.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(Автором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пошук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літератури</w:t>
      </w:r>
      <w:r w:rsidR="002D0167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планування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дослідження,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обстеження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хворих,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здійснено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набір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100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матеріалу,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</w:t>
      </w:r>
      <w:r w:rsidR="005D0997" w:rsidRPr="00DC4B6E">
        <w:rPr>
          <w:sz w:val="28"/>
          <w:szCs w:val="28"/>
          <w:lang w:val="uk-UA"/>
        </w:rPr>
        <w:t>роведено</w:t>
      </w:r>
      <w:r w:rsidR="006527A6">
        <w:rPr>
          <w:sz w:val="28"/>
          <w:szCs w:val="28"/>
          <w:lang w:val="uk-UA"/>
        </w:rPr>
        <w:t xml:space="preserve"> </w:t>
      </w:r>
      <w:r w:rsidR="005D0997" w:rsidRPr="00DC4B6E">
        <w:rPr>
          <w:sz w:val="28"/>
          <w:szCs w:val="28"/>
          <w:lang w:val="uk-UA"/>
        </w:rPr>
        <w:t>статистичну</w:t>
      </w:r>
      <w:r w:rsidR="006527A6">
        <w:rPr>
          <w:sz w:val="28"/>
          <w:szCs w:val="28"/>
          <w:lang w:val="uk-UA"/>
        </w:rPr>
        <w:t xml:space="preserve"> </w:t>
      </w:r>
      <w:r w:rsidR="005D0997" w:rsidRPr="00DC4B6E">
        <w:rPr>
          <w:sz w:val="28"/>
          <w:szCs w:val="28"/>
          <w:lang w:val="uk-UA"/>
        </w:rPr>
        <w:t>обробку</w:t>
      </w:r>
      <w:r w:rsidR="006527A6">
        <w:rPr>
          <w:sz w:val="28"/>
          <w:szCs w:val="28"/>
          <w:lang w:val="uk-UA"/>
        </w:rPr>
        <w:t xml:space="preserve"> </w:t>
      </w:r>
      <w:r w:rsidR="005D0997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узагальнення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отриманих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результатів).</w:t>
      </w:r>
    </w:p>
    <w:p w:rsidR="00DD7C90" w:rsidRPr="00DC4B6E" w:rsidRDefault="00DD7C9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9C3293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Результати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</w:t>
      </w:r>
      <w:r w:rsidR="00933087" w:rsidRPr="00DC4B6E">
        <w:rPr>
          <w:sz w:val="28"/>
          <w:szCs w:val="28"/>
          <w:lang w:val="uk-UA"/>
        </w:rPr>
        <w:t>одифікованими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схемами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№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1,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2,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3</w:t>
      </w:r>
      <w:r w:rsidR="006527A6">
        <w:rPr>
          <w:sz w:val="28"/>
          <w:szCs w:val="28"/>
          <w:lang w:val="uk-UA"/>
        </w:rPr>
        <w:t xml:space="preserve"> </w:t>
      </w:r>
      <w:r w:rsidR="009C3293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7A4344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8B450E" w:rsidRPr="00DC4B6E">
        <w:rPr>
          <w:sz w:val="28"/>
          <w:szCs w:val="28"/>
          <w:lang w:val="uk-UA"/>
        </w:rPr>
        <w:t>В.А</w:t>
      </w:r>
      <w:r w:rsidR="008205DA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8B450E"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Вісник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досліджень.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2007.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30–33.</w:t>
      </w:r>
      <w:r w:rsidR="006527A6">
        <w:rPr>
          <w:sz w:val="28"/>
          <w:szCs w:val="28"/>
          <w:lang w:val="uk-UA"/>
        </w:rPr>
        <w:t xml:space="preserve"> </w:t>
      </w:r>
    </w:p>
    <w:p w:rsidR="00EA41D0" w:rsidRPr="00DC4B6E" w:rsidRDefault="00EA41D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Алгоритм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</w:t>
      </w:r>
      <w:r w:rsidR="00E26C1B" w:rsidRPr="00DC4B6E">
        <w:rPr>
          <w:sz w:val="28"/>
          <w:szCs w:val="28"/>
          <w:lang w:val="uk-UA"/>
        </w:rPr>
        <w:t>анців</w:t>
      </w:r>
      <w:r w:rsidR="006527A6">
        <w:rPr>
          <w:sz w:val="28"/>
          <w:szCs w:val="28"/>
          <w:lang w:val="uk-UA"/>
        </w:rPr>
        <w:t xml:space="preserve"> </w:t>
      </w:r>
      <w:r w:rsidR="00E26C1B"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="00E26C1B"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="00E26C1B"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="00933087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E26C1B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BE2AB9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BE2AB9" w:rsidRPr="00DC4B6E">
        <w:rPr>
          <w:sz w:val="28"/>
          <w:szCs w:val="28"/>
          <w:lang w:val="uk-UA"/>
        </w:rPr>
        <w:t>Гурська,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О.І</w:t>
      </w:r>
      <w:r w:rsidR="00D5053C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D5053C" w:rsidRPr="00DC4B6E">
        <w:rPr>
          <w:sz w:val="28"/>
          <w:szCs w:val="28"/>
          <w:lang w:val="uk-UA"/>
        </w:rPr>
        <w:t>Гуменюк,</w:t>
      </w:r>
      <w:r w:rsidR="006527A6">
        <w:rPr>
          <w:sz w:val="28"/>
          <w:szCs w:val="28"/>
          <w:lang w:val="uk-UA"/>
        </w:rPr>
        <w:t xml:space="preserve"> </w:t>
      </w:r>
      <w:r w:rsidR="00D5053C" w:rsidRPr="00DC4B6E">
        <w:rPr>
          <w:sz w:val="28"/>
          <w:szCs w:val="28"/>
          <w:lang w:val="uk-UA"/>
        </w:rPr>
        <w:t>О.А.</w:t>
      </w:r>
      <w:r w:rsidR="006527A6">
        <w:rPr>
          <w:sz w:val="28"/>
          <w:szCs w:val="28"/>
          <w:lang w:val="uk-UA"/>
        </w:rPr>
        <w:t xml:space="preserve"> </w:t>
      </w:r>
      <w:r w:rsidR="001A0029" w:rsidRPr="00DC4B6E">
        <w:rPr>
          <w:sz w:val="28"/>
          <w:szCs w:val="28"/>
          <w:lang w:val="uk-UA"/>
        </w:rPr>
        <w:t>Філончук,</w:t>
      </w:r>
      <w:r w:rsidR="006527A6">
        <w:rPr>
          <w:sz w:val="28"/>
          <w:szCs w:val="28"/>
          <w:lang w:val="uk-UA"/>
        </w:rPr>
        <w:t xml:space="preserve"> </w:t>
      </w:r>
      <w:r w:rsidR="001A0029" w:rsidRPr="00DC4B6E">
        <w:rPr>
          <w:sz w:val="28"/>
          <w:szCs w:val="28"/>
          <w:lang w:val="uk-UA"/>
        </w:rPr>
        <w:t>Т.Г.</w:t>
      </w:r>
      <w:r w:rsidR="006527A6">
        <w:rPr>
          <w:sz w:val="28"/>
          <w:szCs w:val="28"/>
          <w:lang w:val="uk-UA"/>
        </w:rPr>
        <w:t xml:space="preserve"> </w:t>
      </w:r>
      <w:r w:rsidR="001A0029" w:rsidRPr="00DC4B6E">
        <w:rPr>
          <w:sz w:val="28"/>
          <w:szCs w:val="28"/>
          <w:lang w:val="uk-UA"/>
        </w:rPr>
        <w:t>Романишина</w:t>
      </w:r>
      <w:r w:rsidR="006527A6">
        <w:rPr>
          <w:sz w:val="28"/>
          <w:szCs w:val="28"/>
          <w:lang w:val="uk-UA"/>
        </w:rPr>
        <w:t xml:space="preserve"> </w:t>
      </w:r>
      <w:r w:rsidR="001A0029"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Ендокринологія.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2007.–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додаток.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С.62.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(Автором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пошук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літератури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темою,</w:t>
      </w:r>
      <w:r w:rsidR="006527A6">
        <w:rPr>
          <w:sz w:val="28"/>
          <w:szCs w:val="28"/>
          <w:lang w:val="uk-UA"/>
        </w:rPr>
        <w:t xml:space="preserve"> </w:t>
      </w:r>
      <w:r w:rsidR="00302890" w:rsidRPr="00DC4B6E">
        <w:rPr>
          <w:sz w:val="28"/>
          <w:szCs w:val="28"/>
          <w:lang w:val="uk-UA"/>
        </w:rPr>
        <w:t>визначено</w:t>
      </w:r>
      <w:r w:rsidR="006527A6">
        <w:rPr>
          <w:sz w:val="28"/>
          <w:szCs w:val="28"/>
          <w:lang w:val="uk-UA"/>
        </w:rPr>
        <w:t xml:space="preserve"> </w:t>
      </w:r>
      <w:r w:rsidR="00302890" w:rsidRPr="00DC4B6E">
        <w:rPr>
          <w:sz w:val="28"/>
          <w:szCs w:val="28"/>
          <w:lang w:val="uk-UA"/>
        </w:rPr>
        <w:t>принципи</w:t>
      </w:r>
      <w:r w:rsidR="006527A6">
        <w:rPr>
          <w:sz w:val="28"/>
          <w:szCs w:val="28"/>
          <w:lang w:val="uk-UA"/>
        </w:rPr>
        <w:t xml:space="preserve"> </w:t>
      </w:r>
      <w:r w:rsidR="00302890"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хворих,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статистичну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обробку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узагальнення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отриманих</w:t>
      </w:r>
      <w:r w:rsidR="006527A6">
        <w:rPr>
          <w:sz w:val="28"/>
          <w:szCs w:val="28"/>
          <w:lang w:val="uk-UA"/>
        </w:rPr>
        <w:t xml:space="preserve"> </w:t>
      </w:r>
      <w:r w:rsidR="0028729E" w:rsidRPr="00DC4B6E">
        <w:rPr>
          <w:sz w:val="28"/>
          <w:szCs w:val="28"/>
          <w:lang w:val="uk-UA"/>
        </w:rPr>
        <w:t>результатів</w:t>
      </w:r>
      <w:r w:rsidR="00A27080" w:rsidRPr="00DC4B6E">
        <w:rPr>
          <w:sz w:val="28"/>
          <w:szCs w:val="28"/>
          <w:lang w:val="uk-UA"/>
        </w:rPr>
        <w:t>).</w:t>
      </w:r>
      <w:r w:rsidR="006527A6">
        <w:rPr>
          <w:sz w:val="28"/>
          <w:szCs w:val="28"/>
          <w:lang w:val="uk-UA"/>
        </w:rPr>
        <w:t xml:space="preserve"> </w:t>
      </w:r>
    </w:p>
    <w:p w:rsidR="00EA41D0" w:rsidRPr="00DC4B6E" w:rsidRDefault="00EA41D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Стан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частота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дифузного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нетоксичного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зоба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чоловічого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="000A794A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Н.М.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Коваль,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Т.Д.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Дрозд,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С.І.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Марко,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І.Ф.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Худова,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Ю.Б.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Серветник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Ендокринологія.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2007.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12,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додаток.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63.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(Автором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підібрано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обстежено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групи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хворих,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узагальнення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матеріалу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підготовлено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його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="00BA55F0" w:rsidRPr="00DC4B6E">
        <w:rPr>
          <w:sz w:val="28"/>
          <w:szCs w:val="28"/>
          <w:lang w:val="uk-UA"/>
        </w:rPr>
        <w:t>друку).</w:t>
      </w:r>
    </w:p>
    <w:p w:rsidR="00EA41D0" w:rsidRPr="00DC4B6E" w:rsidRDefault="002C55AF" w:rsidP="00216724">
      <w:pPr>
        <w:numPr>
          <w:ilvl w:val="0"/>
          <w:numId w:val="3"/>
        </w:numPr>
        <w:tabs>
          <w:tab w:val="clear" w:pos="1211"/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Гурський</w:t>
      </w:r>
      <w:r w:rsidR="007A4344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Поширеність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перебігу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захворювань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населення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Рівненської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області</w:t>
      </w:r>
      <w:r w:rsidR="006527A6">
        <w:rPr>
          <w:sz w:val="28"/>
          <w:szCs w:val="28"/>
          <w:lang w:val="uk-UA"/>
        </w:rPr>
        <w:t xml:space="preserve"> </w:t>
      </w:r>
      <w:r w:rsidR="007A4344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173CE0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О.А.</w:t>
      </w:r>
      <w:r w:rsidR="006527A6">
        <w:rPr>
          <w:sz w:val="28"/>
          <w:szCs w:val="28"/>
          <w:lang w:val="uk-UA"/>
        </w:rPr>
        <w:t xml:space="preserve"> </w:t>
      </w:r>
      <w:r w:rsidR="00D820DB" w:rsidRPr="00DC4B6E">
        <w:rPr>
          <w:sz w:val="28"/>
          <w:szCs w:val="28"/>
          <w:lang w:val="uk-UA"/>
        </w:rPr>
        <w:t>Філончук,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І.Ф.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</w:t>
      </w:r>
      <w:r w:rsidR="00D820DB" w:rsidRPr="00DC4B6E">
        <w:rPr>
          <w:sz w:val="28"/>
          <w:szCs w:val="28"/>
          <w:lang w:val="uk-UA"/>
        </w:rPr>
        <w:t>удова,</w:t>
      </w:r>
      <w:r w:rsidR="006527A6">
        <w:rPr>
          <w:sz w:val="28"/>
          <w:szCs w:val="28"/>
          <w:lang w:val="uk-UA"/>
        </w:rPr>
        <w:t xml:space="preserve"> </w:t>
      </w:r>
      <w:r w:rsidR="00BB1288" w:rsidRPr="00DC4B6E">
        <w:rPr>
          <w:sz w:val="28"/>
          <w:szCs w:val="28"/>
          <w:lang w:val="uk-UA"/>
        </w:rPr>
        <w:t>Т.Г.</w:t>
      </w:r>
      <w:r w:rsidR="006527A6">
        <w:rPr>
          <w:sz w:val="28"/>
          <w:szCs w:val="28"/>
          <w:lang w:val="uk-UA"/>
        </w:rPr>
        <w:t xml:space="preserve"> </w:t>
      </w:r>
      <w:r w:rsidR="00BB1288" w:rsidRPr="00DC4B6E">
        <w:rPr>
          <w:sz w:val="28"/>
          <w:szCs w:val="28"/>
          <w:lang w:val="uk-UA"/>
        </w:rPr>
        <w:t>Романишина,</w:t>
      </w:r>
      <w:r w:rsidR="006527A6">
        <w:rPr>
          <w:sz w:val="28"/>
          <w:szCs w:val="28"/>
          <w:lang w:val="uk-UA"/>
        </w:rPr>
        <w:t xml:space="preserve"> </w:t>
      </w:r>
      <w:r w:rsidR="00BB1288" w:rsidRPr="00DC4B6E">
        <w:rPr>
          <w:sz w:val="28"/>
          <w:szCs w:val="28"/>
          <w:lang w:val="uk-UA"/>
        </w:rPr>
        <w:t>Л.В.</w:t>
      </w:r>
      <w:r w:rsidR="006527A6">
        <w:rPr>
          <w:sz w:val="28"/>
          <w:szCs w:val="28"/>
          <w:lang w:val="uk-UA"/>
        </w:rPr>
        <w:t xml:space="preserve"> </w:t>
      </w:r>
      <w:r w:rsidR="007A4344" w:rsidRPr="00DC4B6E">
        <w:rPr>
          <w:sz w:val="28"/>
          <w:szCs w:val="28"/>
          <w:lang w:val="uk-UA"/>
        </w:rPr>
        <w:t>Гуменюк</w:t>
      </w:r>
      <w:r w:rsidR="00D820DB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973E4C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973E4C"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Стан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перспективи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діагностичної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служби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системі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охорони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здоров’я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регіону:</w:t>
      </w:r>
      <w:r w:rsidR="006527A6">
        <w:rPr>
          <w:sz w:val="28"/>
          <w:szCs w:val="28"/>
          <w:lang w:val="uk-UA"/>
        </w:rPr>
        <w:t xml:space="preserve"> </w:t>
      </w:r>
      <w:r w:rsidR="00394B47" w:rsidRPr="00DC4B6E">
        <w:rPr>
          <w:sz w:val="28"/>
          <w:szCs w:val="28"/>
          <w:lang w:val="uk-UA"/>
        </w:rPr>
        <w:t>зб</w:t>
      </w:r>
      <w:r w:rsidR="006527A6">
        <w:rPr>
          <w:sz w:val="28"/>
          <w:szCs w:val="28"/>
          <w:lang w:val="uk-UA"/>
        </w:rPr>
        <w:t xml:space="preserve"> </w:t>
      </w:r>
      <w:r w:rsidR="00394B47" w:rsidRPr="00DC4B6E">
        <w:rPr>
          <w:sz w:val="28"/>
          <w:szCs w:val="28"/>
          <w:lang w:val="uk-UA"/>
        </w:rPr>
        <w:t>наук.</w:t>
      </w:r>
      <w:r w:rsidR="006527A6">
        <w:rPr>
          <w:sz w:val="28"/>
          <w:szCs w:val="28"/>
          <w:lang w:val="uk-UA"/>
        </w:rPr>
        <w:t xml:space="preserve"> </w:t>
      </w:r>
      <w:r w:rsidR="00394B47" w:rsidRPr="00DC4B6E">
        <w:rPr>
          <w:sz w:val="28"/>
          <w:szCs w:val="28"/>
          <w:lang w:val="uk-UA"/>
        </w:rPr>
        <w:t>праць</w:t>
      </w:r>
      <w:r w:rsidR="006527A6">
        <w:rPr>
          <w:sz w:val="28"/>
          <w:szCs w:val="28"/>
          <w:lang w:val="uk-UA"/>
        </w:rPr>
        <w:t xml:space="preserve"> </w:t>
      </w:r>
      <w:r w:rsidR="007A4344" w:rsidRPr="00DC4B6E">
        <w:rPr>
          <w:sz w:val="28"/>
          <w:szCs w:val="28"/>
          <w:lang w:val="uk-UA"/>
        </w:rPr>
        <w:t>міжобл.</w:t>
      </w:r>
      <w:r w:rsidR="006527A6">
        <w:rPr>
          <w:sz w:val="28"/>
          <w:szCs w:val="28"/>
          <w:lang w:val="uk-UA"/>
        </w:rPr>
        <w:t xml:space="preserve"> </w:t>
      </w:r>
      <w:r w:rsidR="00E14225" w:rsidRPr="00DC4B6E">
        <w:rPr>
          <w:sz w:val="28"/>
          <w:szCs w:val="28"/>
          <w:lang w:val="uk-UA"/>
        </w:rPr>
        <w:t>наук.</w:t>
      </w:r>
      <w:r w:rsidR="006527A6">
        <w:rPr>
          <w:sz w:val="28"/>
          <w:szCs w:val="28"/>
          <w:lang w:val="uk-UA"/>
        </w:rPr>
        <w:t xml:space="preserve"> </w:t>
      </w:r>
      <w:r w:rsidR="00E14225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14225" w:rsidRPr="00DC4B6E">
        <w:rPr>
          <w:sz w:val="28"/>
          <w:szCs w:val="28"/>
          <w:lang w:val="uk-UA"/>
        </w:rPr>
        <w:t>практ.</w:t>
      </w:r>
      <w:r w:rsidR="006527A6">
        <w:rPr>
          <w:sz w:val="28"/>
          <w:szCs w:val="28"/>
          <w:lang w:val="uk-UA"/>
        </w:rPr>
        <w:t xml:space="preserve"> </w:t>
      </w:r>
      <w:r w:rsidR="0032215D" w:rsidRPr="00DC4B6E">
        <w:rPr>
          <w:sz w:val="28"/>
          <w:szCs w:val="28"/>
          <w:lang w:val="uk-UA"/>
        </w:rPr>
        <w:t>конф</w:t>
      </w:r>
      <w:r w:rsidR="00D078AF" w:rsidRPr="00DC4B6E">
        <w:rPr>
          <w:sz w:val="28"/>
          <w:szCs w:val="28"/>
          <w:lang w:val="uk-UA"/>
        </w:rPr>
        <w:t>.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AD185B" w:rsidRPr="00DC4B6E">
        <w:rPr>
          <w:sz w:val="28"/>
          <w:szCs w:val="28"/>
          <w:lang w:val="uk-UA"/>
        </w:rPr>
        <w:t>Рівне,</w:t>
      </w:r>
      <w:r w:rsidR="006527A6">
        <w:rPr>
          <w:sz w:val="28"/>
          <w:szCs w:val="28"/>
          <w:lang w:val="uk-UA"/>
        </w:rPr>
        <w:t xml:space="preserve"> </w:t>
      </w:r>
      <w:r w:rsidR="00AD185B" w:rsidRPr="00DC4B6E">
        <w:rPr>
          <w:sz w:val="28"/>
          <w:szCs w:val="28"/>
          <w:lang w:val="uk-UA"/>
        </w:rPr>
        <w:t>2</w:t>
      </w:r>
      <w:r w:rsidR="006527A6">
        <w:rPr>
          <w:sz w:val="28"/>
          <w:szCs w:val="28"/>
          <w:lang w:val="uk-UA"/>
        </w:rPr>
        <w:t xml:space="preserve"> </w:t>
      </w:r>
      <w:r w:rsidR="00AD185B" w:rsidRPr="00DC4B6E">
        <w:rPr>
          <w:sz w:val="28"/>
          <w:szCs w:val="28"/>
          <w:lang w:val="uk-UA"/>
        </w:rPr>
        <w:t>листоп.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2000</w:t>
      </w:r>
      <w:r w:rsidR="006527A6">
        <w:rPr>
          <w:sz w:val="28"/>
          <w:szCs w:val="28"/>
          <w:lang w:val="uk-UA"/>
        </w:rPr>
        <w:t xml:space="preserve"> </w:t>
      </w:r>
      <w:r w:rsidR="00D078AF" w:rsidRPr="00DC4B6E">
        <w:rPr>
          <w:sz w:val="28"/>
          <w:szCs w:val="28"/>
          <w:lang w:val="uk-UA"/>
        </w:rPr>
        <w:t>р</w:t>
      </w:r>
      <w:r w:rsidR="00DD7C90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</w:t>
      </w:r>
      <w:r w:rsidR="009C5BE1" w:rsidRPr="00DC4B6E">
        <w:rPr>
          <w:sz w:val="28"/>
          <w:szCs w:val="28"/>
          <w:lang w:val="uk-UA"/>
        </w:rPr>
        <w:t>івне</w:t>
      </w:r>
      <w:r w:rsidR="00742E96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742E96" w:rsidRPr="00DC4B6E">
        <w:rPr>
          <w:sz w:val="28"/>
          <w:szCs w:val="28"/>
          <w:lang w:val="uk-UA"/>
        </w:rPr>
        <w:t>2000.</w:t>
      </w:r>
      <w:r w:rsidR="006527A6">
        <w:rPr>
          <w:sz w:val="28"/>
          <w:szCs w:val="28"/>
          <w:lang w:val="uk-UA"/>
        </w:rPr>
        <w:t xml:space="preserve"> </w:t>
      </w:r>
      <w:r w:rsidR="00742E96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59–61.</w:t>
      </w:r>
      <w:r w:rsidR="006527A6">
        <w:rPr>
          <w:sz w:val="28"/>
          <w:szCs w:val="28"/>
          <w:lang w:val="uk-UA"/>
        </w:rPr>
        <w:t xml:space="preserve"> </w:t>
      </w:r>
      <w:r w:rsidR="00D930E1" w:rsidRPr="00DC4B6E">
        <w:rPr>
          <w:sz w:val="28"/>
          <w:szCs w:val="28"/>
          <w:lang w:val="uk-UA"/>
        </w:rPr>
        <w:t>(</w:t>
      </w:r>
      <w:r w:rsidR="002F1B85" w:rsidRPr="00DC4B6E">
        <w:rPr>
          <w:sz w:val="28"/>
          <w:szCs w:val="28"/>
          <w:lang w:val="uk-UA"/>
        </w:rPr>
        <w:t>Автором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обстеження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хворих,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встановлено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частоту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перебігу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захворювань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="002F1B85" w:rsidRPr="00DC4B6E">
        <w:rPr>
          <w:sz w:val="28"/>
          <w:szCs w:val="28"/>
          <w:lang w:val="uk-UA"/>
        </w:rPr>
        <w:t>залози).</w:t>
      </w:r>
    </w:p>
    <w:p w:rsidR="00DD7C90" w:rsidRPr="00DC4B6E" w:rsidRDefault="00FD7319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5B31CC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Частота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тиреоїдної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патології,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поєднаної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гіпогонадизмом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порушеннями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чоловіків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зобно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ендемічного</w:t>
      </w:r>
      <w:r w:rsidR="006527A6">
        <w:rPr>
          <w:sz w:val="28"/>
          <w:szCs w:val="28"/>
          <w:lang w:val="uk-UA"/>
        </w:rPr>
        <w:t xml:space="preserve"> </w:t>
      </w:r>
      <w:r w:rsidR="00712877"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="00712877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Гурська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Л.В.</w:t>
      </w:r>
      <w:r w:rsidR="006527A6">
        <w:rPr>
          <w:sz w:val="28"/>
          <w:szCs w:val="28"/>
          <w:lang w:val="uk-UA"/>
        </w:rPr>
        <w:t xml:space="preserve"> </w:t>
      </w:r>
      <w:r w:rsidR="00C56921" w:rsidRPr="00DC4B6E">
        <w:rPr>
          <w:sz w:val="28"/>
          <w:szCs w:val="28"/>
          <w:lang w:val="uk-UA"/>
        </w:rPr>
        <w:t>Гуменюк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Сучасні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напрямки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ендокринології:</w:t>
      </w:r>
      <w:r w:rsidR="006527A6">
        <w:rPr>
          <w:sz w:val="28"/>
          <w:szCs w:val="28"/>
          <w:lang w:val="uk-UA"/>
        </w:rPr>
        <w:t xml:space="preserve"> </w:t>
      </w:r>
      <w:r w:rsidR="00993B55" w:rsidRPr="00DC4B6E">
        <w:rPr>
          <w:sz w:val="28"/>
          <w:szCs w:val="28"/>
          <w:lang w:val="uk-UA"/>
        </w:rPr>
        <w:t>зб.</w:t>
      </w:r>
      <w:r w:rsidR="006527A6">
        <w:rPr>
          <w:sz w:val="28"/>
          <w:szCs w:val="28"/>
          <w:lang w:val="uk-UA"/>
        </w:rPr>
        <w:t xml:space="preserve"> </w:t>
      </w:r>
      <w:r w:rsidR="00993B55" w:rsidRPr="00DC4B6E">
        <w:rPr>
          <w:sz w:val="28"/>
          <w:szCs w:val="28"/>
          <w:lang w:val="uk-UA"/>
        </w:rPr>
        <w:t>наук.</w:t>
      </w:r>
      <w:r w:rsidR="006527A6">
        <w:rPr>
          <w:sz w:val="28"/>
          <w:szCs w:val="28"/>
          <w:lang w:val="uk-UA"/>
        </w:rPr>
        <w:t xml:space="preserve"> </w:t>
      </w:r>
      <w:r w:rsidR="00993B55" w:rsidRPr="00DC4B6E">
        <w:rPr>
          <w:sz w:val="28"/>
          <w:szCs w:val="28"/>
          <w:lang w:val="uk-UA"/>
        </w:rPr>
        <w:t>праць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наук</w:t>
      </w:r>
      <w:r w:rsidR="001F551F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1F551F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1F551F" w:rsidRPr="00DC4B6E">
        <w:rPr>
          <w:sz w:val="28"/>
          <w:szCs w:val="28"/>
          <w:lang w:val="uk-UA"/>
        </w:rPr>
        <w:t>практ.</w:t>
      </w:r>
      <w:r w:rsidR="006527A6">
        <w:rPr>
          <w:sz w:val="28"/>
          <w:szCs w:val="28"/>
          <w:lang w:val="uk-UA"/>
        </w:rPr>
        <w:t xml:space="preserve"> </w:t>
      </w:r>
      <w:r w:rsidR="001F551F" w:rsidRPr="00DC4B6E">
        <w:rPr>
          <w:sz w:val="28"/>
          <w:szCs w:val="28"/>
          <w:lang w:val="uk-UA"/>
        </w:rPr>
        <w:t>конф.</w:t>
      </w:r>
      <w:r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5B31CC" w:rsidRPr="00DC4B6E">
        <w:rPr>
          <w:sz w:val="28"/>
          <w:szCs w:val="28"/>
          <w:lang w:val="uk-UA"/>
        </w:rPr>
        <w:t>Харків,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6–7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лютого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2003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Х.</w:t>
      </w:r>
      <w:r w:rsidR="00DD7C90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2003.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55–56.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(Дисертантом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проведено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планування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дослідження,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формування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80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груп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обстежених,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верифікацію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даних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обстежень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прийнято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участь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узагальненні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отриманих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даних).</w:t>
      </w:r>
    </w:p>
    <w:p w:rsidR="00CA791A" w:rsidRPr="00DC4B6E" w:rsidRDefault="00EA41D0" w:rsidP="00216724">
      <w:pPr>
        <w:numPr>
          <w:ilvl w:val="0"/>
          <w:numId w:val="3"/>
        </w:numPr>
        <w:tabs>
          <w:tab w:val="num" w:pos="709"/>
          <w:tab w:val="left" w:pos="993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формування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підлітків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[Текст]</w:t>
      </w:r>
      <w:r w:rsidR="006527A6">
        <w:rPr>
          <w:sz w:val="28"/>
          <w:szCs w:val="28"/>
          <w:lang w:val="uk-UA"/>
        </w:rPr>
        <w:t xml:space="preserve"> </w:t>
      </w:r>
      <w:r w:rsidR="009B7553"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9B7553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Гурська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//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віковому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аспекті: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зб.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наук.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праць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пра</w:t>
      </w:r>
      <w:r w:rsidR="006C2263" w:rsidRPr="00DC4B6E">
        <w:rPr>
          <w:sz w:val="28"/>
          <w:szCs w:val="28"/>
          <w:lang w:val="uk-UA"/>
        </w:rPr>
        <w:t>кт.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конф.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міжнародною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участю,</w:t>
      </w:r>
      <w:r w:rsidR="006527A6">
        <w:rPr>
          <w:sz w:val="28"/>
          <w:szCs w:val="28"/>
          <w:lang w:val="uk-UA"/>
        </w:rPr>
        <w:t xml:space="preserve"> </w:t>
      </w:r>
      <w:r w:rsidR="00E6214E" w:rsidRPr="00DC4B6E">
        <w:rPr>
          <w:sz w:val="28"/>
          <w:szCs w:val="28"/>
          <w:lang w:val="uk-UA"/>
        </w:rPr>
        <w:t>Харків,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29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30</w:t>
      </w:r>
      <w:r w:rsidR="006527A6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листопада</w:t>
      </w:r>
      <w:r w:rsidR="004D06E3">
        <w:rPr>
          <w:sz w:val="28"/>
          <w:szCs w:val="28"/>
          <w:lang w:val="uk-UA"/>
        </w:rPr>
        <w:t xml:space="preserve"> </w:t>
      </w:r>
      <w:r w:rsidR="006C2263" w:rsidRPr="00DC4B6E">
        <w:rPr>
          <w:sz w:val="28"/>
          <w:szCs w:val="28"/>
          <w:lang w:val="uk-UA"/>
        </w:rPr>
        <w:t>2007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р.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Х.,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2007.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35.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216724">
      <w:pPr>
        <w:numPr>
          <w:ilvl w:val="0"/>
          <w:numId w:val="3"/>
        </w:numPr>
        <w:tabs>
          <w:tab w:val="clear" w:pos="1211"/>
          <w:tab w:val="num" w:pos="709"/>
          <w:tab w:val="left" w:pos="113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Роль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санітарно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освітніх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заходів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профілактиці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йододефіцитного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[Текст]</w:t>
      </w:r>
      <w:r w:rsidRPr="00DC4B6E">
        <w:rPr>
          <w:sz w:val="28"/>
          <w:szCs w:val="28"/>
          <w:lang w:val="uk-UA"/>
        </w:rPr>
        <w:t>: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інформ.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лист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/</w:t>
      </w:r>
      <w:r w:rsidR="006527A6">
        <w:rPr>
          <w:sz w:val="28"/>
          <w:szCs w:val="28"/>
          <w:lang w:val="uk-UA"/>
        </w:rPr>
        <w:t xml:space="preserve"> </w:t>
      </w:r>
      <w:r w:rsidR="00401D80" w:rsidRPr="00DC4B6E">
        <w:rPr>
          <w:sz w:val="28"/>
          <w:szCs w:val="28"/>
          <w:lang w:val="uk-UA"/>
        </w:rPr>
        <w:t>А.Й.</w:t>
      </w:r>
      <w:r w:rsidR="006527A6">
        <w:rPr>
          <w:sz w:val="28"/>
          <w:szCs w:val="28"/>
          <w:lang w:val="uk-UA"/>
        </w:rPr>
        <w:t xml:space="preserve"> </w:t>
      </w:r>
      <w:r w:rsidR="00401D80" w:rsidRPr="00DC4B6E">
        <w:rPr>
          <w:sz w:val="28"/>
          <w:szCs w:val="28"/>
          <w:lang w:val="uk-UA"/>
        </w:rPr>
        <w:t>Гурський,</w:t>
      </w:r>
      <w:r w:rsidR="006527A6">
        <w:rPr>
          <w:sz w:val="28"/>
          <w:szCs w:val="28"/>
          <w:lang w:val="uk-UA"/>
        </w:rPr>
        <w:t xml:space="preserve"> </w:t>
      </w:r>
      <w:r w:rsidR="008A132A" w:rsidRPr="00DC4B6E">
        <w:rPr>
          <w:sz w:val="28"/>
          <w:szCs w:val="28"/>
          <w:lang w:val="uk-UA"/>
        </w:rPr>
        <w:t>М.Л.</w:t>
      </w:r>
      <w:r w:rsidR="006527A6">
        <w:rPr>
          <w:sz w:val="28"/>
          <w:szCs w:val="28"/>
          <w:lang w:val="uk-UA"/>
        </w:rPr>
        <w:t xml:space="preserve"> </w:t>
      </w:r>
      <w:r w:rsidR="00B30A47" w:rsidRPr="00DC4B6E">
        <w:rPr>
          <w:sz w:val="28"/>
          <w:szCs w:val="28"/>
          <w:lang w:val="uk-UA"/>
        </w:rPr>
        <w:t>Юзвенко,</w:t>
      </w:r>
      <w:r w:rsidR="006527A6">
        <w:rPr>
          <w:sz w:val="28"/>
          <w:szCs w:val="28"/>
          <w:lang w:val="uk-UA"/>
        </w:rPr>
        <w:t xml:space="preserve"> </w:t>
      </w:r>
      <w:r w:rsidR="00B30A47" w:rsidRPr="00DC4B6E">
        <w:rPr>
          <w:sz w:val="28"/>
          <w:szCs w:val="28"/>
          <w:lang w:val="uk-UA"/>
        </w:rPr>
        <w:t>І.Ф.</w:t>
      </w:r>
      <w:r w:rsidR="006527A6">
        <w:rPr>
          <w:sz w:val="28"/>
          <w:szCs w:val="28"/>
          <w:lang w:val="uk-UA"/>
        </w:rPr>
        <w:t xml:space="preserve"> </w:t>
      </w:r>
      <w:r w:rsidR="008A132A" w:rsidRPr="00DC4B6E">
        <w:rPr>
          <w:sz w:val="28"/>
          <w:szCs w:val="28"/>
          <w:lang w:val="uk-UA"/>
        </w:rPr>
        <w:t>Худова,</w:t>
      </w:r>
      <w:r w:rsidR="006527A6">
        <w:rPr>
          <w:sz w:val="28"/>
          <w:szCs w:val="28"/>
          <w:lang w:val="uk-UA"/>
        </w:rPr>
        <w:t xml:space="preserve"> </w:t>
      </w:r>
      <w:r w:rsidR="008A132A" w:rsidRPr="00DC4B6E">
        <w:rPr>
          <w:sz w:val="28"/>
          <w:szCs w:val="28"/>
          <w:lang w:val="uk-UA"/>
        </w:rPr>
        <w:t>Т.Г.</w:t>
      </w:r>
      <w:r w:rsidR="006527A6">
        <w:rPr>
          <w:sz w:val="28"/>
          <w:szCs w:val="28"/>
          <w:lang w:val="uk-UA"/>
        </w:rPr>
        <w:t xml:space="preserve"> </w:t>
      </w:r>
      <w:r w:rsidR="008A132A" w:rsidRPr="00DC4B6E">
        <w:rPr>
          <w:sz w:val="28"/>
          <w:szCs w:val="28"/>
          <w:lang w:val="uk-UA"/>
        </w:rPr>
        <w:t>Романиши</w:t>
      </w:r>
      <w:r w:rsidR="005B638A" w:rsidRPr="00DC4B6E">
        <w:rPr>
          <w:sz w:val="28"/>
          <w:szCs w:val="28"/>
          <w:lang w:val="uk-UA"/>
        </w:rPr>
        <w:t>на,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В.А.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Гурська,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Л.В.</w:t>
      </w:r>
      <w:r w:rsidR="006527A6">
        <w:rPr>
          <w:sz w:val="28"/>
          <w:szCs w:val="28"/>
          <w:lang w:val="uk-UA"/>
        </w:rPr>
        <w:t xml:space="preserve"> </w:t>
      </w:r>
      <w:r w:rsidR="005B638A" w:rsidRPr="00DC4B6E">
        <w:rPr>
          <w:sz w:val="28"/>
          <w:szCs w:val="28"/>
          <w:lang w:val="uk-UA"/>
        </w:rPr>
        <w:t>Гуменюк;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Управління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охорони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здоров'я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Рівненської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облдержадміністра</w:t>
      </w:r>
      <w:r w:rsidR="007A3E85" w:rsidRPr="00DC4B6E">
        <w:rPr>
          <w:sz w:val="28"/>
          <w:szCs w:val="28"/>
          <w:lang w:val="uk-UA"/>
        </w:rPr>
        <w:t>ції,</w:t>
      </w:r>
      <w:r w:rsidR="006527A6">
        <w:rPr>
          <w:sz w:val="28"/>
          <w:szCs w:val="28"/>
          <w:lang w:val="uk-UA"/>
        </w:rPr>
        <w:t xml:space="preserve"> </w:t>
      </w:r>
      <w:r w:rsidR="007A3E85" w:rsidRPr="00DC4B6E">
        <w:rPr>
          <w:sz w:val="28"/>
          <w:szCs w:val="28"/>
          <w:lang w:val="uk-UA"/>
        </w:rPr>
        <w:t>обласний</w:t>
      </w:r>
      <w:r w:rsidR="006527A6">
        <w:rPr>
          <w:sz w:val="28"/>
          <w:szCs w:val="28"/>
          <w:lang w:val="uk-UA"/>
        </w:rPr>
        <w:t xml:space="preserve"> </w:t>
      </w:r>
      <w:r w:rsidR="007A3E85" w:rsidRPr="00DC4B6E">
        <w:rPr>
          <w:sz w:val="28"/>
          <w:szCs w:val="28"/>
          <w:lang w:val="uk-UA"/>
        </w:rPr>
        <w:t>ендокринологічний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дисп</w:t>
      </w:r>
      <w:r w:rsidR="007A3E85" w:rsidRPr="00DC4B6E">
        <w:rPr>
          <w:sz w:val="28"/>
          <w:szCs w:val="28"/>
          <w:lang w:val="uk-UA"/>
        </w:rPr>
        <w:t>ансер,</w:t>
      </w:r>
      <w:r w:rsidR="006527A6">
        <w:rPr>
          <w:sz w:val="28"/>
          <w:szCs w:val="28"/>
          <w:lang w:val="uk-UA"/>
        </w:rPr>
        <w:t xml:space="preserve"> </w:t>
      </w:r>
      <w:r w:rsidR="00B108C5" w:rsidRPr="00DC4B6E">
        <w:rPr>
          <w:sz w:val="28"/>
          <w:szCs w:val="28"/>
          <w:lang w:val="uk-UA"/>
        </w:rPr>
        <w:t>обласний</w:t>
      </w:r>
      <w:r w:rsidR="006527A6">
        <w:rPr>
          <w:sz w:val="28"/>
          <w:szCs w:val="28"/>
          <w:lang w:val="uk-UA"/>
        </w:rPr>
        <w:t xml:space="preserve"> </w:t>
      </w:r>
      <w:r w:rsidR="00B108C5" w:rsidRPr="00DC4B6E">
        <w:rPr>
          <w:sz w:val="28"/>
          <w:szCs w:val="28"/>
          <w:lang w:val="uk-UA"/>
        </w:rPr>
        <w:t>центр</w:t>
      </w:r>
      <w:r w:rsidR="006527A6">
        <w:rPr>
          <w:sz w:val="28"/>
          <w:szCs w:val="28"/>
          <w:lang w:val="uk-UA"/>
        </w:rPr>
        <w:t xml:space="preserve"> </w:t>
      </w:r>
      <w:r w:rsidR="008E507B" w:rsidRPr="00DC4B6E">
        <w:rPr>
          <w:sz w:val="28"/>
          <w:szCs w:val="28"/>
          <w:lang w:val="uk-UA"/>
        </w:rPr>
        <w:t>здоров'я.</w:t>
      </w:r>
      <w:r w:rsidR="006527A6">
        <w:rPr>
          <w:sz w:val="28"/>
          <w:szCs w:val="28"/>
          <w:lang w:val="uk-UA"/>
        </w:rPr>
        <w:t xml:space="preserve"> </w:t>
      </w:r>
      <w:r w:rsidR="008E507B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8E507B" w:rsidRPr="00DC4B6E">
        <w:rPr>
          <w:sz w:val="28"/>
          <w:szCs w:val="28"/>
          <w:lang w:val="uk-UA"/>
        </w:rPr>
        <w:t>Рівне,</w:t>
      </w:r>
      <w:r w:rsidR="006527A6">
        <w:rPr>
          <w:sz w:val="28"/>
          <w:szCs w:val="28"/>
          <w:lang w:val="uk-UA"/>
        </w:rPr>
        <w:t xml:space="preserve"> </w:t>
      </w:r>
      <w:r w:rsidR="00D61C4E" w:rsidRPr="00DC4B6E">
        <w:rPr>
          <w:sz w:val="28"/>
          <w:szCs w:val="28"/>
          <w:lang w:val="uk-UA"/>
        </w:rPr>
        <w:t>2004.</w:t>
      </w:r>
      <w:r w:rsidR="006527A6">
        <w:rPr>
          <w:sz w:val="28"/>
          <w:szCs w:val="28"/>
          <w:lang w:val="uk-UA"/>
        </w:rPr>
        <w:t xml:space="preserve"> </w:t>
      </w:r>
      <w:r w:rsidR="00D61C4E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61C4E" w:rsidRPr="00DC4B6E">
        <w:rPr>
          <w:sz w:val="28"/>
          <w:szCs w:val="28"/>
          <w:lang w:val="uk-UA"/>
        </w:rPr>
        <w:t>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(Дисертантом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самостійно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розроблені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заходи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профілактики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лікування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які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мешкають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умовах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дефіциту).</w:t>
      </w:r>
    </w:p>
    <w:p w:rsidR="004627B0" w:rsidRPr="00DC4B6E" w:rsidRDefault="00216724" w:rsidP="00216724">
      <w:pPr>
        <w:tabs>
          <w:tab w:val="left" w:pos="1080"/>
        </w:tabs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627B0" w:rsidRPr="00DC4B6E">
        <w:rPr>
          <w:b/>
          <w:bCs/>
          <w:sz w:val="28"/>
          <w:szCs w:val="28"/>
          <w:lang w:val="uk-UA"/>
        </w:rPr>
        <w:t>АНОТАЦІЯ</w:t>
      </w:r>
    </w:p>
    <w:p w:rsidR="00475143" w:rsidRDefault="00475143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DD7C90" w:rsidRPr="00DC4B6E" w:rsidRDefault="00DD7C90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Гурська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В.А.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Особливості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сомато–статевого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розвитку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і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функції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системи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гіпофіз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гонади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та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щитоподібної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залози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при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порушеннях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чоловічого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пубертату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за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умов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йодної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недостатності.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Рукопис.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Дисертація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здобуття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наукового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ступеня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кандидата</w:t>
      </w:r>
      <w:r w:rsidR="006527A6">
        <w:rPr>
          <w:sz w:val="28"/>
          <w:szCs w:val="28"/>
          <w:lang w:val="uk-UA"/>
        </w:rPr>
        <w:t xml:space="preserve"> </w:t>
      </w:r>
      <w:r w:rsidR="00CD264A"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="00CD264A"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="00CD264A"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="00CD264A" w:rsidRPr="00DC4B6E">
        <w:rPr>
          <w:sz w:val="28"/>
          <w:szCs w:val="28"/>
          <w:lang w:val="uk-UA"/>
        </w:rPr>
        <w:t>спеціальністю</w:t>
      </w:r>
      <w:r w:rsidR="006527A6">
        <w:rPr>
          <w:sz w:val="28"/>
          <w:szCs w:val="28"/>
          <w:lang w:val="uk-UA"/>
        </w:rPr>
        <w:t xml:space="preserve"> </w:t>
      </w:r>
      <w:r w:rsidR="00CD264A" w:rsidRPr="00DC4B6E">
        <w:rPr>
          <w:sz w:val="28"/>
          <w:szCs w:val="28"/>
          <w:lang w:val="uk-UA"/>
        </w:rPr>
        <w:t>14.01.14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ендокринологія.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Державна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«Інститут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ендокринної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Данилевського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Академії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медичних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України»,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Харків,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2008.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Дисертація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присвячена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вивченню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частоти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зоба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хлопців,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мешканців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регіону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встановленню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особливостей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їх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клінічного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перебігу,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дослідженню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стану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системи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гіпофіз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щитоподібної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залози,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також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обґрунтуванню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підходів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профілактики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цих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порушень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дефіциту.</w:t>
      </w:r>
    </w:p>
    <w:p w:rsidR="00DD7C90" w:rsidRPr="00DC4B6E" w:rsidRDefault="003C366B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Обстежено</w:t>
      </w:r>
      <w:r w:rsidR="006527A6">
        <w:rPr>
          <w:sz w:val="28"/>
          <w:szCs w:val="28"/>
          <w:lang w:val="uk-UA"/>
        </w:rPr>
        <w:t xml:space="preserve"> </w:t>
      </w:r>
      <w:r w:rsidR="00B255E6" w:rsidRPr="00DC4B6E">
        <w:rPr>
          <w:sz w:val="28"/>
          <w:szCs w:val="28"/>
          <w:lang w:val="uk-UA"/>
        </w:rPr>
        <w:t>75</w:t>
      </w:r>
      <w:r w:rsidRPr="00DC4B6E">
        <w:rPr>
          <w:sz w:val="28"/>
          <w:szCs w:val="28"/>
          <w:lang w:val="uk-UA"/>
        </w:rPr>
        <w:t>96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17)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річного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віку,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для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постій</w:t>
      </w:r>
      <w:r w:rsidR="00D5591C" w:rsidRPr="00DC4B6E">
        <w:rPr>
          <w:sz w:val="28"/>
          <w:szCs w:val="28"/>
          <w:lang w:val="uk-UA"/>
        </w:rPr>
        <w:t>ного</w:t>
      </w:r>
      <w:r w:rsidR="006527A6">
        <w:rPr>
          <w:sz w:val="28"/>
          <w:szCs w:val="28"/>
          <w:lang w:val="uk-UA"/>
        </w:rPr>
        <w:t xml:space="preserve"> </w:t>
      </w:r>
      <w:r w:rsidR="00D5591C" w:rsidRPr="00DC4B6E">
        <w:rPr>
          <w:sz w:val="28"/>
          <w:szCs w:val="28"/>
          <w:lang w:val="uk-UA"/>
        </w:rPr>
        <w:t>спостереження</w:t>
      </w:r>
      <w:r w:rsidR="006527A6">
        <w:rPr>
          <w:sz w:val="28"/>
          <w:szCs w:val="28"/>
          <w:lang w:val="uk-UA"/>
        </w:rPr>
        <w:t xml:space="preserve"> </w:t>
      </w:r>
      <w:r w:rsidR="00D5591C" w:rsidRPr="00DC4B6E">
        <w:rPr>
          <w:sz w:val="28"/>
          <w:szCs w:val="28"/>
          <w:lang w:val="uk-UA"/>
        </w:rPr>
        <w:t>відібрано</w:t>
      </w:r>
      <w:r w:rsidR="006527A6">
        <w:rPr>
          <w:sz w:val="28"/>
          <w:szCs w:val="28"/>
          <w:lang w:val="uk-UA"/>
        </w:rPr>
        <w:t xml:space="preserve"> </w:t>
      </w:r>
      <w:r w:rsidR="00D5591C" w:rsidRPr="00DC4B6E">
        <w:rPr>
          <w:sz w:val="28"/>
          <w:szCs w:val="28"/>
          <w:lang w:val="uk-UA"/>
        </w:rPr>
        <w:t>181</w:t>
      </w:r>
      <w:r w:rsidR="006527A6">
        <w:rPr>
          <w:sz w:val="28"/>
          <w:szCs w:val="28"/>
          <w:lang w:val="uk-UA"/>
        </w:rPr>
        <w:t xml:space="preserve"> </w:t>
      </w:r>
      <w:r w:rsidR="00D5591C" w:rsidRPr="00DC4B6E">
        <w:rPr>
          <w:sz w:val="28"/>
          <w:szCs w:val="28"/>
          <w:lang w:val="uk-UA"/>
        </w:rPr>
        <w:t>хворий</w:t>
      </w:r>
      <w:r w:rsidR="006527A6">
        <w:rPr>
          <w:sz w:val="28"/>
          <w:szCs w:val="28"/>
          <w:lang w:val="uk-UA"/>
        </w:rPr>
        <w:t xml:space="preserve"> </w:t>
      </w:r>
      <w:r w:rsidR="00D5591C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6C22D3" w:rsidRPr="00DC4B6E">
        <w:rPr>
          <w:sz w:val="28"/>
          <w:szCs w:val="28"/>
          <w:lang w:val="uk-UA"/>
        </w:rPr>
        <w:t>20</w:t>
      </w:r>
      <w:r w:rsidR="006527A6">
        <w:rPr>
          <w:sz w:val="28"/>
          <w:szCs w:val="28"/>
          <w:lang w:val="uk-UA"/>
        </w:rPr>
        <w:t xml:space="preserve"> </w:t>
      </w:r>
      <w:r w:rsidR="006C22D3" w:rsidRPr="00DC4B6E">
        <w:rPr>
          <w:sz w:val="28"/>
          <w:szCs w:val="28"/>
          <w:lang w:val="uk-UA"/>
        </w:rPr>
        <w:t>здорових</w:t>
      </w:r>
      <w:r w:rsidR="006527A6">
        <w:rPr>
          <w:sz w:val="28"/>
          <w:szCs w:val="28"/>
          <w:lang w:val="uk-UA"/>
        </w:rPr>
        <w:t xml:space="preserve"> </w:t>
      </w:r>
      <w:r w:rsidR="006C22D3" w:rsidRPr="00DC4B6E">
        <w:rPr>
          <w:sz w:val="28"/>
          <w:szCs w:val="28"/>
          <w:lang w:val="uk-UA"/>
        </w:rPr>
        <w:t>осіб.</w:t>
      </w:r>
      <w:r w:rsidR="006527A6">
        <w:rPr>
          <w:sz w:val="28"/>
          <w:szCs w:val="28"/>
          <w:lang w:val="uk-UA"/>
        </w:rPr>
        <w:t xml:space="preserve"> </w:t>
      </w:r>
      <w:r w:rsidR="006C22D3" w:rsidRPr="00DC4B6E">
        <w:rPr>
          <w:sz w:val="28"/>
          <w:szCs w:val="28"/>
          <w:lang w:val="uk-UA"/>
        </w:rPr>
        <w:t>В</w:t>
      </w:r>
      <w:r w:rsidR="00A8622B" w:rsidRPr="00DC4B6E">
        <w:rPr>
          <w:sz w:val="28"/>
          <w:szCs w:val="28"/>
          <w:lang w:val="uk-UA"/>
        </w:rPr>
        <w:t>становлено,</w:t>
      </w:r>
      <w:r w:rsidR="006527A6">
        <w:rPr>
          <w:sz w:val="28"/>
          <w:szCs w:val="28"/>
          <w:lang w:val="uk-UA"/>
        </w:rPr>
        <w:t xml:space="preserve"> </w:t>
      </w:r>
      <w:r w:rsidR="00A8622B"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A8622B" w:rsidRPr="00DC4B6E">
        <w:rPr>
          <w:sz w:val="28"/>
          <w:szCs w:val="28"/>
          <w:lang w:val="uk-UA"/>
        </w:rPr>
        <w:t>7,1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хлопців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мали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статевого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розвитку,</w:t>
      </w:r>
      <w:r w:rsidR="006527A6">
        <w:rPr>
          <w:sz w:val="28"/>
          <w:szCs w:val="28"/>
          <w:lang w:val="uk-UA"/>
        </w:rPr>
        <w:t xml:space="preserve"> </w:t>
      </w:r>
      <w:r w:rsidR="00604F02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604F02" w:rsidRPr="00DC4B6E">
        <w:rPr>
          <w:sz w:val="28"/>
          <w:szCs w:val="28"/>
          <w:lang w:val="uk-UA"/>
        </w:rPr>
        <w:t>серед</w:t>
      </w:r>
      <w:r w:rsidR="006527A6">
        <w:rPr>
          <w:sz w:val="28"/>
          <w:szCs w:val="28"/>
          <w:lang w:val="uk-UA"/>
        </w:rPr>
        <w:t xml:space="preserve"> </w:t>
      </w:r>
      <w:r w:rsidR="00604F02"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="00293FAE" w:rsidRPr="00DC4B6E">
        <w:rPr>
          <w:sz w:val="28"/>
          <w:szCs w:val="28"/>
          <w:lang w:val="uk-UA"/>
        </w:rPr>
        <w:t>56,9</w:t>
      </w:r>
      <w:r w:rsidR="006527A6">
        <w:rPr>
          <w:sz w:val="28"/>
          <w:szCs w:val="28"/>
          <w:lang w:val="uk-UA"/>
        </w:rPr>
        <w:t xml:space="preserve"> </w:t>
      </w:r>
      <w:r w:rsidR="00293FAE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пацієнтів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мають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зоб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="009E665B" w:rsidRPr="00DC4B6E">
        <w:rPr>
          <w:sz w:val="28"/>
          <w:szCs w:val="28"/>
          <w:lang w:val="uk-UA"/>
        </w:rPr>
        <w:t>ступеня.</w:t>
      </w:r>
      <w:r w:rsidR="006527A6">
        <w:rPr>
          <w:sz w:val="28"/>
          <w:szCs w:val="28"/>
          <w:lang w:val="uk-UA"/>
        </w:rPr>
        <w:t xml:space="preserve"> </w:t>
      </w:r>
      <w:r w:rsidR="00D4124C" w:rsidRPr="00DC4B6E">
        <w:rPr>
          <w:sz w:val="28"/>
          <w:szCs w:val="28"/>
          <w:lang w:val="uk-UA"/>
        </w:rPr>
        <w:t>З</w:t>
      </w:r>
      <w:r w:rsidR="007F717B" w:rsidRPr="00DC4B6E">
        <w:rPr>
          <w:sz w:val="28"/>
          <w:szCs w:val="28"/>
          <w:lang w:val="uk-UA"/>
        </w:rPr>
        <w:t>ниження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екскреції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йоду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з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сечею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різного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ступеня</w:t>
      </w:r>
      <w:r w:rsidR="0074544D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7F717B" w:rsidRPr="00DC4B6E">
        <w:rPr>
          <w:sz w:val="28"/>
          <w:szCs w:val="28"/>
          <w:lang w:val="uk-UA"/>
        </w:rPr>
        <w:t>тлі</w:t>
      </w:r>
      <w:r w:rsidR="006527A6">
        <w:rPr>
          <w:sz w:val="28"/>
          <w:szCs w:val="28"/>
          <w:lang w:val="uk-UA"/>
        </w:rPr>
        <w:t xml:space="preserve"> </w:t>
      </w:r>
      <w:r w:rsidR="00807EB9" w:rsidRPr="00DC4B6E">
        <w:rPr>
          <w:sz w:val="28"/>
          <w:szCs w:val="28"/>
          <w:lang w:val="uk-UA"/>
        </w:rPr>
        <w:t>підвищених</w:t>
      </w:r>
      <w:r w:rsidR="006527A6">
        <w:rPr>
          <w:sz w:val="28"/>
          <w:szCs w:val="28"/>
          <w:lang w:val="uk-UA"/>
        </w:rPr>
        <w:t xml:space="preserve"> </w:t>
      </w:r>
      <w:r w:rsidR="00807EB9"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="00807EB9" w:rsidRPr="00DC4B6E">
        <w:rPr>
          <w:sz w:val="28"/>
          <w:szCs w:val="28"/>
          <w:lang w:val="uk-UA"/>
        </w:rPr>
        <w:t>ТТГ</w:t>
      </w:r>
      <w:r w:rsidR="006527A6">
        <w:rPr>
          <w:sz w:val="28"/>
          <w:szCs w:val="28"/>
          <w:lang w:val="uk-UA"/>
        </w:rPr>
        <w:t xml:space="preserve"> </w:t>
      </w:r>
      <w:r w:rsidR="00D4124C" w:rsidRPr="00DC4B6E">
        <w:rPr>
          <w:sz w:val="28"/>
          <w:szCs w:val="28"/>
          <w:lang w:val="uk-UA"/>
        </w:rPr>
        <w:t>мало</w:t>
      </w:r>
      <w:r w:rsidR="006527A6">
        <w:rPr>
          <w:sz w:val="28"/>
          <w:szCs w:val="28"/>
          <w:lang w:val="uk-UA"/>
        </w:rPr>
        <w:t xml:space="preserve"> </w:t>
      </w:r>
      <w:r w:rsidR="00D4124C" w:rsidRPr="00DC4B6E">
        <w:rPr>
          <w:sz w:val="28"/>
          <w:szCs w:val="28"/>
          <w:lang w:val="uk-UA"/>
        </w:rPr>
        <w:t>місце</w:t>
      </w:r>
      <w:r w:rsidR="006527A6">
        <w:rPr>
          <w:sz w:val="28"/>
          <w:szCs w:val="28"/>
          <w:lang w:val="uk-UA"/>
        </w:rPr>
        <w:t xml:space="preserve"> </w:t>
      </w:r>
      <w:r w:rsidR="00807EB9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BD44DB" w:rsidRPr="00DC4B6E">
        <w:rPr>
          <w:sz w:val="28"/>
          <w:szCs w:val="28"/>
          <w:lang w:val="uk-UA"/>
        </w:rPr>
        <w:t>62,3</w:t>
      </w:r>
      <w:r w:rsidR="006527A6">
        <w:rPr>
          <w:sz w:val="28"/>
          <w:szCs w:val="28"/>
          <w:lang w:val="uk-UA"/>
        </w:rPr>
        <w:t xml:space="preserve"> </w:t>
      </w:r>
      <w:r w:rsidR="00807EB9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4209A5" w:rsidRPr="00DC4B6E">
        <w:rPr>
          <w:sz w:val="28"/>
          <w:szCs w:val="28"/>
          <w:lang w:val="uk-UA"/>
        </w:rPr>
        <w:t>досліджуваних</w:t>
      </w:r>
      <w:r w:rsidR="00807EB9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43,5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із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="00FC5294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зниження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рівнів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Т</w:t>
      </w:r>
      <w:r w:rsidR="00D62280" w:rsidRPr="00DC4B6E">
        <w:rPr>
          <w:sz w:val="28"/>
          <w:szCs w:val="28"/>
          <w:vertAlign w:val="subscript"/>
          <w:lang w:val="uk-UA"/>
        </w:rPr>
        <w:t>3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D62280" w:rsidRPr="00DC4B6E">
        <w:rPr>
          <w:sz w:val="28"/>
          <w:szCs w:val="28"/>
          <w:vertAlign w:val="subscript"/>
          <w:lang w:val="uk-UA"/>
        </w:rPr>
        <w:t>вільного</w:t>
      </w:r>
      <w:r w:rsidR="00D62280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Т</w:t>
      </w:r>
      <w:r w:rsidR="00D62280" w:rsidRPr="00DC4B6E">
        <w:rPr>
          <w:sz w:val="28"/>
          <w:szCs w:val="28"/>
          <w:vertAlign w:val="subscript"/>
          <w:lang w:val="uk-UA"/>
        </w:rPr>
        <w:t>4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D62280" w:rsidRPr="00DC4B6E">
        <w:rPr>
          <w:sz w:val="28"/>
          <w:szCs w:val="28"/>
          <w:vertAlign w:val="subscript"/>
          <w:lang w:val="uk-UA"/>
        </w:rPr>
        <w:t>вільного</w:t>
      </w:r>
      <w:r w:rsidR="00D62280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що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свідчить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про</w:t>
      </w:r>
      <w:r w:rsidR="006527A6">
        <w:rPr>
          <w:sz w:val="28"/>
          <w:szCs w:val="28"/>
          <w:lang w:val="uk-UA"/>
        </w:rPr>
        <w:t xml:space="preserve"> </w:t>
      </w:r>
      <w:r w:rsidR="00D62280" w:rsidRPr="00DC4B6E">
        <w:rPr>
          <w:sz w:val="28"/>
          <w:szCs w:val="28"/>
          <w:lang w:val="uk-UA"/>
        </w:rPr>
        <w:t>наявність</w:t>
      </w:r>
      <w:r w:rsidR="006527A6">
        <w:rPr>
          <w:sz w:val="28"/>
          <w:szCs w:val="28"/>
          <w:lang w:val="uk-UA"/>
        </w:rPr>
        <w:t xml:space="preserve"> </w:t>
      </w:r>
      <w:r w:rsidR="00FF3CB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FF3CBA" w:rsidRPr="00DC4B6E">
        <w:rPr>
          <w:sz w:val="28"/>
          <w:szCs w:val="28"/>
          <w:lang w:val="uk-UA"/>
        </w:rPr>
        <w:t>цих</w:t>
      </w:r>
      <w:r w:rsidR="006527A6">
        <w:rPr>
          <w:sz w:val="28"/>
          <w:szCs w:val="28"/>
          <w:lang w:val="uk-UA"/>
        </w:rPr>
        <w:t xml:space="preserve"> </w:t>
      </w:r>
      <w:r w:rsidR="00FF3CBA" w:rsidRPr="00DC4B6E">
        <w:rPr>
          <w:sz w:val="28"/>
          <w:szCs w:val="28"/>
          <w:lang w:val="uk-UA"/>
        </w:rPr>
        <w:t>хворих</w:t>
      </w:r>
      <w:r w:rsidR="006527A6">
        <w:rPr>
          <w:sz w:val="28"/>
          <w:szCs w:val="28"/>
          <w:lang w:val="uk-UA"/>
        </w:rPr>
        <w:t xml:space="preserve"> </w:t>
      </w:r>
      <w:r w:rsidR="00FF3CBA" w:rsidRPr="00DC4B6E">
        <w:rPr>
          <w:sz w:val="28"/>
          <w:szCs w:val="28"/>
          <w:lang w:val="uk-UA"/>
        </w:rPr>
        <w:t>корелятивного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гіпогонадизм</w:t>
      </w:r>
      <w:r w:rsidR="00FF3CBA" w:rsidRPr="00DC4B6E">
        <w:rPr>
          <w:sz w:val="28"/>
          <w:szCs w:val="28"/>
          <w:lang w:val="uk-UA"/>
        </w:rPr>
        <w:t>у</w:t>
      </w:r>
      <w:r w:rsidR="0070594B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604F02" w:rsidRPr="00DC4B6E">
        <w:rPr>
          <w:sz w:val="28"/>
          <w:szCs w:val="28"/>
          <w:lang w:val="uk-UA"/>
        </w:rPr>
        <w:t>Особливості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клінічного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перебігу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корелятивного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гіпогонадизму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полягають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вираженому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відставанні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розвитку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перви</w:t>
      </w:r>
      <w:r w:rsidR="000F10ED" w:rsidRPr="00DC4B6E">
        <w:rPr>
          <w:sz w:val="28"/>
          <w:szCs w:val="28"/>
          <w:lang w:val="uk-UA"/>
        </w:rPr>
        <w:t>н</w:t>
      </w:r>
      <w:r w:rsidR="003F035F"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вторинних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статевих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ознак,</w:t>
      </w:r>
      <w:r w:rsidR="006527A6">
        <w:rPr>
          <w:sz w:val="28"/>
          <w:szCs w:val="28"/>
          <w:lang w:val="uk-UA"/>
        </w:rPr>
        <w:t xml:space="preserve"> </w:t>
      </w:r>
      <w:r w:rsidR="003F035F" w:rsidRPr="00DC4B6E">
        <w:rPr>
          <w:sz w:val="28"/>
          <w:szCs w:val="28"/>
          <w:lang w:val="uk-UA"/>
        </w:rPr>
        <w:t>низькорослості,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інфантильному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типі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будови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тіла</w:t>
      </w:r>
      <w:r w:rsidR="00FA13B6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наявності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ознак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маніфестного</w:t>
      </w:r>
      <w:r w:rsidR="006527A6">
        <w:rPr>
          <w:sz w:val="28"/>
          <w:szCs w:val="28"/>
          <w:lang w:val="uk-UA"/>
        </w:rPr>
        <w:t xml:space="preserve"> </w:t>
      </w:r>
      <w:r w:rsidR="00FA13B6" w:rsidRPr="00DC4B6E">
        <w:rPr>
          <w:sz w:val="28"/>
          <w:szCs w:val="28"/>
          <w:lang w:val="uk-UA"/>
        </w:rPr>
        <w:t>гіпотиреозу,</w:t>
      </w:r>
      <w:r w:rsidR="006527A6">
        <w:rPr>
          <w:sz w:val="28"/>
          <w:szCs w:val="28"/>
          <w:lang w:val="uk-UA"/>
        </w:rPr>
        <w:t xml:space="preserve"> </w:t>
      </w:r>
      <w:r w:rsidR="00FA13B6" w:rsidRPr="00DC4B6E">
        <w:rPr>
          <w:sz w:val="28"/>
          <w:szCs w:val="28"/>
          <w:lang w:val="uk-UA"/>
        </w:rPr>
        <w:t>зниженні</w:t>
      </w:r>
      <w:r w:rsidR="006527A6">
        <w:rPr>
          <w:sz w:val="28"/>
          <w:szCs w:val="28"/>
          <w:lang w:val="uk-UA"/>
        </w:rPr>
        <w:t xml:space="preserve"> </w:t>
      </w:r>
      <w:r w:rsidR="001131A6"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Т</w:t>
      </w:r>
      <w:r w:rsidR="00FA13B6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FA13B6" w:rsidRPr="00DC4B6E">
        <w:rPr>
          <w:sz w:val="28"/>
          <w:szCs w:val="28"/>
          <w:lang w:val="uk-UA"/>
        </w:rPr>
        <w:t>порушенні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співвідношення</w:t>
      </w:r>
      <w:r w:rsidR="006527A6">
        <w:rPr>
          <w:sz w:val="28"/>
          <w:szCs w:val="28"/>
          <w:lang w:val="uk-UA"/>
        </w:rPr>
        <w:t xml:space="preserve"> </w:t>
      </w:r>
      <w:r w:rsidR="00EC2564" w:rsidRPr="00DC4B6E">
        <w:rPr>
          <w:sz w:val="28"/>
          <w:szCs w:val="28"/>
          <w:lang w:val="uk-UA"/>
        </w:rPr>
        <w:t>Т/ЛГ</w:t>
      </w:r>
      <w:r w:rsidR="00256C94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Обґрунтовано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та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апробовано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алгоритм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терапії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цих</w:t>
      </w:r>
      <w:r w:rsidR="006527A6">
        <w:rPr>
          <w:sz w:val="28"/>
          <w:szCs w:val="28"/>
          <w:lang w:val="uk-UA"/>
        </w:rPr>
        <w:t xml:space="preserve"> </w:t>
      </w:r>
      <w:r w:rsidR="00DD7C90" w:rsidRPr="00DC4B6E">
        <w:rPr>
          <w:sz w:val="28"/>
          <w:szCs w:val="28"/>
          <w:lang w:val="uk-UA"/>
        </w:rPr>
        <w:t>порушень.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Ключові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слова: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щитоподібна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залоза,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</w:t>
      </w:r>
      <w:r w:rsidR="00692DCF" w:rsidRPr="00DC4B6E">
        <w:rPr>
          <w:sz w:val="28"/>
          <w:szCs w:val="28"/>
          <w:lang w:val="uk-UA"/>
        </w:rPr>
        <w:t>рушення</w:t>
      </w:r>
      <w:r w:rsidR="006527A6">
        <w:rPr>
          <w:sz w:val="28"/>
          <w:szCs w:val="28"/>
          <w:lang w:val="uk-UA"/>
        </w:rPr>
        <w:t xml:space="preserve"> </w:t>
      </w:r>
      <w:r w:rsidR="00692DCF" w:rsidRPr="00DC4B6E">
        <w:rPr>
          <w:sz w:val="28"/>
          <w:szCs w:val="28"/>
          <w:lang w:val="uk-UA"/>
        </w:rPr>
        <w:t>пубертату,</w:t>
      </w:r>
      <w:r w:rsidR="006527A6">
        <w:rPr>
          <w:sz w:val="28"/>
          <w:szCs w:val="28"/>
          <w:lang w:val="uk-UA"/>
        </w:rPr>
        <w:t xml:space="preserve"> </w:t>
      </w:r>
      <w:r w:rsidR="00692DCF" w:rsidRPr="00DC4B6E">
        <w:rPr>
          <w:sz w:val="28"/>
          <w:szCs w:val="28"/>
          <w:lang w:val="uk-UA"/>
        </w:rPr>
        <w:t>йододефіцит.</w:t>
      </w:r>
    </w:p>
    <w:p w:rsidR="00DD7C90" w:rsidRPr="00DC4B6E" w:rsidRDefault="00475143" w:rsidP="0047514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D7C90" w:rsidRPr="00DC4B6E">
        <w:rPr>
          <w:b/>
          <w:bCs/>
          <w:sz w:val="28"/>
          <w:szCs w:val="28"/>
          <w:lang w:val="uk-UA"/>
        </w:rPr>
        <w:t>АННОТАЦИЯ</w:t>
      </w:r>
    </w:p>
    <w:p w:rsidR="00475143" w:rsidRDefault="00475143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DD7C90" w:rsidRPr="00DC4B6E" w:rsidRDefault="00DD7C90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Гурская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В.А.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Особенности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сомато–полового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развития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функции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системы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гипофиз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гонады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щитовидной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железы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при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нарушениях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мужского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пубертата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в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условиях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йодной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недостаточности.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Рукопись.</w:t>
      </w:r>
      <w:r w:rsidRPr="00DC4B6E">
        <w:rPr>
          <w:b/>
          <w:bCs/>
          <w:sz w:val="28"/>
          <w:szCs w:val="28"/>
          <w:lang w:val="uk-UA"/>
        </w:rPr>
        <w:tab/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Диссертация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соискание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научной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степени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кандидата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медицинских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наук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специальности</w:t>
      </w:r>
      <w:r w:rsidR="006527A6">
        <w:rPr>
          <w:sz w:val="28"/>
          <w:szCs w:val="28"/>
          <w:lang w:val="uk-UA"/>
        </w:rPr>
        <w:t xml:space="preserve"> </w:t>
      </w:r>
      <w:r w:rsidR="00385F36" w:rsidRPr="00DC4B6E">
        <w:rPr>
          <w:sz w:val="28"/>
          <w:szCs w:val="28"/>
          <w:lang w:val="uk-UA"/>
        </w:rPr>
        <w:t>14.01.14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эндокринология.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Государственное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учреждение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«Институт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проблем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эндокринологии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В.Я.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Данилевского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АМН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Украины»,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Харьков,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2008.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Диссертация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посвящена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изучению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частоты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нарушений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зоба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мальчиков,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жителей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региона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дефицита,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установлению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особенностей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клинического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течения,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исследованию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состояния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системы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гипофиз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гонады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щитовидной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железы,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также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обоснованию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подходов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терапии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профилактике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этих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нарушений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условиях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дефицита.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Обследовано</w:t>
      </w:r>
      <w:r w:rsidR="006527A6">
        <w:rPr>
          <w:sz w:val="28"/>
          <w:szCs w:val="28"/>
          <w:lang w:val="uk-UA"/>
        </w:rPr>
        <w:t xml:space="preserve"> </w:t>
      </w:r>
      <w:r w:rsidR="00B255E6" w:rsidRPr="00DC4B6E">
        <w:rPr>
          <w:sz w:val="28"/>
          <w:szCs w:val="28"/>
          <w:lang w:val="uk-UA"/>
        </w:rPr>
        <w:t>7596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мальчиков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–17)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летнего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возраста,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545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отмечено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отклонение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нормы.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Для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постоянного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наблюдения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отобрано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154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больных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(12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17)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летнего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возраста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патологическими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нарушениями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27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пациентов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ФНП,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здоровых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лиц,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которые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составили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контрольную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группу.</w:t>
      </w:r>
      <w:r w:rsidR="006527A6">
        <w:rPr>
          <w:sz w:val="28"/>
          <w:szCs w:val="28"/>
          <w:lang w:val="uk-UA"/>
        </w:rPr>
        <w:t xml:space="preserve"> 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Результатами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проведенных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</w:t>
      </w:r>
      <w:r w:rsidR="00DA4EDA" w:rsidRPr="00DC4B6E">
        <w:rPr>
          <w:sz w:val="28"/>
          <w:szCs w:val="28"/>
          <w:lang w:val="uk-UA"/>
        </w:rPr>
        <w:t>следований</w:t>
      </w:r>
      <w:r w:rsidR="006527A6">
        <w:rPr>
          <w:sz w:val="28"/>
          <w:szCs w:val="28"/>
          <w:lang w:val="uk-UA"/>
        </w:rPr>
        <w:t xml:space="preserve"> </w:t>
      </w:r>
      <w:r w:rsidR="00DA4EDA" w:rsidRPr="00DC4B6E">
        <w:rPr>
          <w:sz w:val="28"/>
          <w:szCs w:val="28"/>
          <w:lang w:val="uk-UA"/>
        </w:rPr>
        <w:t>установлено,</w:t>
      </w:r>
      <w:r w:rsidR="006527A6">
        <w:rPr>
          <w:sz w:val="28"/>
          <w:szCs w:val="28"/>
          <w:lang w:val="uk-UA"/>
        </w:rPr>
        <w:t xml:space="preserve"> </w:t>
      </w:r>
      <w:r w:rsidR="00DA4EDA" w:rsidRPr="00DC4B6E">
        <w:rPr>
          <w:sz w:val="28"/>
          <w:szCs w:val="28"/>
          <w:lang w:val="uk-UA"/>
        </w:rPr>
        <w:t>что</w:t>
      </w:r>
      <w:r w:rsidR="006527A6">
        <w:rPr>
          <w:sz w:val="28"/>
          <w:szCs w:val="28"/>
          <w:lang w:val="uk-UA"/>
        </w:rPr>
        <w:t xml:space="preserve"> </w:t>
      </w:r>
      <w:r w:rsidR="00DA4EDA" w:rsidRPr="00DC4B6E">
        <w:rPr>
          <w:sz w:val="28"/>
          <w:szCs w:val="28"/>
          <w:lang w:val="uk-UA"/>
        </w:rPr>
        <w:t>7,1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мальчиков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имела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</w:t>
      </w:r>
      <w:r w:rsidR="007E7A6F" w:rsidRPr="00DC4B6E">
        <w:rPr>
          <w:sz w:val="28"/>
          <w:szCs w:val="28"/>
          <w:lang w:val="uk-UA"/>
        </w:rPr>
        <w:t>остаточность</w:t>
      </w:r>
      <w:r w:rsidR="006527A6">
        <w:rPr>
          <w:sz w:val="28"/>
          <w:szCs w:val="28"/>
          <w:lang w:val="uk-UA"/>
        </w:rPr>
        <w:t xml:space="preserve"> </w:t>
      </w:r>
      <w:r w:rsidR="00286FBD" w:rsidRPr="00DC4B6E">
        <w:rPr>
          <w:sz w:val="28"/>
          <w:szCs w:val="28"/>
          <w:lang w:val="uk-UA"/>
        </w:rPr>
        <w:t>физического</w:t>
      </w:r>
      <w:r w:rsidR="006527A6">
        <w:rPr>
          <w:sz w:val="28"/>
          <w:szCs w:val="28"/>
          <w:lang w:val="uk-UA"/>
        </w:rPr>
        <w:t xml:space="preserve"> </w:t>
      </w:r>
      <w:r w:rsidR="00286FBD" w:rsidRPr="00DC4B6E">
        <w:rPr>
          <w:sz w:val="28"/>
          <w:szCs w:val="28"/>
          <w:lang w:val="uk-UA"/>
        </w:rPr>
        <w:t>развития</w:t>
      </w:r>
      <w:r w:rsidR="006527A6">
        <w:rPr>
          <w:sz w:val="28"/>
          <w:szCs w:val="28"/>
          <w:lang w:val="uk-UA"/>
        </w:rPr>
        <w:t xml:space="preserve"> </w:t>
      </w:r>
      <w:r w:rsidR="00286FBD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="007E7A6F" w:rsidRPr="00DC4B6E">
        <w:rPr>
          <w:sz w:val="28"/>
          <w:szCs w:val="28"/>
          <w:lang w:val="uk-UA"/>
        </w:rPr>
        <w:t>полового</w:t>
      </w:r>
      <w:r w:rsidR="006527A6">
        <w:rPr>
          <w:sz w:val="28"/>
          <w:szCs w:val="28"/>
          <w:lang w:val="uk-UA"/>
        </w:rPr>
        <w:t xml:space="preserve"> </w:t>
      </w:r>
      <w:r w:rsidR="00286FBD" w:rsidRPr="00DC4B6E">
        <w:rPr>
          <w:sz w:val="28"/>
          <w:szCs w:val="28"/>
          <w:lang w:val="uk-UA"/>
        </w:rPr>
        <w:t>созревания</w:t>
      </w:r>
      <w:r w:rsidR="008F68EF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8F68EF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8F68EF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F68EF" w:rsidRPr="00DC4B6E">
        <w:rPr>
          <w:sz w:val="28"/>
          <w:szCs w:val="28"/>
          <w:lang w:val="uk-UA"/>
        </w:rPr>
        <w:t>56,9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имело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место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увеличение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</w:t>
      </w:r>
      <w:r w:rsidR="00294803" w:rsidRPr="00DC4B6E">
        <w:rPr>
          <w:sz w:val="28"/>
          <w:szCs w:val="28"/>
          <w:lang w:val="uk-UA"/>
        </w:rPr>
        <w:t>итовидной</w:t>
      </w:r>
      <w:r w:rsidR="006527A6">
        <w:rPr>
          <w:sz w:val="28"/>
          <w:szCs w:val="28"/>
          <w:lang w:val="uk-UA"/>
        </w:rPr>
        <w:t xml:space="preserve"> </w:t>
      </w:r>
      <w:r w:rsidR="00294803" w:rsidRPr="00DC4B6E">
        <w:rPr>
          <w:sz w:val="28"/>
          <w:szCs w:val="28"/>
          <w:lang w:val="uk-UA"/>
        </w:rPr>
        <w:t>железы</w:t>
      </w:r>
      <w:r w:rsidR="004D06E3">
        <w:rPr>
          <w:sz w:val="28"/>
          <w:szCs w:val="28"/>
          <w:lang w:val="uk-UA"/>
        </w:rPr>
        <w:t xml:space="preserve"> </w:t>
      </w:r>
      <w:r w:rsidR="00294803" w:rsidRPr="00DC4B6E">
        <w:rPr>
          <w:sz w:val="28"/>
          <w:szCs w:val="28"/>
          <w:lang w:val="uk-UA"/>
        </w:rPr>
        <w:t>I</w:t>
      </w:r>
      <w:r w:rsidR="006527A6">
        <w:rPr>
          <w:sz w:val="28"/>
          <w:szCs w:val="28"/>
          <w:lang w:val="uk-UA"/>
        </w:rPr>
        <w:t xml:space="preserve"> </w:t>
      </w:r>
      <w:r w:rsidR="00294803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294803"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="00294803" w:rsidRPr="00DC4B6E">
        <w:rPr>
          <w:sz w:val="28"/>
          <w:szCs w:val="28"/>
          <w:lang w:val="uk-UA"/>
        </w:rPr>
        <w:t>степени</w:t>
      </w:r>
      <w:r w:rsidR="00A77259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Иследование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степени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отклонения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нормы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545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обследованных,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которые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имели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недостаточность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полового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развития,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показало,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что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71,8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мальчиков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имела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место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средния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умеренная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степень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недостаточности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28,2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больных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диагностировано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выраженную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степень.</w:t>
      </w:r>
      <w:r w:rsidR="006527A6">
        <w:rPr>
          <w:sz w:val="28"/>
          <w:szCs w:val="28"/>
          <w:lang w:val="uk-UA"/>
        </w:rPr>
        <w:t xml:space="preserve"> </w:t>
      </w:r>
      <w:r w:rsidR="000D60CA" w:rsidRPr="00DC4B6E">
        <w:rPr>
          <w:sz w:val="28"/>
          <w:szCs w:val="28"/>
          <w:lang w:val="uk-UA"/>
        </w:rPr>
        <w:t>Н</w:t>
      </w:r>
      <w:r w:rsidR="00C22EE4" w:rsidRPr="00DC4B6E">
        <w:rPr>
          <w:sz w:val="28"/>
          <w:szCs w:val="28"/>
          <w:lang w:val="uk-UA"/>
        </w:rPr>
        <w:t>езависи</w:t>
      </w:r>
      <w:r w:rsidR="000D60CA" w:rsidRPr="00DC4B6E">
        <w:rPr>
          <w:sz w:val="28"/>
          <w:szCs w:val="28"/>
          <w:lang w:val="uk-UA"/>
        </w:rPr>
        <w:t>мо</w:t>
      </w:r>
      <w:r w:rsidR="006527A6">
        <w:rPr>
          <w:sz w:val="28"/>
          <w:szCs w:val="28"/>
          <w:lang w:val="uk-UA"/>
        </w:rPr>
        <w:t xml:space="preserve"> </w:t>
      </w:r>
      <w:r w:rsidR="000D60CA" w:rsidRPr="00DC4B6E">
        <w:rPr>
          <w:sz w:val="28"/>
          <w:szCs w:val="28"/>
          <w:lang w:val="uk-UA"/>
        </w:rPr>
        <w:t>от</w:t>
      </w:r>
      <w:r w:rsidR="006527A6">
        <w:rPr>
          <w:sz w:val="28"/>
          <w:szCs w:val="28"/>
          <w:lang w:val="uk-UA"/>
        </w:rPr>
        <w:t xml:space="preserve"> </w:t>
      </w:r>
      <w:r w:rsidR="000D60CA" w:rsidRPr="00DC4B6E">
        <w:rPr>
          <w:sz w:val="28"/>
          <w:szCs w:val="28"/>
        </w:rPr>
        <w:t>варианта</w:t>
      </w:r>
      <w:r w:rsidR="006527A6">
        <w:rPr>
          <w:sz w:val="28"/>
          <w:szCs w:val="28"/>
          <w:lang w:val="uk-UA"/>
        </w:rPr>
        <w:t xml:space="preserve"> </w:t>
      </w:r>
      <w:r w:rsidR="000D60CA" w:rsidRPr="00DC4B6E">
        <w:rPr>
          <w:sz w:val="28"/>
          <w:szCs w:val="28"/>
        </w:rPr>
        <w:t>гипогонадизма</w:t>
      </w:r>
      <w:r w:rsidR="006527A6">
        <w:rPr>
          <w:sz w:val="28"/>
          <w:szCs w:val="28"/>
        </w:rPr>
        <w:t xml:space="preserve"> </w:t>
      </w:r>
      <w:r w:rsidR="000D60CA" w:rsidRPr="00DC4B6E">
        <w:rPr>
          <w:sz w:val="28"/>
          <w:szCs w:val="28"/>
          <w:lang w:val="uk-UA"/>
        </w:rPr>
        <w:t>у</w:t>
      </w:r>
      <w:r w:rsidRPr="00DC4B6E">
        <w:rPr>
          <w:sz w:val="28"/>
          <w:szCs w:val="28"/>
          <w:lang w:val="uk-UA"/>
        </w:rPr>
        <w:t>становлено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снижени</w:t>
      </w:r>
      <w:r w:rsidR="00B12B09" w:rsidRPr="00DC4B6E">
        <w:rPr>
          <w:sz w:val="28"/>
          <w:szCs w:val="28"/>
          <w:lang w:val="uk-UA"/>
        </w:rPr>
        <w:t>е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экскреции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йода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мочой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различной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степени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фоне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повышенных</w:t>
      </w:r>
      <w:r w:rsidR="006527A6">
        <w:rPr>
          <w:sz w:val="28"/>
          <w:szCs w:val="28"/>
          <w:lang w:val="uk-UA"/>
        </w:rPr>
        <w:t xml:space="preserve"> </w:t>
      </w:r>
      <w:r w:rsidR="00163758"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ТТГ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A2D8D" w:rsidRPr="00DC4B6E">
        <w:rPr>
          <w:sz w:val="28"/>
          <w:szCs w:val="28"/>
          <w:lang w:val="uk-UA"/>
        </w:rPr>
        <w:t>62,3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ис</w:t>
      </w:r>
      <w:r w:rsidR="00CD38F8" w:rsidRPr="00DC4B6E">
        <w:rPr>
          <w:sz w:val="28"/>
          <w:szCs w:val="28"/>
          <w:lang w:val="uk-UA"/>
        </w:rPr>
        <w:t>с</w:t>
      </w:r>
      <w:r w:rsidR="008F7045" w:rsidRPr="00DC4B6E">
        <w:rPr>
          <w:sz w:val="28"/>
          <w:szCs w:val="28"/>
          <w:lang w:val="uk-UA"/>
        </w:rPr>
        <w:t>ледуемых,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а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43,5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%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из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них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снижение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уровней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Т</w:t>
      </w:r>
      <w:r w:rsidR="008F7045" w:rsidRPr="00DC4B6E">
        <w:rPr>
          <w:sz w:val="28"/>
          <w:szCs w:val="28"/>
          <w:vertAlign w:val="subscript"/>
          <w:lang w:val="uk-UA"/>
        </w:rPr>
        <w:t>3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8F7045" w:rsidRPr="00DC4B6E">
        <w:rPr>
          <w:sz w:val="28"/>
          <w:szCs w:val="28"/>
          <w:vertAlign w:val="subscript"/>
          <w:lang w:val="uk-UA"/>
        </w:rPr>
        <w:t>свободного</w:t>
      </w:r>
      <w:r w:rsidR="008F7045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Т</w:t>
      </w:r>
      <w:r w:rsidR="008F7045" w:rsidRPr="00DC4B6E">
        <w:rPr>
          <w:sz w:val="28"/>
          <w:szCs w:val="28"/>
          <w:vertAlign w:val="subscript"/>
          <w:lang w:val="uk-UA"/>
        </w:rPr>
        <w:t>4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8F7045" w:rsidRPr="00DC4B6E">
        <w:rPr>
          <w:sz w:val="28"/>
          <w:szCs w:val="28"/>
          <w:vertAlign w:val="subscript"/>
          <w:lang w:val="uk-UA"/>
        </w:rPr>
        <w:t>свободного</w:t>
      </w:r>
      <w:r w:rsidR="006527A6">
        <w:rPr>
          <w:sz w:val="28"/>
          <w:szCs w:val="28"/>
          <w:lang w:val="uk-UA"/>
        </w:rPr>
        <w:t xml:space="preserve"> </w:t>
      </w:r>
      <w:r w:rsidR="00710D7D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710D7D" w:rsidRPr="00DC4B6E">
        <w:rPr>
          <w:sz w:val="28"/>
          <w:szCs w:val="28"/>
          <w:lang w:val="uk-UA"/>
        </w:rPr>
        <w:t>сыворо</w:t>
      </w:r>
      <w:r w:rsidR="008F7045" w:rsidRPr="00DC4B6E">
        <w:rPr>
          <w:sz w:val="28"/>
          <w:szCs w:val="28"/>
          <w:lang w:val="uk-UA"/>
        </w:rPr>
        <w:t>тке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крови,</w:t>
      </w:r>
      <w:r w:rsidR="006527A6">
        <w:rPr>
          <w:sz w:val="28"/>
          <w:szCs w:val="28"/>
          <w:lang w:val="uk-UA"/>
        </w:rPr>
        <w:t xml:space="preserve"> </w:t>
      </w:r>
      <w:r w:rsidR="008F7045" w:rsidRPr="00DC4B6E">
        <w:rPr>
          <w:sz w:val="28"/>
          <w:szCs w:val="28"/>
          <w:lang w:val="uk-UA"/>
        </w:rPr>
        <w:t>что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свидетельствует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</w:t>
      </w:r>
      <w:r w:rsidR="00AA769A" w:rsidRPr="00DC4B6E">
        <w:rPr>
          <w:sz w:val="28"/>
          <w:szCs w:val="28"/>
          <w:lang w:val="uk-UA"/>
        </w:rPr>
        <w:t>аличии</w:t>
      </w:r>
      <w:r w:rsidR="006527A6">
        <w:rPr>
          <w:sz w:val="28"/>
          <w:szCs w:val="28"/>
          <w:lang w:val="uk-UA"/>
        </w:rPr>
        <w:t xml:space="preserve"> </w:t>
      </w:r>
      <w:r w:rsidR="00AA769A" w:rsidRPr="00DC4B6E">
        <w:rPr>
          <w:sz w:val="28"/>
          <w:szCs w:val="28"/>
          <w:lang w:val="uk-UA"/>
        </w:rPr>
        <w:t>у</w:t>
      </w:r>
      <w:r w:rsidR="006527A6">
        <w:rPr>
          <w:sz w:val="28"/>
          <w:szCs w:val="28"/>
          <w:lang w:val="uk-UA"/>
        </w:rPr>
        <w:t xml:space="preserve"> </w:t>
      </w:r>
      <w:r w:rsidR="00AA769A" w:rsidRPr="00DC4B6E">
        <w:rPr>
          <w:sz w:val="28"/>
          <w:szCs w:val="28"/>
          <w:lang w:val="uk-UA"/>
        </w:rPr>
        <w:t>этих</w:t>
      </w:r>
      <w:r w:rsidR="006527A6">
        <w:rPr>
          <w:sz w:val="28"/>
          <w:szCs w:val="28"/>
          <w:lang w:val="uk-UA"/>
        </w:rPr>
        <w:t xml:space="preserve"> </w:t>
      </w:r>
      <w:r w:rsidR="00AA769A" w:rsidRPr="00DC4B6E">
        <w:rPr>
          <w:sz w:val="28"/>
          <w:szCs w:val="28"/>
          <w:lang w:val="uk-UA"/>
        </w:rPr>
        <w:t>больных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коррелятивного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гипогонадизма,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обусловленного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гипофункцией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щитовидной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железы.</w:t>
      </w:r>
    </w:p>
    <w:p w:rsidR="002652BF" w:rsidRPr="00DC4B6E" w:rsidRDefault="002652BF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Особенности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клинического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течения</w:t>
      </w:r>
      <w:r w:rsidR="006527A6">
        <w:rPr>
          <w:sz w:val="28"/>
          <w:szCs w:val="28"/>
          <w:lang w:val="uk-UA"/>
        </w:rPr>
        <w:t xml:space="preserve"> </w:t>
      </w:r>
      <w:r w:rsidR="00F508D3" w:rsidRPr="00DC4B6E">
        <w:rPr>
          <w:sz w:val="28"/>
          <w:szCs w:val="28"/>
          <w:lang w:val="uk-UA"/>
        </w:rPr>
        <w:t>коррелятивного</w:t>
      </w:r>
      <w:r w:rsidR="006527A6">
        <w:rPr>
          <w:sz w:val="28"/>
          <w:szCs w:val="28"/>
          <w:lang w:val="uk-UA"/>
        </w:rPr>
        <w:t xml:space="preserve"> </w:t>
      </w:r>
      <w:r w:rsidR="00F508D3" w:rsidRPr="00DC4B6E">
        <w:rPr>
          <w:sz w:val="28"/>
          <w:szCs w:val="28"/>
          <w:lang w:val="uk-UA"/>
        </w:rPr>
        <w:t>гипогонадизма</w:t>
      </w:r>
      <w:r w:rsidR="006527A6">
        <w:rPr>
          <w:sz w:val="28"/>
          <w:szCs w:val="28"/>
          <w:lang w:val="uk-UA"/>
        </w:rPr>
        <w:t xml:space="preserve"> </w:t>
      </w:r>
      <w:r w:rsidR="004D1230" w:rsidRPr="00DC4B6E">
        <w:rPr>
          <w:sz w:val="28"/>
          <w:szCs w:val="28"/>
          <w:lang w:val="uk-UA"/>
        </w:rPr>
        <w:t>у</w:t>
      </w:r>
      <w:r w:rsidR="004D06E3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мальчиков,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жителей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региона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дефицита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заключаются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выраженном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отставании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развития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первичных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вторичных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половых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признаков,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низкорослости,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FA2BB6" w:rsidRPr="00DC4B6E">
        <w:rPr>
          <w:sz w:val="28"/>
          <w:szCs w:val="28"/>
          <w:lang w:val="uk-UA"/>
        </w:rPr>
        <w:t>ф</w:t>
      </w:r>
      <w:r w:rsidR="002D6DA6" w:rsidRPr="00DC4B6E">
        <w:rPr>
          <w:sz w:val="28"/>
          <w:szCs w:val="28"/>
          <w:lang w:val="uk-UA"/>
        </w:rPr>
        <w:t>оне</w:t>
      </w:r>
      <w:r w:rsidR="006527A6">
        <w:rPr>
          <w:sz w:val="28"/>
          <w:szCs w:val="28"/>
          <w:lang w:val="uk-UA"/>
        </w:rPr>
        <w:t xml:space="preserve"> </w:t>
      </w:r>
      <w:r w:rsidR="002D6DA6" w:rsidRPr="00DC4B6E">
        <w:rPr>
          <w:sz w:val="28"/>
          <w:szCs w:val="28"/>
          <w:lang w:val="uk-UA"/>
        </w:rPr>
        <w:t>отставания</w:t>
      </w:r>
      <w:r w:rsidR="006527A6">
        <w:rPr>
          <w:sz w:val="28"/>
          <w:szCs w:val="28"/>
          <w:lang w:val="uk-UA"/>
        </w:rPr>
        <w:t xml:space="preserve"> </w:t>
      </w:r>
      <w:r w:rsidR="002D6DA6" w:rsidRPr="00DC4B6E">
        <w:rPr>
          <w:sz w:val="28"/>
          <w:szCs w:val="28"/>
          <w:lang w:val="uk-UA"/>
        </w:rPr>
        <w:t>осификации</w:t>
      </w:r>
      <w:r w:rsidR="006527A6">
        <w:rPr>
          <w:sz w:val="28"/>
          <w:szCs w:val="28"/>
          <w:lang w:val="uk-UA"/>
        </w:rPr>
        <w:t xml:space="preserve"> </w:t>
      </w:r>
      <w:r w:rsidR="002D6DA6" w:rsidRPr="00DC4B6E">
        <w:rPr>
          <w:sz w:val="28"/>
          <w:szCs w:val="28"/>
          <w:lang w:val="uk-UA"/>
        </w:rPr>
        <w:t>скелета</w:t>
      </w:r>
      <w:r w:rsidR="00A913A3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инфантильном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морфотипе,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снижении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уровней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Т,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нарушении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соотношения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Т/ЛГ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ниже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величин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сравнении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показателями</w:t>
      </w:r>
      <w:r w:rsidR="006527A6">
        <w:rPr>
          <w:sz w:val="28"/>
          <w:szCs w:val="28"/>
          <w:lang w:val="uk-UA"/>
        </w:rPr>
        <w:t xml:space="preserve"> </w:t>
      </w:r>
      <w:r w:rsidR="00F345B7" w:rsidRPr="00DC4B6E">
        <w:rPr>
          <w:sz w:val="28"/>
          <w:szCs w:val="28"/>
          <w:lang w:val="uk-UA"/>
        </w:rPr>
        <w:t>практически</w:t>
      </w:r>
      <w:r w:rsidR="006527A6">
        <w:rPr>
          <w:sz w:val="28"/>
          <w:szCs w:val="28"/>
          <w:lang w:val="uk-UA"/>
        </w:rPr>
        <w:t xml:space="preserve"> </w:t>
      </w:r>
      <w:r w:rsidR="002C753D" w:rsidRPr="00DC4B6E">
        <w:rPr>
          <w:sz w:val="28"/>
          <w:szCs w:val="28"/>
          <w:lang w:val="uk-UA"/>
        </w:rPr>
        <w:t>здоровых</w:t>
      </w:r>
      <w:r w:rsidR="006527A6">
        <w:rPr>
          <w:sz w:val="28"/>
          <w:szCs w:val="28"/>
          <w:lang w:val="uk-UA"/>
        </w:rPr>
        <w:t xml:space="preserve"> </w:t>
      </w:r>
      <w:r w:rsidR="00AD3083" w:rsidRPr="00DC4B6E">
        <w:rPr>
          <w:sz w:val="28"/>
          <w:szCs w:val="28"/>
          <w:lang w:val="uk-UA"/>
        </w:rPr>
        <w:t>м</w:t>
      </w:r>
      <w:r w:rsidR="002C753D" w:rsidRPr="00DC4B6E">
        <w:rPr>
          <w:sz w:val="28"/>
          <w:szCs w:val="28"/>
          <w:lang w:val="uk-UA"/>
        </w:rPr>
        <w:t>альчиков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того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же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в</w:t>
      </w:r>
      <w:r w:rsidR="004A6901" w:rsidRPr="00DC4B6E">
        <w:rPr>
          <w:sz w:val="28"/>
          <w:szCs w:val="28"/>
          <w:lang w:val="uk-UA"/>
        </w:rPr>
        <w:t>озраста,</w:t>
      </w:r>
      <w:r w:rsidR="006527A6">
        <w:rPr>
          <w:sz w:val="28"/>
          <w:szCs w:val="28"/>
          <w:lang w:val="uk-UA"/>
        </w:rPr>
        <w:t xml:space="preserve"> </w:t>
      </w:r>
      <w:r w:rsidR="004A6901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4A6901" w:rsidRPr="00DC4B6E">
        <w:rPr>
          <w:sz w:val="28"/>
          <w:szCs w:val="28"/>
          <w:lang w:val="uk-UA"/>
        </w:rPr>
        <w:t>наличи</w:t>
      </w:r>
      <w:r w:rsidR="00D12E69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признаков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манифестного</w:t>
      </w:r>
      <w:r w:rsidR="006527A6">
        <w:rPr>
          <w:sz w:val="28"/>
          <w:szCs w:val="28"/>
          <w:lang w:val="uk-UA"/>
        </w:rPr>
        <w:t xml:space="preserve"> </w:t>
      </w:r>
      <w:r w:rsidR="00D12E69" w:rsidRPr="00DC4B6E">
        <w:rPr>
          <w:sz w:val="28"/>
          <w:szCs w:val="28"/>
          <w:lang w:val="uk-UA"/>
        </w:rPr>
        <w:t>гипотиреоза.</w:t>
      </w:r>
    </w:p>
    <w:p w:rsidR="0000449E" w:rsidRPr="00DC4B6E" w:rsidRDefault="00D11C95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Лечение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больных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нарушениями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пубертата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условиях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йодного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дефицита</w:t>
      </w:r>
      <w:r w:rsidR="006527A6">
        <w:rPr>
          <w:sz w:val="28"/>
          <w:szCs w:val="28"/>
          <w:lang w:val="uk-UA"/>
        </w:rPr>
        <w:t xml:space="preserve"> </w:t>
      </w:r>
      <w:r w:rsidR="005F21E4" w:rsidRPr="00DC4B6E">
        <w:rPr>
          <w:sz w:val="28"/>
          <w:szCs w:val="28"/>
          <w:lang w:val="uk-UA"/>
        </w:rPr>
        <w:t>долж</w:t>
      </w:r>
      <w:r w:rsidR="004A6901" w:rsidRPr="00DC4B6E">
        <w:rPr>
          <w:sz w:val="28"/>
          <w:szCs w:val="28"/>
          <w:lang w:val="uk-UA"/>
        </w:rPr>
        <w:t>но</w:t>
      </w:r>
      <w:r w:rsidR="006527A6">
        <w:rPr>
          <w:sz w:val="28"/>
          <w:szCs w:val="28"/>
          <w:lang w:val="uk-UA"/>
        </w:rPr>
        <w:t xml:space="preserve"> </w:t>
      </w:r>
      <w:r w:rsidR="004A6901" w:rsidRPr="00DC4B6E">
        <w:rPr>
          <w:sz w:val="28"/>
          <w:szCs w:val="28"/>
          <w:lang w:val="uk-UA"/>
        </w:rPr>
        <w:t>бы</w:t>
      </w:r>
      <w:r w:rsidR="002974DF" w:rsidRPr="00DC4B6E">
        <w:rPr>
          <w:sz w:val="28"/>
          <w:szCs w:val="28"/>
          <w:lang w:val="uk-UA"/>
        </w:rPr>
        <w:t>ть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комплексным,</w:t>
      </w:r>
      <w:r w:rsidR="006527A6">
        <w:rPr>
          <w:sz w:val="28"/>
          <w:szCs w:val="28"/>
          <w:lang w:val="uk-UA"/>
        </w:rPr>
        <w:t xml:space="preserve"> </w:t>
      </w:r>
      <w:r w:rsidR="002974DF" w:rsidRPr="00DC4B6E">
        <w:rPr>
          <w:sz w:val="28"/>
          <w:szCs w:val="28"/>
          <w:lang w:val="uk-UA"/>
        </w:rPr>
        <w:t>дифференцирова</w:t>
      </w:r>
      <w:r w:rsidR="009133E6" w:rsidRPr="00DC4B6E">
        <w:rPr>
          <w:sz w:val="28"/>
          <w:szCs w:val="28"/>
          <w:lang w:val="uk-UA"/>
        </w:rPr>
        <w:t>н</w:t>
      </w:r>
      <w:r w:rsidR="002974DF" w:rsidRPr="00DC4B6E">
        <w:rPr>
          <w:sz w:val="28"/>
          <w:szCs w:val="28"/>
          <w:lang w:val="uk-UA"/>
        </w:rPr>
        <w:t>ным</w:t>
      </w:r>
      <w:r w:rsidR="00F465B7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назначеним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лечебной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физкультуры</w:t>
      </w:r>
      <w:r w:rsidR="000D2D58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9133E6" w:rsidRPr="00DC4B6E">
        <w:rPr>
          <w:sz w:val="28"/>
          <w:szCs w:val="28"/>
          <w:lang w:val="uk-UA"/>
        </w:rPr>
        <w:t>испол</w:t>
      </w:r>
      <w:r w:rsidR="00911011" w:rsidRPr="00DC4B6E">
        <w:rPr>
          <w:sz w:val="28"/>
          <w:szCs w:val="28"/>
          <w:lang w:val="uk-UA"/>
        </w:rPr>
        <w:t>ьзованием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рационе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питания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йодирова</w:t>
      </w:r>
      <w:r w:rsidR="000F3811" w:rsidRPr="00DC4B6E">
        <w:rPr>
          <w:sz w:val="28"/>
          <w:szCs w:val="28"/>
          <w:lang w:val="uk-UA"/>
        </w:rPr>
        <w:t>н</w:t>
      </w:r>
      <w:r w:rsidR="00911011" w:rsidRPr="00DC4B6E">
        <w:rPr>
          <w:sz w:val="28"/>
          <w:szCs w:val="28"/>
          <w:lang w:val="uk-UA"/>
        </w:rPr>
        <w:t>ной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соли,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продуктов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моря,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пищи</w:t>
      </w:r>
      <w:r w:rsidR="00BD5D7B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BD5D7B" w:rsidRPr="00DC4B6E">
        <w:rPr>
          <w:sz w:val="28"/>
          <w:szCs w:val="28"/>
          <w:lang w:val="uk-UA"/>
        </w:rPr>
        <w:t>бо</w:t>
      </w:r>
      <w:r w:rsidR="00911011" w:rsidRPr="00DC4B6E">
        <w:rPr>
          <w:sz w:val="28"/>
          <w:szCs w:val="28"/>
          <w:lang w:val="uk-UA"/>
        </w:rPr>
        <w:t>гатой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белками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="00911011" w:rsidRPr="00DC4B6E">
        <w:rPr>
          <w:sz w:val="28"/>
          <w:szCs w:val="28"/>
          <w:lang w:val="uk-UA"/>
        </w:rPr>
        <w:t>витаминами</w:t>
      </w:r>
      <w:r w:rsidR="005F21E4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Наравне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с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патогенетической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терапией</w:t>
      </w:r>
      <w:r w:rsidR="006E4C20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направленной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на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нормализацию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п</w:t>
      </w:r>
      <w:r w:rsidR="00AD6D25" w:rsidRPr="00DC4B6E">
        <w:rPr>
          <w:sz w:val="28"/>
          <w:szCs w:val="28"/>
          <w:lang w:val="uk-UA"/>
        </w:rPr>
        <w:t>арамертов</w:t>
      </w:r>
      <w:r w:rsidR="006527A6">
        <w:rPr>
          <w:sz w:val="28"/>
          <w:szCs w:val="28"/>
          <w:lang w:val="uk-UA"/>
        </w:rPr>
        <w:t xml:space="preserve"> </w:t>
      </w:r>
      <w:r w:rsidR="00AD6D25" w:rsidRPr="00DC4B6E">
        <w:rPr>
          <w:sz w:val="28"/>
          <w:szCs w:val="28"/>
          <w:lang w:val="uk-UA"/>
        </w:rPr>
        <w:t>полового</w:t>
      </w:r>
      <w:r w:rsidR="006527A6">
        <w:rPr>
          <w:sz w:val="28"/>
          <w:szCs w:val="28"/>
          <w:lang w:val="uk-UA"/>
        </w:rPr>
        <w:t xml:space="preserve"> </w:t>
      </w:r>
      <w:r w:rsidR="00AD6D25" w:rsidRPr="00DC4B6E">
        <w:rPr>
          <w:sz w:val="28"/>
          <w:szCs w:val="28"/>
          <w:lang w:val="uk-UA"/>
        </w:rPr>
        <w:t>развития,</w:t>
      </w:r>
      <w:r w:rsidR="006527A6">
        <w:rPr>
          <w:sz w:val="28"/>
          <w:szCs w:val="28"/>
          <w:lang w:val="uk-UA"/>
        </w:rPr>
        <w:t xml:space="preserve"> </w:t>
      </w:r>
      <w:r w:rsidR="00AD6D25" w:rsidRPr="00DC4B6E">
        <w:rPr>
          <w:sz w:val="28"/>
          <w:szCs w:val="28"/>
          <w:lang w:val="uk-UA"/>
        </w:rPr>
        <w:t>не</w:t>
      </w:r>
      <w:r w:rsidR="005D640F" w:rsidRPr="00DC4B6E">
        <w:rPr>
          <w:sz w:val="28"/>
          <w:szCs w:val="28"/>
          <w:lang w:val="uk-UA"/>
        </w:rPr>
        <w:t>обходимо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назначать</w:t>
      </w:r>
      <w:r w:rsidR="006527A6">
        <w:rPr>
          <w:sz w:val="28"/>
          <w:szCs w:val="28"/>
          <w:lang w:val="uk-UA"/>
        </w:rPr>
        <w:t xml:space="preserve"> </w:t>
      </w:r>
      <w:r w:rsidR="00D64DBB" w:rsidRPr="00DC4B6E">
        <w:rPr>
          <w:sz w:val="28"/>
          <w:szCs w:val="28"/>
          <w:lang w:val="uk-UA"/>
        </w:rPr>
        <w:t>препараты</w:t>
      </w:r>
      <w:r w:rsidR="006527A6">
        <w:rPr>
          <w:sz w:val="28"/>
          <w:szCs w:val="28"/>
          <w:lang w:val="uk-UA"/>
        </w:rPr>
        <w:t xml:space="preserve"> </w:t>
      </w:r>
      <w:r w:rsidR="00D64DBB" w:rsidRPr="00DC4B6E">
        <w:rPr>
          <w:sz w:val="28"/>
          <w:szCs w:val="28"/>
          <w:lang w:val="uk-UA"/>
        </w:rPr>
        <w:t>калия</w:t>
      </w:r>
      <w:r w:rsidR="006527A6">
        <w:rPr>
          <w:sz w:val="28"/>
          <w:szCs w:val="28"/>
          <w:lang w:val="uk-UA"/>
        </w:rPr>
        <w:t xml:space="preserve"> </w:t>
      </w:r>
      <w:r w:rsidR="00D64DBB" w:rsidRPr="00DC4B6E">
        <w:rPr>
          <w:sz w:val="28"/>
          <w:szCs w:val="28"/>
          <w:lang w:val="uk-UA"/>
        </w:rPr>
        <w:t>йодида</w:t>
      </w:r>
      <w:r w:rsidR="006527A6">
        <w:rPr>
          <w:sz w:val="28"/>
          <w:szCs w:val="28"/>
          <w:lang w:val="uk-UA"/>
        </w:rPr>
        <w:t xml:space="preserve"> </w:t>
      </w:r>
      <w:r w:rsidR="00D64DBB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1D59B9" w:rsidRPr="00DC4B6E">
        <w:rPr>
          <w:sz w:val="28"/>
          <w:szCs w:val="28"/>
          <w:lang w:val="uk-UA"/>
        </w:rPr>
        <w:t>150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мкг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в</w:t>
      </w:r>
      <w:r w:rsidR="006527A6">
        <w:rPr>
          <w:sz w:val="28"/>
          <w:szCs w:val="28"/>
          <w:lang w:val="uk-UA"/>
        </w:rPr>
        <w:t xml:space="preserve"> </w:t>
      </w:r>
      <w:r w:rsidR="005D640F" w:rsidRPr="00DC4B6E">
        <w:rPr>
          <w:sz w:val="28"/>
          <w:szCs w:val="28"/>
          <w:lang w:val="uk-UA"/>
        </w:rPr>
        <w:t>сутки.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uk-UA"/>
        </w:rPr>
        <w:t>При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uk-UA"/>
        </w:rPr>
        <w:t>констатации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uk-UA"/>
        </w:rPr>
        <w:t>манифестного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uk-UA"/>
        </w:rPr>
        <w:t>гипотиреоза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E426BF" w:rsidRPr="00DC4B6E">
        <w:rPr>
          <w:sz w:val="28"/>
          <w:szCs w:val="28"/>
          <w:lang w:val="en-US"/>
        </w:rPr>
        <w:t>L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тироксин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50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мкг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в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сутки.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У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больных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коррелятивным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гипогон</w:t>
      </w:r>
      <w:r w:rsidR="00310B09" w:rsidRPr="00DC4B6E">
        <w:rPr>
          <w:sz w:val="28"/>
          <w:szCs w:val="28"/>
        </w:rPr>
        <w:t>адизмом</w:t>
      </w:r>
      <w:r w:rsidR="006527A6">
        <w:rPr>
          <w:sz w:val="28"/>
          <w:szCs w:val="28"/>
        </w:rPr>
        <w:t xml:space="preserve"> </w:t>
      </w:r>
      <w:r w:rsidR="00310B09" w:rsidRPr="00DC4B6E">
        <w:rPr>
          <w:sz w:val="28"/>
          <w:szCs w:val="28"/>
        </w:rPr>
        <w:t>эти</w:t>
      </w:r>
      <w:r w:rsidR="006527A6">
        <w:rPr>
          <w:sz w:val="28"/>
          <w:szCs w:val="28"/>
        </w:rPr>
        <w:t xml:space="preserve"> </w:t>
      </w:r>
      <w:r w:rsidR="00310B09" w:rsidRPr="00DC4B6E">
        <w:rPr>
          <w:sz w:val="28"/>
          <w:szCs w:val="28"/>
        </w:rPr>
        <w:t>препараты</w:t>
      </w:r>
      <w:r w:rsidR="006527A6">
        <w:rPr>
          <w:sz w:val="28"/>
          <w:szCs w:val="28"/>
        </w:rPr>
        <w:t xml:space="preserve"> </w:t>
      </w:r>
      <w:r w:rsidR="00310B09" w:rsidRPr="00DC4B6E">
        <w:rPr>
          <w:sz w:val="28"/>
          <w:szCs w:val="28"/>
        </w:rPr>
        <w:t>применяют</w:t>
      </w:r>
      <w:r w:rsidR="00E426BF" w:rsidRPr="00DC4B6E">
        <w:rPr>
          <w:sz w:val="28"/>
          <w:szCs w:val="28"/>
        </w:rPr>
        <w:t>ся</w:t>
      </w:r>
      <w:r w:rsidR="006527A6">
        <w:rPr>
          <w:sz w:val="28"/>
          <w:szCs w:val="28"/>
        </w:rPr>
        <w:t xml:space="preserve"> </w:t>
      </w:r>
      <w:r w:rsidR="00E426BF" w:rsidRPr="00DC4B6E">
        <w:rPr>
          <w:sz w:val="28"/>
          <w:szCs w:val="28"/>
        </w:rPr>
        <w:t>постоянно.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При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других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вариантах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недостаточности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пубертата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препараты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калия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йодида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в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тех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же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дозах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назначаются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на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протяжении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одного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полтора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месяца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в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зависимости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от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базовой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терапии</w:t>
      </w:r>
      <w:r w:rsidR="006527A6">
        <w:rPr>
          <w:sz w:val="28"/>
          <w:szCs w:val="28"/>
        </w:rPr>
        <w:t xml:space="preserve"> </w:t>
      </w:r>
      <w:r w:rsidR="00E64226" w:rsidRPr="00DC4B6E">
        <w:rPr>
          <w:sz w:val="28"/>
          <w:szCs w:val="28"/>
        </w:rPr>
        <w:t>пубертатопатий.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Когда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у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данного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контингента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больных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отмечаются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признаки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латентного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гипотиреоза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(уровень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ТТГ</w:t>
      </w:r>
      <w:r w:rsidR="006527A6">
        <w:rPr>
          <w:sz w:val="28"/>
          <w:szCs w:val="28"/>
        </w:rPr>
        <w:t xml:space="preserve"> </w:t>
      </w:r>
      <w:r w:rsidR="0007441F" w:rsidRPr="00DC4B6E">
        <w:rPr>
          <w:sz w:val="28"/>
          <w:szCs w:val="28"/>
        </w:rPr>
        <w:t>&gt;</w:t>
      </w:r>
      <w:r w:rsidR="006527A6">
        <w:rPr>
          <w:sz w:val="28"/>
          <w:szCs w:val="28"/>
        </w:rPr>
        <w:t xml:space="preserve"> </w:t>
      </w:r>
      <w:r w:rsidR="00D139B2" w:rsidRPr="00DC4B6E">
        <w:rPr>
          <w:sz w:val="28"/>
          <w:szCs w:val="28"/>
        </w:rPr>
        <w:t>4,0</w:t>
      </w:r>
      <w:r w:rsidR="006527A6">
        <w:rPr>
          <w:sz w:val="28"/>
          <w:szCs w:val="28"/>
        </w:rPr>
        <w:t xml:space="preserve"> </w:t>
      </w:r>
      <w:r w:rsidR="00D139B2" w:rsidRPr="00DC4B6E">
        <w:rPr>
          <w:sz w:val="28"/>
          <w:szCs w:val="28"/>
        </w:rPr>
        <w:t>мМО/л)</w:t>
      </w:r>
      <w:r w:rsidR="006527A6">
        <w:rPr>
          <w:sz w:val="28"/>
          <w:szCs w:val="28"/>
        </w:rPr>
        <w:t xml:space="preserve"> </w:t>
      </w:r>
      <w:r w:rsidR="00F33696" w:rsidRPr="00DC4B6E">
        <w:rPr>
          <w:sz w:val="28"/>
          <w:szCs w:val="28"/>
        </w:rPr>
        <w:t>или</w:t>
      </w:r>
      <w:r w:rsidR="006527A6">
        <w:rPr>
          <w:sz w:val="28"/>
          <w:szCs w:val="28"/>
        </w:rPr>
        <w:t xml:space="preserve"> </w:t>
      </w:r>
      <w:r w:rsidR="00F33696" w:rsidRPr="00DC4B6E">
        <w:rPr>
          <w:sz w:val="28"/>
          <w:szCs w:val="28"/>
        </w:rPr>
        <w:t>имеет</w:t>
      </w:r>
      <w:r w:rsidR="006527A6">
        <w:rPr>
          <w:sz w:val="28"/>
          <w:szCs w:val="28"/>
        </w:rPr>
        <w:t xml:space="preserve"> </w:t>
      </w:r>
      <w:r w:rsidR="00F33696" w:rsidRPr="00DC4B6E">
        <w:rPr>
          <w:sz w:val="28"/>
          <w:szCs w:val="28"/>
        </w:rPr>
        <w:t>место</w:t>
      </w:r>
      <w:r w:rsidR="006527A6">
        <w:rPr>
          <w:sz w:val="28"/>
          <w:szCs w:val="28"/>
        </w:rPr>
        <w:t xml:space="preserve"> </w:t>
      </w:r>
      <w:r w:rsidR="00F33696" w:rsidRPr="00DC4B6E">
        <w:rPr>
          <w:sz w:val="28"/>
          <w:szCs w:val="28"/>
        </w:rPr>
        <w:t>зоб</w:t>
      </w:r>
      <w:r w:rsidR="006527A6">
        <w:rPr>
          <w:sz w:val="28"/>
          <w:szCs w:val="28"/>
        </w:rPr>
        <w:t xml:space="preserve"> </w:t>
      </w:r>
      <w:r w:rsidR="00F33696"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="00F33696"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  <w:lang w:val="uk-UA"/>
        </w:rPr>
        <w:t>степени</w:t>
      </w:r>
      <w:r w:rsidR="0066394F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  <w:lang w:val="uk-UA"/>
        </w:rPr>
        <w:t>также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  <w:lang w:val="uk-UA"/>
        </w:rPr>
        <w:t>назначается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  <w:lang w:val="en-US"/>
        </w:rPr>
        <w:t>L</w:t>
      </w:r>
      <w:r w:rsidR="006527A6">
        <w:rPr>
          <w:sz w:val="28"/>
          <w:szCs w:val="28"/>
          <w:lang w:val="uk-UA"/>
        </w:rPr>
        <w:t xml:space="preserve"> </w:t>
      </w:r>
      <w:r w:rsidR="00CD2AD6" w:rsidRPr="00DC4B6E">
        <w:rPr>
          <w:sz w:val="28"/>
          <w:szCs w:val="28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CD2AD6" w:rsidRPr="00DC4B6E">
        <w:rPr>
          <w:sz w:val="28"/>
          <w:szCs w:val="28"/>
        </w:rPr>
        <w:t>тироксин</w:t>
      </w:r>
      <w:r w:rsidR="006527A6">
        <w:rPr>
          <w:sz w:val="28"/>
          <w:szCs w:val="28"/>
          <w:lang w:val="uk-UA"/>
        </w:rPr>
        <w:t xml:space="preserve"> </w:t>
      </w:r>
      <w:r w:rsidR="00CD2AD6" w:rsidRPr="00DC4B6E">
        <w:rPr>
          <w:sz w:val="28"/>
          <w:szCs w:val="28"/>
        </w:rPr>
        <w:t>50</w:t>
      </w:r>
      <w:r w:rsidR="006527A6">
        <w:rPr>
          <w:sz w:val="28"/>
          <w:szCs w:val="28"/>
          <w:lang w:val="uk-UA"/>
        </w:rPr>
        <w:t xml:space="preserve"> </w:t>
      </w:r>
      <w:r w:rsidR="00B62B8A" w:rsidRPr="00DC4B6E">
        <w:rPr>
          <w:sz w:val="28"/>
          <w:szCs w:val="28"/>
        </w:rPr>
        <w:t>мкг</w:t>
      </w:r>
      <w:r w:rsidR="006527A6">
        <w:rPr>
          <w:sz w:val="28"/>
          <w:szCs w:val="28"/>
        </w:rPr>
        <w:t xml:space="preserve"> </w:t>
      </w:r>
      <w:r w:rsidR="00B62B8A" w:rsidRPr="00DC4B6E">
        <w:rPr>
          <w:sz w:val="28"/>
          <w:szCs w:val="28"/>
        </w:rPr>
        <w:t>в</w:t>
      </w:r>
      <w:r w:rsidR="006527A6">
        <w:rPr>
          <w:sz w:val="28"/>
          <w:szCs w:val="28"/>
        </w:rPr>
        <w:t xml:space="preserve"> </w:t>
      </w:r>
      <w:r w:rsidR="00B62B8A" w:rsidRPr="00DC4B6E">
        <w:rPr>
          <w:sz w:val="28"/>
          <w:szCs w:val="28"/>
        </w:rPr>
        <w:t>су</w:t>
      </w:r>
      <w:r w:rsidR="005B3535" w:rsidRPr="00DC4B6E">
        <w:rPr>
          <w:sz w:val="28"/>
          <w:szCs w:val="28"/>
        </w:rPr>
        <w:t>тки</w:t>
      </w:r>
      <w:r w:rsidR="006527A6">
        <w:rPr>
          <w:sz w:val="28"/>
          <w:szCs w:val="28"/>
        </w:rPr>
        <w:t xml:space="preserve"> </w:t>
      </w:r>
      <w:r w:rsidR="005B3535" w:rsidRPr="00DC4B6E">
        <w:rPr>
          <w:sz w:val="28"/>
          <w:szCs w:val="28"/>
        </w:rPr>
        <w:t>на</w:t>
      </w:r>
      <w:r w:rsidR="006527A6">
        <w:rPr>
          <w:sz w:val="28"/>
          <w:szCs w:val="28"/>
        </w:rPr>
        <w:t xml:space="preserve"> </w:t>
      </w:r>
      <w:r w:rsidR="005B3535" w:rsidRPr="00DC4B6E">
        <w:rPr>
          <w:sz w:val="28"/>
          <w:szCs w:val="28"/>
        </w:rPr>
        <w:t>период</w:t>
      </w:r>
      <w:r w:rsidR="006527A6">
        <w:rPr>
          <w:sz w:val="28"/>
          <w:szCs w:val="28"/>
        </w:rPr>
        <w:t xml:space="preserve"> </w:t>
      </w:r>
      <w:r w:rsidR="005B3535" w:rsidRPr="00DC4B6E">
        <w:rPr>
          <w:sz w:val="28"/>
          <w:szCs w:val="28"/>
        </w:rPr>
        <w:t>проведения</w:t>
      </w:r>
      <w:r w:rsidR="006527A6">
        <w:rPr>
          <w:sz w:val="28"/>
          <w:szCs w:val="28"/>
        </w:rPr>
        <w:t xml:space="preserve"> </w:t>
      </w:r>
      <w:r w:rsidR="005B3535" w:rsidRPr="00DC4B6E">
        <w:rPr>
          <w:sz w:val="28"/>
          <w:szCs w:val="28"/>
        </w:rPr>
        <w:t>соответ</w:t>
      </w:r>
      <w:r w:rsidR="00B62B8A" w:rsidRPr="00DC4B6E">
        <w:rPr>
          <w:sz w:val="28"/>
          <w:szCs w:val="28"/>
        </w:rPr>
        <w:t>ствующей</w:t>
      </w:r>
      <w:r w:rsidR="006527A6">
        <w:rPr>
          <w:sz w:val="28"/>
          <w:szCs w:val="28"/>
        </w:rPr>
        <w:t xml:space="preserve"> </w:t>
      </w:r>
      <w:r w:rsidR="00B62B8A" w:rsidRPr="00DC4B6E">
        <w:rPr>
          <w:sz w:val="28"/>
          <w:szCs w:val="28"/>
        </w:rPr>
        <w:t>базовой</w:t>
      </w:r>
      <w:r w:rsidR="006527A6">
        <w:rPr>
          <w:sz w:val="28"/>
          <w:szCs w:val="28"/>
        </w:rPr>
        <w:t xml:space="preserve"> </w:t>
      </w:r>
      <w:r w:rsidR="00B62B8A" w:rsidRPr="00DC4B6E">
        <w:rPr>
          <w:sz w:val="28"/>
          <w:szCs w:val="28"/>
        </w:rPr>
        <w:t>терапии.</w:t>
      </w:r>
      <w:r w:rsidR="006527A6">
        <w:rPr>
          <w:sz w:val="28"/>
          <w:szCs w:val="28"/>
          <w:lang w:val="uk-UA"/>
        </w:rPr>
        <w:t xml:space="preserve"> </w:t>
      </w:r>
      <w:r w:rsidR="0000449E" w:rsidRPr="00DC4B6E">
        <w:rPr>
          <w:sz w:val="28"/>
          <w:szCs w:val="28"/>
        </w:rPr>
        <w:t>Лечение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препаратами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ХГ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необходимо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начинать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с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(13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14)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летнего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возраста,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а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тестостерона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с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14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15</w:t>
      </w:r>
      <w:r w:rsidR="006527A6">
        <w:rPr>
          <w:sz w:val="28"/>
          <w:szCs w:val="28"/>
        </w:rPr>
        <w:t xml:space="preserve"> </w:t>
      </w:r>
      <w:r w:rsidR="0000449E" w:rsidRPr="00DC4B6E">
        <w:rPr>
          <w:sz w:val="28"/>
          <w:szCs w:val="28"/>
        </w:rPr>
        <w:t>лет.</w:t>
      </w:r>
      <w:r w:rsidR="006527A6">
        <w:rPr>
          <w:sz w:val="28"/>
          <w:szCs w:val="28"/>
          <w:lang w:val="uk-UA"/>
        </w:rPr>
        <w:t xml:space="preserve"> </w:t>
      </w:r>
    </w:p>
    <w:p w:rsidR="009012E6" w:rsidRPr="00DC4B6E" w:rsidRDefault="000F1EF3" w:rsidP="00DC4B6E">
      <w:pPr>
        <w:spacing w:line="360" w:lineRule="auto"/>
        <w:ind w:firstLine="720"/>
        <w:jc w:val="both"/>
        <w:rPr>
          <w:sz w:val="28"/>
          <w:szCs w:val="28"/>
        </w:rPr>
      </w:pPr>
      <w:r w:rsidRPr="00DC4B6E">
        <w:rPr>
          <w:sz w:val="28"/>
          <w:szCs w:val="28"/>
        </w:rPr>
        <w:t>При</w:t>
      </w:r>
      <w:r w:rsidR="006527A6">
        <w:rPr>
          <w:sz w:val="28"/>
          <w:szCs w:val="28"/>
        </w:rPr>
        <w:t xml:space="preserve"> </w:t>
      </w:r>
      <w:r w:rsidRPr="00DC4B6E">
        <w:rPr>
          <w:sz w:val="28"/>
          <w:szCs w:val="28"/>
        </w:rPr>
        <w:t>этом,</w:t>
      </w:r>
      <w:r w:rsidR="006527A6">
        <w:rPr>
          <w:sz w:val="28"/>
          <w:szCs w:val="28"/>
        </w:rPr>
        <w:t xml:space="preserve"> </w:t>
      </w:r>
      <w:r w:rsidRPr="00DC4B6E">
        <w:rPr>
          <w:sz w:val="28"/>
          <w:szCs w:val="28"/>
        </w:rPr>
        <w:t>больным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коррелятивным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гипогонадизмом,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ПДГ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и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ФНП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необходимо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назначать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МГРТ,</w:t>
      </w:r>
      <w:r w:rsidR="006527A6">
        <w:rPr>
          <w:sz w:val="28"/>
          <w:szCs w:val="28"/>
        </w:rPr>
        <w:t xml:space="preserve"> </w:t>
      </w:r>
      <w:r w:rsidR="00630992" w:rsidRPr="00DC4B6E">
        <w:rPr>
          <w:sz w:val="28"/>
          <w:szCs w:val="28"/>
        </w:rPr>
        <w:t>а</w:t>
      </w:r>
      <w:r w:rsidR="006527A6">
        <w:rPr>
          <w:sz w:val="28"/>
          <w:szCs w:val="28"/>
        </w:rPr>
        <w:t xml:space="preserve"> </w:t>
      </w:r>
      <w:r w:rsidR="00D34019" w:rsidRPr="00DC4B6E">
        <w:rPr>
          <w:sz w:val="28"/>
          <w:szCs w:val="28"/>
          <w:lang w:val="uk-UA"/>
        </w:rPr>
        <w:t>пац</w:t>
      </w:r>
      <w:r w:rsidR="00D34019" w:rsidRPr="00DC4B6E">
        <w:rPr>
          <w:sz w:val="28"/>
          <w:szCs w:val="28"/>
        </w:rPr>
        <w:t>иентам</w:t>
      </w:r>
      <w:r w:rsidR="006527A6">
        <w:rPr>
          <w:sz w:val="28"/>
          <w:szCs w:val="28"/>
        </w:rPr>
        <w:t xml:space="preserve"> </w:t>
      </w:r>
      <w:r w:rsidR="008C70D4" w:rsidRPr="00DC4B6E">
        <w:rPr>
          <w:sz w:val="28"/>
          <w:szCs w:val="28"/>
        </w:rPr>
        <w:t>первичным</w:t>
      </w:r>
      <w:r w:rsidR="006527A6">
        <w:rPr>
          <w:sz w:val="28"/>
          <w:szCs w:val="28"/>
        </w:rPr>
        <w:t xml:space="preserve"> </w:t>
      </w:r>
      <w:r w:rsidR="008C70D4" w:rsidRPr="00DC4B6E">
        <w:rPr>
          <w:sz w:val="28"/>
          <w:szCs w:val="28"/>
        </w:rPr>
        <w:t>и</w:t>
      </w:r>
      <w:r w:rsidR="006527A6">
        <w:rPr>
          <w:sz w:val="28"/>
          <w:szCs w:val="28"/>
        </w:rPr>
        <w:t xml:space="preserve"> </w:t>
      </w:r>
      <w:r w:rsidR="008C70D4" w:rsidRPr="00DC4B6E">
        <w:rPr>
          <w:sz w:val="28"/>
          <w:szCs w:val="28"/>
        </w:rPr>
        <w:t>вторичным</w:t>
      </w:r>
      <w:r w:rsidR="006527A6">
        <w:rPr>
          <w:sz w:val="28"/>
          <w:szCs w:val="28"/>
        </w:rPr>
        <w:t xml:space="preserve"> </w:t>
      </w:r>
      <w:r w:rsidR="008C70D4" w:rsidRPr="00DC4B6E">
        <w:rPr>
          <w:sz w:val="28"/>
          <w:szCs w:val="28"/>
        </w:rPr>
        <w:t>г</w:t>
      </w:r>
      <w:r w:rsidR="008C70D4" w:rsidRPr="00DC4B6E">
        <w:rPr>
          <w:sz w:val="28"/>
          <w:szCs w:val="28"/>
          <w:lang w:val="uk-UA"/>
        </w:rPr>
        <w:t>и</w:t>
      </w:r>
      <w:r w:rsidR="00630992" w:rsidRPr="00DC4B6E">
        <w:rPr>
          <w:sz w:val="28"/>
          <w:szCs w:val="28"/>
        </w:rPr>
        <w:t>погонадизмом</w:t>
      </w:r>
      <w:r w:rsidR="006527A6">
        <w:rPr>
          <w:sz w:val="28"/>
          <w:szCs w:val="28"/>
        </w:rPr>
        <w:t xml:space="preserve"> </w:t>
      </w:r>
      <w:r w:rsidR="00D34019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Pr="00DC4B6E">
        <w:rPr>
          <w:sz w:val="28"/>
          <w:szCs w:val="28"/>
        </w:rPr>
        <w:t>модифицированну</w:t>
      </w:r>
      <w:r w:rsidR="00630992" w:rsidRPr="00DC4B6E">
        <w:rPr>
          <w:sz w:val="28"/>
          <w:szCs w:val="28"/>
        </w:rPr>
        <w:t>ю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гормональную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терапию</w:t>
      </w:r>
      <w:r w:rsidR="009012E6" w:rsidRPr="00DC4B6E">
        <w:rPr>
          <w:sz w:val="28"/>
          <w:szCs w:val="28"/>
          <w:lang w:val="uk-UA"/>
        </w:rPr>
        <w:t>,</w:t>
      </w:r>
      <w:r w:rsidR="006527A6">
        <w:rPr>
          <w:sz w:val="28"/>
          <w:szCs w:val="28"/>
          <w:lang w:val="uk-UA"/>
        </w:rPr>
        <w:t xml:space="preserve"> </w:t>
      </w:r>
      <w:r w:rsidR="009012E6" w:rsidRPr="00DC4B6E">
        <w:rPr>
          <w:sz w:val="28"/>
          <w:szCs w:val="28"/>
          <w:lang w:val="uk-UA"/>
        </w:rPr>
        <w:t>что</w:t>
      </w:r>
      <w:r w:rsidR="006527A6">
        <w:rPr>
          <w:sz w:val="28"/>
          <w:szCs w:val="28"/>
          <w:lang w:val="uk-UA"/>
        </w:rPr>
        <w:t xml:space="preserve"> </w:t>
      </w:r>
      <w:r w:rsidR="009012E6" w:rsidRPr="00DC4B6E">
        <w:rPr>
          <w:sz w:val="28"/>
          <w:szCs w:val="28"/>
        </w:rPr>
        <w:t>дает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возможность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достичь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нормализации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параметров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сомато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–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полового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развития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у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больных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коррелятивным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и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перинатально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детерминированным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гипогонадизмом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у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84,2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%</w:t>
      </w:r>
      <w:r w:rsidR="006527A6">
        <w:rPr>
          <w:sz w:val="28"/>
          <w:szCs w:val="28"/>
        </w:rPr>
        <w:t xml:space="preserve"> </w:t>
      </w:r>
      <w:r w:rsidR="009012E6" w:rsidRPr="00DC4B6E">
        <w:rPr>
          <w:sz w:val="28"/>
          <w:szCs w:val="28"/>
        </w:rPr>
        <w:t>случаев.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Ключевые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слова: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щитовидная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железа,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нарушение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йод</w:t>
      </w:r>
      <w:r w:rsidR="00237DCE" w:rsidRPr="00DC4B6E">
        <w:rPr>
          <w:sz w:val="28"/>
          <w:szCs w:val="28"/>
          <w:lang w:val="uk-UA"/>
        </w:rPr>
        <w:t>о</w:t>
      </w:r>
      <w:r w:rsidRPr="00DC4B6E">
        <w:rPr>
          <w:sz w:val="28"/>
          <w:szCs w:val="28"/>
          <w:lang w:val="uk-UA"/>
        </w:rPr>
        <w:t>дефицит,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зоб,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диагностика,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половые,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тиреоидные,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гонадотропные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гормоны,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профилактика,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модифицированная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гормоноредуцированная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терапия,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параметры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физического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полового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развития.</w:t>
      </w:r>
    </w:p>
    <w:p w:rsidR="00DD7C90" w:rsidRPr="00DC4B6E" w:rsidRDefault="00475143" w:rsidP="0047514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DD7C90" w:rsidRPr="00DC4B6E">
        <w:rPr>
          <w:b/>
          <w:bCs/>
          <w:sz w:val="28"/>
          <w:szCs w:val="28"/>
          <w:lang w:val="uk-UA"/>
        </w:rPr>
        <w:t>ANNOTATION</w:t>
      </w:r>
    </w:p>
    <w:p w:rsidR="00475143" w:rsidRDefault="00475143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DD7C90" w:rsidRPr="00DC4B6E" w:rsidRDefault="00DD7C90" w:rsidP="00DC4B6E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Hurska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Valentyna.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The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Peculiarities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of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somatic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sexual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development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and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functions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of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the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hypophysis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gonad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system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and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thyroid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gland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under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disturbance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of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the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men’s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puberty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on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conditions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of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the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iodine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deficiency.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–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Manuscript.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Dissertation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for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degree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Candidate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Medical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Sciences.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Speciality</w:t>
      </w:r>
      <w:r w:rsidR="006527A6">
        <w:rPr>
          <w:sz w:val="28"/>
          <w:szCs w:val="28"/>
          <w:lang w:val="uk-UA"/>
        </w:rPr>
        <w:t xml:space="preserve"> </w:t>
      </w:r>
      <w:r w:rsidR="000B73C9" w:rsidRPr="00DC4B6E">
        <w:rPr>
          <w:sz w:val="28"/>
          <w:szCs w:val="28"/>
          <w:lang w:val="uk-UA"/>
        </w:rPr>
        <w:t>14.01.14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endocrinology.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Public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establishment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“The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Institute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Endocrinology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Problems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after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V.Ya.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Danilevsky”.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Kharkiv,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2008.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dissertation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devoted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studying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frequency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puberty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and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goitre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disturbance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among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boys,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who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live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iodine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deficiency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region;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elucidation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peculiarities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its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clinical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progress;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investigation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hormone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condition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hypophysis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gonad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system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and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thyroid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gland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and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also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substantiating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approaches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to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therapy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and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prophylaxis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this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disturbance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condition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of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iodine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deficiency.</w:t>
      </w:r>
    </w:p>
    <w:p w:rsidR="0086071B" w:rsidRPr="00DC4B6E" w:rsidRDefault="00B6519E" w:rsidP="00DC4B6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C4B6E">
        <w:rPr>
          <w:sz w:val="28"/>
          <w:szCs w:val="28"/>
          <w:lang w:val="en-US"/>
        </w:rPr>
        <w:t>7596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boys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at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age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12</w:t>
      </w:r>
      <w:r w:rsidR="006527A6">
        <w:rPr>
          <w:sz w:val="28"/>
          <w:szCs w:val="28"/>
          <w:lang w:val="en-US"/>
        </w:rPr>
        <w:t xml:space="preserve"> </w:t>
      </w:r>
      <w:r w:rsidRPr="00DC4B6E">
        <w:rPr>
          <w:sz w:val="28"/>
          <w:szCs w:val="28"/>
          <w:lang w:val="en-US"/>
        </w:rPr>
        <w:t>–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17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were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investigated,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f</w:t>
      </w:r>
      <w:r w:rsidR="002A4EBE" w:rsidRPr="00DC4B6E">
        <w:rPr>
          <w:sz w:val="28"/>
          <w:szCs w:val="28"/>
          <w:lang w:val="en-US"/>
        </w:rPr>
        <w:t>or</w:t>
      </w:r>
      <w:r w:rsidR="006527A6">
        <w:rPr>
          <w:sz w:val="28"/>
          <w:szCs w:val="28"/>
          <w:lang w:val="en-US"/>
        </w:rPr>
        <w:t xml:space="preserve"> </w:t>
      </w:r>
      <w:r w:rsidR="002A4EBE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2A4EBE" w:rsidRPr="00DC4B6E">
        <w:rPr>
          <w:sz w:val="28"/>
          <w:szCs w:val="28"/>
          <w:lang w:val="en-US"/>
        </w:rPr>
        <w:t>permanent</w:t>
      </w:r>
      <w:r w:rsidR="006527A6">
        <w:rPr>
          <w:sz w:val="28"/>
          <w:szCs w:val="28"/>
          <w:lang w:val="en-US"/>
        </w:rPr>
        <w:t xml:space="preserve"> </w:t>
      </w:r>
      <w:r w:rsidR="002A4EBE" w:rsidRPr="00DC4B6E">
        <w:rPr>
          <w:sz w:val="28"/>
          <w:szCs w:val="28"/>
          <w:lang w:val="en-US"/>
        </w:rPr>
        <w:t>observation</w:t>
      </w:r>
      <w:r w:rsidR="006527A6">
        <w:rPr>
          <w:sz w:val="28"/>
          <w:szCs w:val="28"/>
          <w:lang w:val="en-US"/>
        </w:rPr>
        <w:t xml:space="preserve"> </w:t>
      </w:r>
      <w:r w:rsidR="002A4EBE" w:rsidRPr="00DC4B6E">
        <w:rPr>
          <w:sz w:val="28"/>
          <w:szCs w:val="28"/>
          <w:lang w:val="uk-UA"/>
        </w:rPr>
        <w:t>181</w:t>
      </w:r>
      <w:r w:rsidR="006527A6">
        <w:rPr>
          <w:sz w:val="28"/>
          <w:szCs w:val="28"/>
          <w:lang w:val="en-US"/>
        </w:rPr>
        <w:t xml:space="preserve"> </w:t>
      </w:r>
      <w:r w:rsidR="002A4EBE" w:rsidRPr="00DC4B6E">
        <w:rPr>
          <w:sz w:val="28"/>
          <w:szCs w:val="28"/>
          <w:lang w:val="en-US"/>
        </w:rPr>
        <w:t>patients</w:t>
      </w:r>
      <w:r w:rsidR="006527A6">
        <w:rPr>
          <w:sz w:val="28"/>
          <w:szCs w:val="28"/>
          <w:lang w:val="en-US"/>
        </w:rPr>
        <w:t xml:space="preserve"> </w:t>
      </w:r>
      <w:r w:rsidR="00A05AB4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A05AB4" w:rsidRPr="00DC4B6E">
        <w:rPr>
          <w:sz w:val="28"/>
          <w:szCs w:val="28"/>
          <w:lang w:val="en-US"/>
        </w:rPr>
        <w:t>20</w:t>
      </w:r>
      <w:r w:rsidR="006527A6">
        <w:rPr>
          <w:sz w:val="28"/>
          <w:szCs w:val="28"/>
          <w:lang w:val="en-US"/>
        </w:rPr>
        <w:t xml:space="preserve"> </w:t>
      </w:r>
      <w:r w:rsidR="00A05AB4" w:rsidRPr="00DC4B6E">
        <w:rPr>
          <w:sz w:val="28"/>
          <w:szCs w:val="28"/>
          <w:lang w:val="en-US"/>
        </w:rPr>
        <w:t>healthy</w:t>
      </w:r>
      <w:r w:rsidR="006527A6">
        <w:rPr>
          <w:sz w:val="28"/>
          <w:szCs w:val="28"/>
          <w:lang w:val="en-US"/>
        </w:rPr>
        <w:t xml:space="preserve"> </w:t>
      </w:r>
      <w:r w:rsidR="00A05AB4" w:rsidRPr="00DC4B6E">
        <w:rPr>
          <w:sz w:val="28"/>
          <w:szCs w:val="28"/>
          <w:lang w:val="en-US"/>
        </w:rPr>
        <w:t>persons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were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selected.</w:t>
      </w:r>
      <w:r w:rsidR="006527A6">
        <w:rPr>
          <w:sz w:val="28"/>
          <w:szCs w:val="28"/>
          <w:lang w:val="en-US"/>
        </w:rPr>
        <w:t xml:space="preserve"> </w:t>
      </w:r>
      <w:r w:rsidR="0005414C" w:rsidRPr="00DC4B6E">
        <w:rPr>
          <w:sz w:val="28"/>
          <w:szCs w:val="28"/>
          <w:lang w:val="en-US"/>
        </w:rPr>
        <w:t>It</w:t>
      </w:r>
      <w:r w:rsidR="006527A6">
        <w:rPr>
          <w:sz w:val="28"/>
          <w:szCs w:val="28"/>
          <w:lang w:val="en-US"/>
        </w:rPr>
        <w:t xml:space="preserve"> </w:t>
      </w:r>
      <w:r w:rsidR="0005414C" w:rsidRPr="00DC4B6E">
        <w:rPr>
          <w:sz w:val="28"/>
          <w:szCs w:val="28"/>
          <w:lang w:val="en-US"/>
        </w:rPr>
        <w:t>was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elucidated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that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7,1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%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boys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had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puberty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disturbance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5421B4" w:rsidRPr="00DC4B6E">
        <w:rPr>
          <w:sz w:val="28"/>
          <w:szCs w:val="28"/>
          <w:lang w:val="en-US"/>
        </w:rPr>
        <w:t>among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them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56,9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%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patien</w:t>
      </w:r>
      <w:r w:rsidR="006A1DDB" w:rsidRPr="00DC4B6E">
        <w:rPr>
          <w:sz w:val="28"/>
          <w:szCs w:val="28"/>
          <w:lang w:val="en-US"/>
        </w:rPr>
        <w:t>ts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have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thyroid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gland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I</w:t>
      </w:r>
      <w:r w:rsidR="006527A6">
        <w:rPr>
          <w:sz w:val="28"/>
          <w:szCs w:val="28"/>
          <w:lang w:val="en-US"/>
        </w:rPr>
        <w:t xml:space="preserve"> </w:t>
      </w:r>
      <w:r w:rsidR="006A1DDB" w:rsidRPr="00DC4B6E">
        <w:rPr>
          <w:sz w:val="28"/>
          <w:szCs w:val="28"/>
          <w:lang w:val="en-US"/>
        </w:rPr>
        <w:t>–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II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degrees.</w:t>
      </w:r>
      <w:r w:rsidR="006527A6">
        <w:rPr>
          <w:sz w:val="28"/>
          <w:szCs w:val="28"/>
          <w:lang w:val="en-US"/>
        </w:rPr>
        <w:t xml:space="preserve"> </w:t>
      </w:r>
      <w:r w:rsidR="004A6B30" w:rsidRPr="00DC4B6E">
        <w:rPr>
          <w:sz w:val="28"/>
          <w:szCs w:val="28"/>
          <w:lang w:val="en-US"/>
        </w:rPr>
        <w:t>T</w:t>
      </w:r>
      <w:r w:rsidR="0086071B" w:rsidRPr="00DC4B6E">
        <w:rPr>
          <w:sz w:val="28"/>
          <w:szCs w:val="28"/>
          <w:lang w:val="en-US"/>
        </w:rPr>
        <w:t>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reduction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iodine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excretion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with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urine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was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revealed,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backgro</w:t>
      </w:r>
      <w:r w:rsidR="00F64C2B" w:rsidRPr="00DC4B6E">
        <w:rPr>
          <w:sz w:val="28"/>
          <w:szCs w:val="28"/>
          <w:lang w:val="en-US"/>
        </w:rPr>
        <w:t>und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increased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sizes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F64C2B" w:rsidRPr="00DC4B6E">
        <w:rPr>
          <w:sz w:val="28"/>
          <w:szCs w:val="28"/>
          <w:lang w:val="en-US"/>
        </w:rPr>
        <w:t>TS</w:t>
      </w:r>
      <w:r w:rsidR="0086071B" w:rsidRPr="00DC4B6E">
        <w:rPr>
          <w:sz w:val="28"/>
          <w:szCs w:val="28"/>
          <w:lang w:val="en-US"/>
        </w:rPr>
        <w:t>H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among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62,3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%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investigated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43,5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%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them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had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reduction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vertAlign w:val="subscript"/>
          <w:lang w:val="en-US"/>
        </w:rPr>
        <w:t>3</w:t>
      </w:r>
      <w:r w:rsidR="006527A6">
        <w:rPr>
          <w:sz w:val="28"/>
          <w:szCs w:val="28"/>
          <w:vertAlign w:val="subscript"/>
          <w:lang w:val="en-US"/>
        </w:rPr>
        <w:t xml:space="preserve"> </w:t>
      </w:r>
      <w:r w:rsidR="0086071B" w:rsidRPr="00DC4B6E">
        <w:rPr>
          <w:sz w:val="28"/>
          <w:szCs w:val="28"/>
          <w:vertAlign w:val="subscript"/>
          <w:lang w:val="en-US"/>
        </w:rPr>
        <w:t>free</w:t>
      </w:r>
      <w:r w:rsidR="0086071B" w:rsidRPr="00DC4B6E">
        <w:rPr>
          <w:sz w:val="28"/>
          <w:szCs w:val="28"/>
          <w:lang w:val="en-US"/>
        </w:rPr>
        <w:t>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vertAlign w:val="subscript"/>
          <w:lang w:val="en-US"/>
        </w:rPr>
        <w:t>4</w:t>
      </w:r>
      <w:r w:rsidR="006527A6">
        <w:rPr>
          <w:sz w:val="28"/>
          <w:szCs w:val="28"/>
          <w:vertAlign w:val="subscript"/>
          <w:lang w:val="en-US"/>
        </w:rPr>
        <w:t xml:space="preserve"> </w:t>
      </w:r>
      <w:r w:rsidR="0086071B" w:rsidRPr="00DC4B6E">
        <w:rPr>
          <w:sz w:val="28"/>
          <w:szCs w:val="28"/>
          <w:vertAlign w:val="subscript"/>
          <w:lang w:val="en-US"/>
        </w:rPr>
        <w:t>free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levels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so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they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were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diagnosed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with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correlated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hypogonad.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Clinical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peculiarities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correlated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hypogonad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find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expression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backward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414104" w:rsidRPr="00DC4B6E">
        <w:rPr>
          <w:sz w:val="28"/>
          <w:szCs w:val="28"/>
          <w:lang w:val="en-US"/>
        </w:rPr>
        <w:t>primary</w:t>
      </w:r>
      <w:r w:rsidR="006527A6">
        <w:rPr>
          <w:sz w:val="28"/>
          <w:szCs w:val="28"/>
          <w:lang w:val="en-US"/>
        </w:rPr>
        <w:t xml:space="preserve"> </w:t>
      </w:r>
      <w:r w:rsidR="00414104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414104" w:rsidRPr="00DC4B6E">
        <w:rPr>
          <w:sz w:val="28"/>
          <w:szCs w:val="28"/>
          <w:lang w:val="en-US"/>
        </w:rPr>
        <w:t>secondary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sex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features,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lower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height,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infantilism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skeleton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along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with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signs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C31B1B" w:rsidRPr="00DC4B6E">
        <w:rPr>
          <w:sz w:val="28"/>
          <w:szCs w:val="28"/>
          <w:lang w:val="en-US"/>
        </w:rPr>
        <w:t>overt</w:t>
      </w:r>
      <w:r w:rsidR="006527A6">
        <w:rPr>
          <w:sz w:val="28"/>
          <w:szCs w:val="28"/>
          <w:lang w:val="en-US"/>
        </w:rPr>
        <w:t xml:space="preserve"> </w:t>
      </w:r>
      <w:r w:rsidR="00C31B1B" w:rsidRPr="00DC4B6E">
        <w:rPr>
          <w:sz w:val="28"/>
          <w:szCs w:val="28"/>
          <w:lang w:val="en-US"/>
        </w:rPr>
        <w:t>hypothyroidism</w:t>
      </w:r>
      <w:r w:rsidR="0086071B" w:rsidRPr="00DC4B6E">
        <w:rPr>
          <w:sz w:val="28"/>
          <w:szCs w:val="28"/>
          <w:lang w:val="en-US"/>
        </w:rPr>
        <w:t>,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</w:t>
      </w:r>
      <w:r w:rsidR="006527A6">
        <w:rPr>
          <w:sz w:val="28"/>
          <w:szCs w:val="28"/>
          <w:lang w:val="en-US"/>
        </w:rPr>
        <w:t xml:space="preserve"> </w:t>
      </w:r>
      <w:r w:rsidR="006A1F93" w:rsidRPr="00DC4B6E">
        <w:rPr>
          <w:sz w:val="28"/>
          <w:szCs w:val="28"/>
          <w:lang w:val="en-US"/>
        </w:rPr>
        <w:t>reduction</w:t>
      </w:r>
      <w:r w:rsidR="006527A6">
        <w:rPr>
          <w:sz w:val="28"/>
          <w:szCs w:val="28"/>
          <w:lang w:val="en-US"/>
        </w:rPr>
        <w:t xml:space="preserve"> </w:t>
      </w:r>
      <w:r w:rsidR="006A1F93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6A1F93" w:rsidRPr="00DC4B6E">
        <w:rPr>
          <w:sz w:val="28"/>
          <w:szCs w:val="28"/>
          <w:lang w:val="en-US"/>
        </w:rPr>
        <w:t>T</w:t>
      </w:r>
      <w:r w:rsidR="006527A6">
        <w:rPr>
          <w:sz w:val="28"/>
          <w:szCs w:val="28"/>
          <w:lang w:val="en-US"/>
        </w:rPr>
        <w:t xml:space="preserve"> </w:t>
      </w:r>
      <w:r w:rsidR="006A1F93" w:rsidRPr="00DC4B6E">
        <w:rPr>
          <w:sz w:val="28"/>
          <w:szCs w:val="28"/>
          <w:lang w:val="en-US"/>
        </w:rPr>
        <w:t>–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levels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breaking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0E1374" w:rsidRPr="00DC4B6E">
        <w:rPr>
          <w:sz w:val="28"/>
          <w:szCs w:val="28"/>
          <w:lang w:val="en-US"/>
        </w:rPr>
        <w:t>correlation</w:t>
      </w:r>
      <w:r w:rsidR="006527A6">
        <w:rPr>
          <w:sz w:val="28"/>
          <w:szCs w:val="28"/>
          <w:lang w:val="en-US"/>
        </w:rPr>
        <w:t xml:space="preserve"> </w:t>
      </w:r>
      <w:r w:rsidR="000E1374" w:rsidRPr="00DC4B6E">
        <w:rPr>
          <w:sz w:val="28"/>
          <w:szCs w:val="28"/>
          <w:lang w:val="en-US"/>
        </w:rPr>
        <w:t>between</w:t>
      </w:r>
      <w:r w:rsidR="006527A6">
        <w:rPr>
          <w:sz w:val="28"/>
          <w:szCs w:val="28"/>
          <w:lang w:val="en-US"/>
        </w:rPr>
        <w:t xml:space="preserve"> </w:t>
      </w:r>
      <w:r w:rsidR="000E1374" w:rsidRPr="00DC4B6E">
        <w:rPr>
          <w:sz w:val="28"/>
          <w:szCs w:val="28"/>
          <w:lang w:val="en-US"/>
        </w:rPr>
        <w:t>T/LH.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T</w:t>
      </w:r>
      <w:r w:rsidR="0086071B" w:rsidRPr="00DC4B6E">
        <w:rPr>
          <w:sz w:val="28"/>
          <w:szCs w:val="28"/>
          <w:lang w:val="en-US"/>
        </w:rPr>
        <w:t>he</w:t>
      </w:r>
      <w:r w:rsidR="006527A6">
        <w:rPr>
          <w:sz w:val="28"/>
          <w:szCs w:val="28"/>
          <w:lang w:val="en-US"/>
        </w:rPr>
        <w:t xml:space="preserve"> </w:t>
      </w:r>
      <w:r w:rsidR="0086071B" w:rsidRPr="00DC4B6E">
        <w:rPr>
          <w:sz w:val="28"/>
          <w:szCs w:val="28"/>
          <w:lang w:val="en-US"/>
        </w:rPr>
        <w:t>therap</w:t>
      </w:r>
      <w:r w:rsidR="00C05326" w:rsidRPr="00DC4B6E">
        <w:rPr>
          <w:sz w:val="28"/>
          <w:szCs w:val="28"/>
          <w:lang w:val="en-US"/>
        </w:rPr>
        <w:t>y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algorithm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of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this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disturbance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was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substantiated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and</w:t>
      </w:r>
      <w:r w:rsidR="006527A6">
        <w:rPr>
          <w:sz w:val="28"/>
          <w:szCs w:val="28"/>
          <w:lang w:val="en-US"/>
        </w:rPr>
        <w:t xml:space="preserve"> </w:t>
      </w:r>
      <w:r w:rsidR="00C05326" w:rsidRPr="00DC4B6E">
        <w:rPr>
          <w:sz w:val="28"/>
          <w:szCs w:val="28"/>
          <w:lang w:val="en-US"/>
        </w:rPr>
        <w:t>approved.</w:t>
      </w:r>
    </w:p>
    <w:p w:rsidR="00FC66C1" w:rsidRPr="00C42E89" w:rsidRDefault="00DD7C90" w:rsidP="00DC4B6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C4B6E">
        <w:rPr>
          <w:b/>
          <w:bCs/>
          <w:sz w:val="28"/>
          <w:szCs w:val="28"/>
          <w:lang w:val="uk-UA"/>
        </w:rPr>
        <w:t>Key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words: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thyroid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gland,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puberty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disturbance,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iodine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deficiency</w:t>
      </w:r>
      <w:r w:rsidR="00F37068" w:rsidRPr="00DC4B6E">
        <w:rPr>
          <w:sz w:val="28"/>
          <w:szCs w:val="28"/>
          <w:lang w:val="en-US"/>
        </w:rPr>
        <w:t>.</w:t>
      </w:r>
    </w:p>
    <w:p w:rsidR="00475143" w:rsidRDefault="00475143" w:rsidP="0047514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C42E89">
        <w:rPr>
          <w:sz w:val="28"/>
          <w:szCs w:val="28"/>
        </w:rPr>
        <w:br w:type="page"/>
      </w:r>
      <w:r w:rsidR="00DD7C90" w:rsidRPr="00DC4B6E">
        <w:rPr>
          <w:b/>
          <w:bCs/>
          <w:sz w:val="28"/>
          <w:szCs w:val="28"/>
          <w:lang w:val="uk-UA"/>
        </w:rPr>
        <w:t>ПЕРЕЛІК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="00DD7C90" w:rsidRPr="00DC4B6E">
        <w:rPr>
          <w:b/>
          <w:bCs/>
          <w:sz w:val="28"/>
          <w:szCs w:val="28"/>
          <w:lang w:val="uk-UA"/>
        </w:rPr>
        <w:t>УМОВНИХ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="00DD7C90" w:rsidRPr="00DC4B6E">
        <w:rPr>
          <w:b/>
          <w:bCs/>
          <w:sz w:val="28"/>
          <w:szCs w:val="28"/>
          <w:lang w:val="uk-UA"/>
        </w:rPr>
        <w:t>ПОЗНАЧЕНЬ,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="00DD7C90" w:rsidRPr="00DC4B6E">
        <w:rPr>
          <w:b/>
          <w:bCs/>
          <w:sz w:val="28"/>
          <w:szCs w:val="28"/>
          <w:lang w:val="uk-UA"/>
        </w:rPr>
        <w:t>СКОРОЧЕНЬ,</w:t>
      </w:r>
      <w:r w:rsidR="006527A6">
        <w:rPr>
          <w:b/>
          <w:bCs/>
          <w:sz w:val="28"/>
          <w:szCs w:val="28"/>
          <w:lang w:val="uk-UA"/>
        </w:rPr>
        <w:t xml:space="preserve"> </w:t>
      </w:r>
    </w:p>
    <w:p w:rsidR="00DD7C90" w:rsidRPr="00DC4B6E" w:rsidRDefault="00DD7C90" w:rsidP="00475143">
      <w:pPr>
        <w:spacing w:line="360" w:lineRule="auto"/>
        <w:ind w:firstLine="720"/>
        <w:jc w:val="center"/>
        <w:rPr>
          <w:b/>
          <w:bCs/>
          <w:sz w:val="28"/>
          <w:szCs w:val="28"/>
          <w:lang w:val="uk-UA"/>
        </w:rPr>
      </w:pPr>
      <w:r w:rsidRPr="00DC4B6E">
        <w:rPr>
          <w:b/>
          <w:bCs/>
          <w:sz w:val="28"/>
          <w:szCs w:val="28"/>
          <w:lang w:val="uk-UA"/>
        </w:rPr>
        <w:t>СИМВОЛІВ,</w:t>
      </w:r>
      <w:r w:rsidR="006527A6">
        <w:rPr>
          <w:b/>
          <w:bCs/>
          <w:sz w:val="28"/>
          <w:szCs w:val="28"/>
          <w:lang w:val="uk-UA"/>
        </w:rPr>
        <w:t xml:space="preserve"> </w:t>
      </w:r>
      <w:r w:rsidRPr="00DC4B6E">
        <w:rPr>
          <w:b/>
          <w:bCs/>
          <w:sz w:val="28"/>
          <w:szCs w:val="28"/>
          <w:lang w:val="uk-UA"/>
        </w:rPr>
        <w:t>ТЕРМІНІВ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D7C90" w:rsidRPr="00DC4B6E" w:rsidRDefault="00DD7C90" w:rsidP="00DC4B6E">
      <w:pPr>
        <w:pStyle w:val="23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ГРТ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гормоноредукована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терапія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ІМ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індекс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маскулінізації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ЛГ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лютеінізуючий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</w:t>
      </w:r>
    </w:p>
    <w:p w:rsidR="0030068E" w:rsidRPr="00DC4B6E" w:rsidRDefault="0030068E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МГРТ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модифікована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гормоноредукована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терапія</w:t>
      </w:r>
    </w:p>
    <w:p w:rsidR="0030068E" w:rsidRPr="00DC4B6E" w:rsidRDefault="0030068E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МГТ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модифікована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гормональна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терапія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МОЗ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Міністерство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охорони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здоров'я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ОЯ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окружність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яєчок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ПДГ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перинатально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детермінований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гіпогонадизм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ПРЛ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пролактин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Т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тестостерон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ТТГ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тиреотропний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vertAlign w:val="subscript"/>
          <w:lang w:val="uk-UA"/>
        </w:rPr>
        <w:t>3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317D05" w:rsidRPr="00DC4B6E">
        <w:rPr>
          <w:sz w:val="28"/>
          <w:szCs w:val="28"/>
          <w:vertAlign w:val="subscript"/>
          <w:lang w:val="uk-UA"/>
        </w:rPr>
        <w:t>вільний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317D05" w:rsidRPr="00DC4B6E">
        <w:rPr>
          <w:sz w:val="28"/>
          <w:szCs w:val="28"/>
          <w:lang w:val="uk-UA"/>
        </w:rPr>
        <w:t>вільний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трийодтиронін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Т</w:t>
      </w:r>
      <w:r w:rsidRPr="00DC4B6E">
        <w:rPr>
          <w:sz w:val="28"/>
          <w:szCs w:val="28"/>
          <w:vertAlign w:val="subscript"/>
          <w:lang w:val="uk-UA"/>
        </w:rPr>
        <w:t>4</w:t>
      </w:r>
      <w:r w:rsidR="006527A6">
        <w:rPr>
          <w:sz w:val="28"/>
          <w:szCs w:val="28"/>
          <w:vertAlign w:val="subscript"/>
          <w:lang w:val="uk-UA"/>
        </w:rPr>
        <w:t xml:space="preserve"> </w:t>
      </w:r>
      <w:r w:rsidR="00317D05" w:rsidRPr="00DC4B6E">
        <w:rPr>
          <w:sz w:val="28"/>
          <w:szCs w:val="28"/>
          <w:vertAlign w:val="subscript"/>
          <w:lang w:val="uk-UA"/>
        </w:rPr>
        <w:t>вільний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="00317D05" w:rsidRPr="00DC4B6E">
        <w:rPr>
          <w:sz w:val="28"/>
          <w:szCs w:val="28"/>
          <w:lang w:val="uk-UA"/>
        </w:rPr>
        <w:t>вільний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тироксин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УЗД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ультразвукова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діагностика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Ум.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</w:t>
      </w:r>
      <w:r w:rsidR="002538A4" w:rsidRPr="00DC4B6E">
        <w:rPr>
          <w:sz w:val="28"/>
          <w:szCs w:val="28"/>
          <w:lang w:val="uk-UA"/>
        </w:rPr>
        <w:t>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умовна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одиниця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ФНП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функціональна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недостатність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пубертату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ФСГ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фолікулостимулюючий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гормон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ХГ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хоріогонічний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гонадотропін</w:t>
      </w:r>
    </w:p>
    <w:p w:rsidR="00DD7C90" w:rsidRPr="00DC4B6E" w:rsidRDefault="00DD7C90" w:rsidP="00DC4B6E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ст.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–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ІІ</w:t>
      </w:r>
      <w:r w:rsidR="006527A6">
        <w:rPr>
          <w:sz w:val="28"/>
          <w:szCs w:val="28"/>
          <w:lang w:val="uk-UA"/>
        </w:rPr>
        <w:t xml:space="preserve"> </w:t>
      </w:r>
      <w:r w:rsidRPr="00DC4B6E">
        <w:rPr>
          <w:sz w:val="28"/>
          <w:szCs w:val="28"/>
          <w:lang w:val="uk-UA"/>
        </w:rPr>
        <w:t>ступінь</w:t>
      </w:r>
      <w:bookmarkStart w:id="0" w:name="_GoBack"/>
      <w:bookmarkEnd w:id="0"/>
    </w:p>
    <w:sectPr w:rsidR="00DD7C90" w:rsidRPr="00DC4B6E" w:rsidSect="00DC4B6E">
      <w:pgSz w:w="11907" w:h="16840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C8" w:rsidRDefault="00390BC8">
      <w:r>
        <w:separator/>
      </w:r>
    </w:p>
  </w:endnote>
  <w:endnote w:type="continuationSeparator" w:id="0">
    <w:p w:rsidR="00390BC8" w:rsidRDefault="0039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C8" w:rsidRDefault="00390BC8">
      <w:r>
        <w:separator/>
      </w:r>
    </w:p>
  </w:footnote>
  <w:footnote w:type="continuationSeparator" w:id="0">
    <w:p w:rsidR="00390BC8" w:rsidRDefault="00390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11A75"/>
    <w:multiLevelType w:val="hybridMultilevel"/>
    <w:tmpl w:val="232252C2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D454540"/>
    <w:multiLevelType w:val="hybridMultilevel"/>
    <w:tmpl w:val="C88E88E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5A6004A"/>
    <w:multiLevelType w:val="singleLevel"/>
    <w:tmpl w:val="6E9E2B34"/>
    <w:lvl w:ilvl="0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cs="Times New Roman" w:hint="default"/>
      </w:rPr>
    </w:lvl>
  </w:abstractNum>
  <w:abstractNum w:abstractNumId="3">
    <w:nsid w:val="5C4917E0"/>
    <w:multiLevelType w:val="hybridMultilevel"/>
    <w:tmpl w:val="4484D29A"/>
    <w:lvl w:ilvl="0" w:tplc="3C76FFD6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0CA6733"/>
    <w:multiLevelType w:val="hybridMultilevel"/>
    <w:tmpl w:val="453C5A82"/>
    <w:lvl w:ilvl="0" w:tplc="3C76FFD6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D4B3030"/>
    <w:multiLevelType w:val="hybridMultilevel"/>
    <w:tmpl w:val="A0CAD0A2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C90"/>
    <w:rsid w:val="00000C88"/>
    <w:rsid w:val="00000C98"/>
    <w:rsid w:val="00001A96"/>
    <w:rsid w:val="00002B02"/>
    <w:rsid w:val="00003E8C"/>
    <w:rsid w:val="0000449E"/>
    <w:rsid w:val="000045D5"/>
    <w:rsid w:val="000050BD"/>
    <w:rsid w:val="00006250"/>
    <w:rsid w:val="00006CC0"/>
    <w:rsid w:val="000077C3"/>
    <w:rsid w:val="00007903"/>
    <w:rsid w:val="00010AD2"/>
    <w:rsid w:val="000112BB"/>
    <w:rsid w:val="00012B62"/>
    <w:rsid w:val="00012D1F"/>
    <w:rsid w:val="00013E4A"/>
    <w:rsid w:val="00014062"/>
    <w:rsid w:val="00014BA9"/>
    <w:rsid w:val="000153D2"/>
    <w:rsid w:val="00015497"/>
    <w:rsid w:val="00015802"/>
    <w:rsid w:val="00020427"/>
    <w:rsid w:val="00021946"/>
    <w:rsid w:val="00021B5C"/>
    <w:rsid w:val="00022C6C"/>
    <w:rsid w:val="000253C1"/>
    <w:rsid w:val="0002600C"/>
    <w:rsid w:val="00026979"/>
    <w:rsid w:val="00026E2F"/>
    <w:rsid w:val="00030DCF"/>
    <w:rsid w:val="00032873"/>
    <w:rsid w:val="0003297A"/>
    <w:rsid w:val="00033E41"/>
    <w:rsid w:val="00035644"/>
    <w:rsid w:val="00035988"/>
    <w:rsid w:val="000404A9"/>
    <w:rsid w:val="0004123A"/>
    <w:rsid w:val="000426B1"/>
    <w:rsid w:val="00043682"/>
    <w:rsid w:val="000437FE"/>
    <w:rsid w:val="000448F0"/>
    <w:rsid w:val="00044B89"/>
    <w:rsid w:val="000510FD"/>
    <w:rsid w:val="000513B2"/>
    <w:rsid w:val="0005414C"/>
    <w:rsid w:val="000558D1"/>
    <w:rsid w:val="00055F13"/>
    <w:rsid w:val="00056DA1"/>
    <w:rsid w:val="000579DA"/>
    <w:rsid w:val="00060942"/>
    <w:rsid w:val="00061A7D"/>
    <w:rsid w:val="00062295"/>
    <w:rsid w:val="00063EA7"/>
    <w:rsid w:val="000704C6"/>
    <w:rsid w:val="00070525"/>
    <w:rsid w:val="00071C4F"/>
    <w:rsid w:val="00072F66"/>
    <w:rsid w:val="000736F9"/>
    <w:rsid w:val="0007441F"/>
    <w:rsid w:val="00080C53"/>
    <w:rsid w:val="00082DF5"/>
    <w:rsid w:val="00083CB0"/>
    <w:rsid w:val="00085B47"/>
    <w:rsid w:val="00087615"/>
    <w:rsid w:val="00091652"/>
    <w:rsid w:val="00095BD4"/>
    <w:rsid w:val="000979EA"/>
    <w:rsid w:val="000A2FA0"/>
    <w:rsid w:val="000A4057"/>
    <w:rsid w:val="000A522E"/>
    <w:rsid w:val="000A71D8"/>
    <w:rsid w:val="000A794A"/>
    <w:rsid w:val="000B0DAF"/>
    <w:rsid w:val="000B315B"/>
    <w:rsid w:val="000B47BF"/>
    <w:rsid w:val="000B4B03"/>
    <w:rsid w:val="000B506E"/>
    <w:rsid w:val="000B6EF8"/>
    <w:rsid w:val="000B73C9"/>
    <w:rsid w:val="000C54D7"/>
    <w:rsid w:val="000C5587"/>
    <w:rsid w:val="000C611A"/>
    <w:rsid w:val="000C669C"/>
    <w:rsid w:val="000C66DB"/>
    <w:rsid w:val="000D1086"/>
    <w:rsid w:val="000D212D"/>
    <w:rsid w:val="000D2D58"/>
    <w:rsid w:val="000D4567"/>
    <w:rsid w:val="000D60CA"/>
    <w:rsid w:val="000E0787"/>
    <w:rsid w:val="000E10BA"/>
    <w:rsid w:val="000E1374"/>
    <w:rsid w:val="000E4B53"/>
    <w:rsid w:val="000E7EBB"/>
    <w:rsid w:val="000F0518"/>
    <w:rsid w:val="000F0FC1"/>
    <w:rsid w:val="000F10ED"/>
    <w:rsid w:val="000F1913"/>
    <w:rsid w:val="000F1BC0"/>
    <w:rsid w:val="000F1EF3"/>
    <w:rsid w:val="000F3423"/>
    <w:rsid w:val="000F3811"/>
    <w:rsid w:val="000F5A6E"/>
    <w:rsid w:val="0010047A"/>
    <w:rsid w:val="001035FE"/>
    <w:rsid w:val="0010792B"/>
    <w:rsid w:val="001108CA"/>
    <w:rsid w:val="0011289E"/>
    <w:rsid w:val="001131A6"/>
    <w:rsid w:val="00114D46"/>
    <w:rsid w:val="00116ACA"/>
    <w:rsid w:val="00116FF5"/>
    <w:rsid w:val="001202F4"/>
    <w:rsid w:val="00120D99"/>
    <w:rsid w:val="001267AD"/>
    <w:rsid w:val="0012712A"/>
    <w:rsid w:val="001303D8"/>
    <w:rsid w:val="001315D7"/>
    <w:rsid w:val="00132840"/>
    <w:rsid w:val="00134767"/>
    <w:rsid w:val="00134969"/>
    <w:rsid w:val="001349F5"/>
    <w:rsid w:val="00136328"/>
    <w:rsid w:val="00140A59"/>
    <w:rsid w:val="00140E25"/>
    <w:rsid w:val="00141083"/>
    <w:rsid w:val="00141A52"/>
    <w:rsid w:val="00142829"/>
    <w:rsid w:val="0014679F"/>
    <w:rsid w:val="00146A8F"/>
    <w:rsid w:val="00151297"/>
    <w:rsid w:val="001512FA"/>
    <w:rsid w:val="0015140A"/>
    <w:rsid w:val="00156B8D"/>
    <w:rsid w:val="00156E7A"/>
    <w:rsid w:val="00160EEA"/>
    <w:rsid w:val="00163758"/>
    <w:rsid w:val="00167D83"/>
    <w:rsid w:val="00170C06"/>
    <w:rsid w:val="00170C9F"/>
    <w:rsid w:val="00171D0F"/>
    <w:rsid w:val="00171D15"/>
    <w:rsid w:val="00173CE0"/>
    <w:rsid w:val="00175DAD"/>
    <w:rsid w:val="00175EAE"/>
    <w:rsid w:val="00181BDE"/>
    <w:rsid w:val="001853AB"/>
    <w:rsid w:val="00185EA7"/>
    <w:rsid w:val="00190176"/>
    <w:rsid w:val="0019097D"/>
    <w:rsid w:val="0019447A"/>
    <w:rsid w:val="001952F4"/>
    <w:rsid w:val="00196E78"/>
    <w:rsid w:val="001977BD"/>
    <w:rsid w:val="001A0029"/>
    <w:rsid w:val="001A1DDA"/>
    <w:rsid w:val="001A24FF"/>
    <w:rsid w:val="001A2663"/>
    <w:rsid w:val="001A3BCD"/>
    <w:rsid w:val="001A4C13"/>
    <w:rsid w:val="001A4F89"/>
    <w:rsid w:val="001A669F"/>
    <w:rsid w:val="001B03D1"/>
    <w:rsid w:val="001B07E8"/>
    <w:rsid w:val="001B0D37"/>
    <w:rsid w:val="001B46AC"/>
    <w:rsid w:val="001B7A75"/>
    <w:rsid w:val="001C0B2F"/>
    <w:rsid w:val="001C30D3"/>
    <w:rsid w:val="001C47E2"/>
    <w:rsid w:val="001C635C"/>
    <w:rsid w:val="001C7345"/>
    <w:rsid w:val="001D1A9D"/>
    <w:rsid w:val="001D283D"/>
    <w:rsid w:val="001D3D95"/>
    <w:rsid w:val="001D43AD"/>
    <w:rsid w:val="001D43FF"/>
    <w:rsid w:val="001D44EB"/>
    <w:rsid w:val="001D59B9"/>
    <w:rsid w:val="001D629B"/>
    <w:rsid w:val="001E08C0"/>
    <w:rsid w:val="001E0E5B"/>
    <w:rsid w:val="001E1F17"/>
    <w:rsid w:val="001E29C0"/>
    <w:rsid w:val="001E56A6"/>
    <w:rsid w:val="001E61BB"/>
    <w:rsid w:val="001E6C61"/>
    <w:rsid w:val="001F03B5"/>
    <w:rsid w:val="001F062A"/>
    <w:rsid w:val="001F15C4"/>
    <w:rsid w:val="001F1D20"/>
    <w:rsid w:val="001F3F8B"/>
    <w:rsid w:val="001F551F"/>
    <w:rsid w:val="00200A4B"/>
    <w:rsid w:val="00207612"/>
    <w:rsid w:val="002107C5"/>
    <w:rsid w:val="00211743"/>
    <w:rsid w:val="00216724"/>
    <w:rsid w:val="00216EA0"/>
    <w:rsid w:val="002203C4"/>
    <w:rsid w:val="002215F1"/>
    <w:rsid w:val="002217C9"/>
    <w:rsid w:val="002225D2"/>
    <w:rsid w:val="00222790"/>
    <w:rsid w:val="002247EC"/>
    <w:rsid w:val="002300CF"/>
    <w:rsid w:val="00232EA1"/>
    <w:rsid w:val="002337D4"/>
    <w:rsid w:val="00236152"/>
    <w:rsid w:val="00237DCE"/>
    <w:rsid w:val="002421D5"/>
    <w:rsid w:val="00242A76"/>
    <w:rsid w:val="0024367F"/>
    <w:rsid w:val="00244A44"/>
    <w:rsid w:val="00246F14"/>
    <w:rsid w:val="002518E9"/>
    <w:rsid w:val="00252111"/>
    <w:rsid w:val="002524B5"/>
    <w:rsid w:val="002538A4"/>
    <w:rsid w:val="00254180"/>
    <w:rsid w:val="00254CE6"/>
    <w:rsid w:val="002551DA"/>
    <w:rsid w:val="00256C94"/>
    <w:rsid w:val="00257170"/>
    <w:rsid w:val="00260FE8"/>
    <w:rsid w:val="002652BF"/>
    <w:rsid w:val="0026574E"/>
    <w:rsid w:val="002659BB"/>
    <w:rsid w:val="002659C2"/>
    <w:rsid w:val="002678AC"/>
    <w:rsid w:val="0027116B"/>
    <w:rsid w:val="00271AF8"/>
    <w:rsid w:val="00272ECF"/>
    <w:rsid w:val="00276F26"/>
    <w:rsid w:val="0028093D"/>
    <w:rsid w:val="00286FBD"/>
    <w:rsid w:val="0028729E"/>
    <w:rsid w:val="00291443"/>
    <w:rsid w:val="00292563"/>
    <w:rsid w:val="00293FAE"/>
    <w:rsid w:val="00294803"/>
    <w:rsid w:val="00295C6B"/>
    <w:rsid w:val="00296E59"/>
    <w:rsid w:val="002974DF"/>
    <w:rsid w:val="002A2C7D"/>
    <w:rsid w:val="002A3523"/>
    <w:rsid w:val="002A3E74"/>
    <w:rsid w:val="002A4EBE"/>
    <w:rsid w:val="002A6448"/>
    <w:rsid w:val="002A6ABB"/>
    <w:rsid w:val="002A6E69"/>
    <w:rsid w:val="002B1555"/>
    <w:rsid w:val="002B408B"/>
    <w:rsid w:val="002B46A4"/>
    <w:rsid w:val="002B5D8F"/>
    <w:rsid w:val="002B72D8"/>
    <w:rsid w:val="002B7FDE"/>
    <w:rsid w:val="002C242E"/>
    <w:rsid w:val="002C2BEB"/>
    <w:rsid w:val="002C2C43"/>
    <w:rsid w:val="002C2DEF"/>
    <w:rsid w:val="002C5371"/>
    <w:rsid w:val="002C55AF"/>
    <w:rsid w:val="002C753D"/>
    <w:rsid w:val="002D0167"/>
    <w:rsid w:val="002D3E73"/>
    <w:rsid w:val="002D60FD"/>
    <w:rsid w:val="002D6DA6"/>
    <w:rsid w:val="002D78C7"/>
    <w:rsid w:val="002D7960"/>
    <w:rsid w:val="002E2645"/>
    <w:rsid w:val="002E2AA8"/>
    <w:rsid w:val="002E2F15"/>
    <w:rsid w:val="002E4FEE"/>
    <w:rsid w:val="002E73AC"/>
    <w:rsid w:val="002E7C7F"/>
    <w:rsid w:val="002F1B85"/>
    <w:rsid w:val="002F47CD"/>
    <w:rsid w:val="002F4AE1"/>
    <w:rsid w:val="002F4C82"/>
    <w:rsid w:val="002F69E3"/>
    <w:rsid w:val="002F6A52"/>
    <w:rsid w:val="002F70F7"/>
    <w:rsid w:val="003005BE"/>
    <w:rsid w:val="0030068E"/>
    <w:rsid w:val="003013A4"/>
    <w:rsid w:val="003024D4"/>
    <w:rsid w:val="003027DF"/>
    <w:rsid w:val="00302890"/>
    <w:rsid w:val="00303204"/>
    <w:rsid w:val="00304140"/>
    <w:rsid w:val="00305477"/>
    <w:rsid w:val="00307AD8"/>
    <w:rsid w:val="003109F8"/>
    <w:rsid w:val="00310B09"/>
    <w:rsid w:val="00311359"/>
    <w:rsid w:val="00311D6F"/>
    <w:rsid w:val="00316C86"/>
    <w:rsid w:val="00317601"/>
    <w:rsid w:val="00317D05"/>
    <w:rsid w:val="00320695"/>
    <w:rsid w:val="0032215D"/>
    <w:rsid w:val="00322F16"/>
    <w:rsid w:val="003239D4"/>
    <w:rsid w:val="00324E03"/>
    <w:rsid w:val="00326A0D"/>
    <w:rsid w:val="00330468"/>
    <w:rsid w:val="00330F2D"/>
    <w:rsid w:val="00331890"/>
    <w:rsid w:val="00331BB7"/>
    <w:rsid w:val="003335E2"/>
    <w:rsid w:val="00336751"/>
    <w:rsid w:val="00337972"/>
    <w:rsid w:val="003451A1"/>
    <w:rsid w:val="00345A6C"/>
    <w:rsid w:val="00345FA8"/>
    <w:rsid w:val="00347450"/>
    <w:rsid w:val="0035259B"/>
    <w:rsid w:val="00356600"/>
    <w:rsid w:val="00357DE3"/>
    <w:rsid w:val="003664EF"/>
    <w:rsid w:val="00370B09"/>
    <w:rsid w:val="003728B5"/>
    <w:rsid w:val="00373851"/>
    <w:rsid w:val="00373D8A"/>
    <w:rsid w:val="00380C4A"/>
    <w:rsid w:val="003813DD"/>
    <w:rsid w:val="0038181A"/>
    <w:rsid w:val="003832E9"/>
    <w:rsid w:val="00385F36"/>
    <w:rsid w:val="0038763F"/>
    <w:rsid w:val="00387936"/>
    <w:rsid w:val="00387BDC"/>
    <w:rsid w:val="00390BC8"/>
    <w:rsid w:val="00391BF3"/>
    <w:rsid w:val="00391F15"/>
    <w:rsid w:val="00394B47"/>
    <w:rsid w:val="00395F20"/>
    <w:rsid w:val="003964B2"/>
    <w:rsid w:val="003A1AE1"/>
    <w:rsid w:val="003A4BCF"/>
    <w:rsid w:val="003B03F9"/>
    <w:rsid w:val="003B56B5"/>
    <w:rsid w:val="003C10CF"/>
    <w:rsid w:val="003C174F"/>
    <w:rsid w:val="003C235B"/>
    <w:rsid w:val="003C2BDF"/>
    <w:rsid w:val="003C366B"/>
    <w:rsid w:val="003C5FF1"/>
    <w:rsid w:val="003D5F7B"/>
    <w:rsid w:val="003D6989"/>
    <w:rsid w:val="003D7245"/>
    <w:rsid w:val="003E0025"/>
    <w:rsid w:val="003E1129"/>
    <w:rsid w:val="003E2A46"/>
    <w:rsid w:val="003E2B74"/>
    <w:rsid w:val="003E4551"/>
    <w:rsid w:val="003E4836"/>
    <w:rsid w:val="003E57DB"/>
    <w:rsid w:val="003E5826"/>
    <w:rsid w:val="003F035F"/>
    <w:rsid w:val="003F0783"/>
    <w:rsid w:val="003F5CE2"/>
    <w:rsid w:val="003F66BF"/>
    <w:rsid w:val="003F6C67"/>
    <w:rsid w:val="003F7BE0"/>
    <w:rsid w:val="00401D80"/>
    <w:rsid w:val="00402C5E"/>
    <w:rsid w:val="00406BC6"/>
    <w:rsid w:val="00411E77"/>
    <w:rsid w:val="00413B46"/>
    <w:rsid w:val="00414104"/>
    <w:rsid w:val="004148CD"/>
    <w:rsid w:val="00417924"/>
    <w:rsid w:val="004209A5"/>
    <w:rsid w:val="00420C90"/>
    <w:rsid w:val="004263C9"/>
    <w:rsid w:val="004274AE"/>
    <w:rsid w:val="0043053A"/>
    <w:rsid w:val="00431E52"/>
    <w:rsid w:val="00433B27"/>
    <w:rsid w:val="004347AC"/>
    <w:rsid w:val="00436C68"/>
    <w:rsid w:val="004376CF"/>
    <w:rsid w:val="00440C92"/>
    <w:rsid w:val="004410CD"/>
    <w:rsid w:val="004442AD"/>
    <w:rsid w:val="00447C54"/>
    <w:rsid w:val="00450517"/>
    <w:rsid w:val="00456C5A"/>
    <w:rsid w:val="00460C16"/>
    <w:rsid w:val="00461A36"/>
    <w:rsid w:val="00461B30"/>
    <w:rsid w:val="004627B0"/>
    <w:rsid w:val="00462B8D"/>
    <w:rsid w:val="00463417"/>
    <w:rsid w:val="00472149"/>
    <w:rsid w:val="004728AC"/>
    <w:rsid w:val="0047340A"/>
    <w:rsid w:val="004734C3"/>
    <w:rsid w:val="00473AF7"/>
    <w:rsid w:val="00475143"/>
    <w:rsid w:val="004766B5"/>
    <w:rsid w:val="0047677E"/>
    <w:rsid w:val="004772E4"/>
    <w:rsid w:val="00477DAC"/>
    <w:rsid w:val="0048018B"/>
    <w:rsid w:val="004828AD"/>
    <w:rsid w:val="00485FFD"/>
    <w:rsid w:val="0049029D"/>
    <w:rsid w:val="0049198B"/>
    <w:rsid w:val="00494C4A"/>
    <w:rsid w:val="00494DC9"/>
    <w:rsid w:val="00495245"/>
    <w:rsid w:val="00496696"/>
    <w:rsid w:val="00497985"/>
    <w:rsid w:val="004A0420"/>
    <w:rsid w:val="004A1F09"/>
    <w:rsid w:val="004A6901"/>
    <w:rsid w:val="004A6B30"/>
    <w:rsid w:val="004A6B43"/>
    <w:rsid w:val="004A7FA2"/>
    <w:rsid w:val="004B06EE"/>
    <w:rsid w:val="004B4E03"/>
    <w:rsid w:val="004B6C6A"/>
    <w:rsid w:val="004C0D39"/>
    <w:rsid w:val="004C4C9D"/>
    <w:rsid w:val="004C69B2"/>
    <w:rsid w:val="004C76A6"/>
    <w:rsid w:val="004C78BA"/>
    <w:rsid w:val="004C7C74"/>
    <w:rsid w:val="004C7D7B"/>
    <w:rsid w:val="004D019B"/>
    <w:rsid w:val="004D06E3"/>
    <w:rsid w:val="004D1230"/>
    <w:rsid w:val="004D17E2"/>
    <w:rsid w:val="004D6E4A"/>
    <w:rsid w:val="004D74C8"/>
    <w:rsid w:val="004E05B2"/>
    <w:rsid w:val="004E4B42"/>
    <w:rsid w:val="004E4BFD"/>
    <w:rsid w:val="004E4D2B"/>
    <w:rsid w:val="004E6B97"/>
    <w:rsid w:val="004E7043"/>
    <w:rsid w:val="004E7B38"/>
    <w:rsid w:val="004F1BF6"/>
    <w:rsid w:val="004F2423"/>
    <w:rsid w:val="004F3D74"/>
    <w:rsid w:val="004F3E72"/>
    <w:rsid w:val="004F4AA4"/>
    <w:rsid w:val="004F5C4A"/>
    <w:rsid w:val="004F6DC9"/>
    <w:rsid w:val="005012A8"/>
    <w:rsid w:val="00501DC3"/>
    <w:rsid w:val="005030E1"/>
    <w:rsid w:val="00504457"/>
    <w:rsid w:val="005054F2"/>
    <w:rsid w:val="00505BB3"/>
    <w:rsid w:val="0051190C"/>
    <w:rsid w:val="00512C0F"/>
    <w:rsid w:val="00516DC3"/>
    <w:rsid w:val="005209B2"/>
    <w:rsid w:val="00521502"/>
    <w:rsid w:val="005257AC"/>
    <w:rsid w:val="00525988"/>
    <w:rsid w:val="0052600D"/>
    <w:rsid w:val="0052668B"/>
    <w:rsid w:val="00527D5C"/>
    <w:rsid w:val="00530A52"/>
    <w:rsid w:val="005408CE"/>
    <w:rsid w:val="00540BCE"/>
    <w:rsid w:val="005421B4"/>
    <w:rsid w:val="00546D02"/>
    <w:rsid w:val="005523E1"/>
    <w:rsid w:val="0056076F"/>
    <w:rsid w:val="00561313"/>
    <w:rsid w:val="00563996"/>
    <w:rsid w:val="00564BF5"/>
    <w:rsid w:val="005660E5"/>
    <w:rsid w:val="00571EBD"/>
    <w:rsid w:val="00572E8C"/>
    <w:rsid w:val="005743C4"/>
    <w:rsid w:val="00574671"/>
    <w:rsid w:val="005771A9"/>
    <w:rsid w:val="00580EE3"/>
    <w:rsid w:val="005824C9"/>
    <w:rsid w:val="00582781"/>
    <w:rsid w:val="005829EC"/>
    <w:rsid w:val="00582C18"/>
    <w:rsid w:val="00582FDD"/>
    <w:rsid w:val="005837B1"/>
    <w:rsid w:val="005843C8"/>
    <w:rsid w:val="0058550E"/>
    <w:rsid w:val="00593127"/>
    <w:rsid w:val="00593D27"/>
    <w:rsid w:val="00594136"/>
    <w:rsid w:val="005957C2"/>
    <w:rsid w:val="00596D37"/>
    <w:rsid w:val="00597F6E"/>
    <w:rsid w:val="005A0CD0"/>
    <w:rsid w:val="005A2C84"/>
    <w:rsid w:val="005A2D92"/>
    <w:rsid w:val="005A68FD"/>
    <w:rsid w:val="005A6E11"/>
    <w:rsid w:val="005A7C8C"/>
    <w:rsid w:val="005B0254"/>
    <w:rsid w:val="005B1331"/>
    <w:rsid w:val="005B2468"/>
    <w:rsid w:val="005B2BC3"/>
    <w:rsid w:val="005B31CC"/>
    <w:rsid w:val="005B3535"/>
    <w:rsid w:val="005B4E22"/>
    <w:rsid w:val="005B638A"/>
    <w:rsid w:val="005C19C4"/>
    <w:rsid w:val="005C2183"/>
    <w:rsid w:val="005C2AF2"/>
    <w:rsid w:val="005C55D0"/>
    <w:rsid w:val="005C677C"/>
    <w:rsid w:val="005C6E80"/>
    <w:rsid w:val="005C7265"/>
    <w:rsid w:val="005D033E"/>
    <w:rsid w:val="005D0997"/>
    <w:rsid w:val="005D1448"/>
    <w:rsid w:val="005D640F"/>
    <w:rsid w:val="005E0DF6"/>
    <w:rsid w:val="005E1A78"/>
    <w:rsid w:val="005E1CDC"/>
    <w:rsid w:val="005E41BA"/>
    <w:rsid w:val="005E724E"/>
    <w:rsid w:val="005E7542"/>
    <w:rsid w:val="005F08C0"/>
    <w:rsid w:val="005F11F9"/>
    <w:rsid w:val="005F21E4"/>
    <w:rsid w:val="005F3066"/>
    <w:rsid w:val="005F5BDC"/>
    <w:rsid w:val="005F71D4"/>
    <w:rsid w:val="00600D0D"/>
    <w:rsid w:val="00602EAB"/>
    <w:rsid w:val="00604F02"/>
    <w:rsid w:val="0060768A"/>
    <w:rsid w:val="006078B7"/>
    <w:rsid w:val="00616845"/>
    <w:rsid w:val="00617A5E"/>
    <w:rsid w:val="006219C0"/>
    <w:rsid w:val="00622289"/>
    <w:rsid w:val="00625228"/>
    <w:rsid w:val="00630992"/>
    <w:rsid w:val="00631193"/>
    <w:rsid w:val="0063125E"/>
    <w:rsid w:val="00631B92"/>
    <w:rsid w:val="00631EFE"/>
    <w:rsid w:val="006338DE"/>
    <w:rsid w:val="006375A9"/>
    <w:rsid w:val="00641FD2"/>
    <w:rsid w:val="0064200D"/>
    <w:rsid w:val="006447C6"/>
    <w:rsid w:val="006455C2"/>
    <w:rsid w:val="0065276F"/>
    <w:rsid w:val="006527A6"/>
    <w:rsid w:val="00652F3B"/>
    <w:rsid w:val="006532C8"/>
    <w:rsid w:val="00654E01"/>
    <w:rsid w:val="00656365"/>
    <w:rsid w:val="00656785"/>
    <w:rsid w:val="006608D7"/>
    <w:rsid w:val="00663911"/>
    <w:rsid w:val="0066394F"/>
    <w:rsid w:val="00667CB5"/>
    <w:rsid w:val="00667F39"/>
    <w:rsid w:val="00667F92"/>
    <w:rsid w:val="006718DC"/>
    <w:rsid w:val="006742B4"/>
    <w:rsid w:val="006756EB"/>
    <w:rsid w:val="0067687B"/>
    <w:rsid w:val="00677BE8"/>
    <w:rsid w:val="00677C2E"/>
    <w:rsid w:val="00680217"/>
    <w:rsid w:val="00680DC2"/>
    <w:rsid w:val="00680EAA"/>
    <w:rsid w:val="00683640"/>
    <w:rsid w:val="00685185"/>
    <w:rsid w:val="006861AB"/>
    <w:rsid w:val="006918A1"/>
    <w:rsid w:val="006924F1"/>
    <w:rsid w:val="00692DCF"/>
    <w:rsid w:val="006932C9"/>
    <w:rsid w:val="006953C8"/>
    <w:rsid w:val="00695885"/>
    <w:rsid w:val="00695D9F"/>
    <w:rsid w:val="006968BB"/>
    <w:rsid w:val="006A0F2F"/>
    <w:rsid w:val="006A1DDB"/>
    <w:rsid w:val="006A1F93"/>
    <w:rsid w:val="006A4D1D"/>
    <w:rsid w:val="006A6105"/>
    <w:rsid w:val="006B0120"/>
    <w:rsid w:val="006B0A32"/>
    <w:rsid w:val="006B1346"/>
    <w:rsid w:val="006B325C"/>
    <w:rsid w:val="006B6DBE"/>
    <w:rsid w:val="006C18F1"/>
    <w:rsid w:val="006C2263"/>
    <w:rsid w:val="006C22D3"/>
    <w:rsid w:val="006C7DF0"/>
    <w:rsid w:val="006D1AB6"/>
    <w:rsid w:val="006D1BA9"/>
    <w:rsid w:val="006D31C4"/>
    <w:rsid w:val="006D39F2"/>
    <w:rsid w:val="006D48C9"/>
    <w:rsid w:val="006D4A41"/>
    <w:rsid w:val="006D5485"/>
    <w:rsid w:val="006D54CB"/>
    <w:rsid w:val="006D7DFA"/>
    <w:rsid w:val="006E1172"/>
    <w:rsid w:val="006E3064"/>
    <w:rsid w:val="006E404D"/>
    <w:rsid w:val="006E4611"/>
    <w:rsid w:val="006E4C20"/>
    <w:rsid w:val="006E5516"/>
    <w:rsid w:val="006E571E"/>
    <w:rsid w:val="006E744B"/>
    <w:rsid w:val="006E76D2"/>
    <w:rsid w:val="006F0CA9"/>
    <w:rsid w:val="006F1DFC"/>
    <w:rsid w:val="006F5AFC"/>
    <w:rsid w:val="006F61F2"/>
    <w:rsid w:val="0070122C"/>
    <w:rsid w:val="00701909"/>
    <w:rsid w:val="00702546"/>
    <w:rsid w:val="00703443"/>
    <w:rsid w:val="007052F8"/>
    <w:rsid w:val="0070594B"/>
    <w:rsid w:val="00707FFB"/>
    <w:rsid w:val="00710D74"/>
    <w:rsid w:val="00710D7D"/>
    <w:rsid w:val="00712877"/>
    <w:rsid w:val="0071468D"/>
    <w:rsid w:val="00716917"/>
    <w:rsid w:val="00716A6E"/>
    <w:rsid w:val="00717668"/>
    <w:rsid w:val="0072103B"/>
    <w:rsid w:val="00724B12"/>
    <w:rsid w:val="00730392"/>
    <w:rsid w:val="00733BC2"/>
    <w:rsid w:val="007361D0"/>
    <w:rsid w:val="00742E96"/>
    <w:rsid w:val="007434C7"/>
    <w:rsid w:val="0074390D"/>
    <w:rsid w:val="0074544D"/>
    <w:rsid w:val="007454D9"/>
    <w:rsid w:val="00747805"/>
    <w:rsid w:val="007479D1"/>
    <w:rsid w:val="00747CC5"/>
    <w:rsid w:val="00747DD1"/>
    <w:rsid w:val="00751BEA"/>
    <w:rsid w:val="00752EFE"/>
    <w:rsid w:val="00753239"/>
    <w:rsid w:val="007547BE"/>
    <w:rsid w:val="007552C0"/>
    <w:rsid w:val="0075612D"/>
    <w:rsid w:val="007561CE"/>
    <w:rsid w:val="007574FB"/>
    <w:rsid w:val="007609A9"/>
    <w:rsid w:val="00761277"/>
    <w:rsid w:val="00763C0E"/>
    <w:rsid w:val="00765037"/>
    <w:rsid w:val="0076518C"/>
    <w:rsid w:val="007668F8"/>
    <w:rsid w:val="007673A6"/>
    <w:rsid w:val="00771892"/>
    <w:rsid w:val="007742C4"/>
    <w:rsid w:val="00775997"/>
    <w:rsid w:val="007803C2"/>
    <w:rsid w:val="00780724"/>
    <w:rsid w:val="00780974"/>
    <w:rsid w:val="00780CE9"/>
    <w:rsid w:val="00781421"/>
    <w:rsid w:val="00783CDA"/>
    <w:rsid w:val="0078669D"/>
    <w:rsid w:val="007879AF"/>
    <w:rsid w:val="00791012"/>
    <w:rsid w:val="0079202F"/>
    <w:rsid w:val="00792C48"/>
    <w:rsid w:val="00793E03"/>
    <w:rsid w:val="0079473A"/>
    <w:rsid w:val="00794A77"/>
    <w:rsid w:val="00795BFF"/>
    <w:rsid w:val="00795EC9"/>
    <w:rsid w:val="00796723"/>
    <w:rsid w:val="007A0797"/>
    <w:rsid w:val="007A1C41"/>
    <w:rsid w:val="007A3E85"/>
    <w:rsid w:val="007A4344"/>
    <w:rsid w:val="007A44F8"/>
    <w:rsid w:val="007A6448"/>
    <w:rsid w:val="007A67C7"/>
    <w:rsid w:val="007B18B3"/>
    <w:rsid w:val="007B28B5"/>
    <w:rsid w:val="007B2C65"/>
    <w:rsid w:val="007B4265"/>
    <w:rsid w:val="007C0836"/>
    <w:rsid w:val="007C0F72"/>
    <w:rsid w:val="007C1CE4"/>
    <w:rsid w:val="007C28A1"/>
    <w:rsid w:val="007C3131"/>
    <w:rsid w:val="007C3A25"/>
    <w:rsid w:val="007C7062"/>
    <w:rsid w:val="007D2938"/>
    <w:rsid w:val="007D2D6E"/>
    <w:rsid w:val="007D375E"/>
    <w:rsid w:val="007D5955"/>
    <w:rsid w:val="007D5C2A"/>
    <w:rsid w:val="007D77B4"/>
    <w:rsid w:val="007E0188"/>
    <w:rsid w:val="007E1A79"/>
    <w:rsid w:val="007E3480"/>
    <w:rsid w:val="007E4E89"/>
    <w:rsid w:val="007E5759"/>
    <w:rsid w:val="007E7A6F"/>
    <w:rsid w:val="007F08CE"/>
    <w:rsid w:val="007F0C36"/>
    <w:rsid w:val="007F1C82"/>
    <w:rsid w:val="007F330C"/>
    <w:rsid w:val="007F717B"/>
    <w:rsid w:val="00805A05"/>
    <w:rsid w:val="00805B36"/>
    <w:rsid w:val="00807519"/>
    <w:rsid w:val="008075DB"/>
    <w:rsid w:val="00807EB9"/>
    <w:rsid w:val="00811F68"/>
    <w:rsid w:val="00812425"/>
    <w:rsid w:val="00813208"/>
    <w:rsid w:val="00814D90"/>
    <w:rsid w:val="0081698F"/>
    <w:rsid w:val="008205DA"/>
    <w:rsid w:val="00822856"/>
    <w:rsid w:val="00822D43"/>
    <w:rsid w:val="008243B0"/>
    <w:rsid w:val="008307D0"/>
    <w:rsid w:val="00831363"/>
    <w:rsid w:val="0083139C"/>
    <w:rsid w:val="00832731"/>
    <w:rsid w:val="0083550D"/>
    <w:rsid w:val="008378E0"/>
    <w:rsid w:val="00840803"/>
    <w:rsid w:val="00842B39"/>
    <w:rsid w:val="00843BBC"/>
    <w:rsid w:val="008449AF"/>
    <w:rsid w:val="00844FBA"/>
    <w:rsid w:val="00845413"/>
    <w:rsid w:val="00845B55"/>
    <w:rsid w:val="00847EA1"/>
    <w:rsid w:val="00847FC1"/>
    <w:rsid w:val="0085100F"/>
    <w:rsid w:val="00851354"/>
    <w:rsid w:val="008532DF"/>
    <w:rsid w:val="00856907"/>
    <w:rsid w:val="008603D2"/>
    <w:rsid w:val="0086071B"/>
    <w:rsid w:val="00860FCB"/>
    <w:rsid w:val="00864542"/>
    <w:rsid w:val="00864C5A"/>
    <w:rsid w:val="0086553A"/>
    <w:rsid w:val="00865D7D"/>
    <w:rsid w:val="00866C34"/>
    <w:rsid w:val="00866F51"/>
    <w:rsid w:val="00870BED"/>
    <w:rsid w:val="00873637"/>
    <w:rsid w:val="008777FA"/>
    <w:rsid w:val="008778DD"/>
    <w:rsid w:val="00883472"/>
    <w:rsid w:val="00883B47"/>
    <w:rsid w:val="00883D7A"/>
    <w:rsid w:val="00884919"/>
    <w:rsid w:val="00886BA6"/>
    <w:rsid w:val="008914E4"/>
    <w:rsid w:val="00891EC4"/>
    <w:rsid w:val="00893044"/>
    <w:rsid w:val="00893CB0"/>
    <w:rsid w:val="008A132A"/>
    <w:rsid w:val="008A193E"/>
    <w:rsid w:val="008A2D8D"/>
    <w:rsid w:val="008A3612"/>
    <w:rsid w:val="008A3E90"/>
    <w:rsid w:val="008B13A9"/>
    <w:rsid w:val="008B450E"/>
    <w:rsid w:val="008B591F"/>
    <w:rsid w:val="008C0165"/>
    <w:rsid w:val="008C0AB3"/>
    <w:rsid w:val="008C410D"/>
    <w:rsid w:val="008C5AD8"/>
    <w:rsid w:val="008C70D4"/>
    <w:rsid w:val="008C7DBA"/>
    <w:rsid w:val="008D00D8"/>
    <w:rsid w:val="008D0304"/>
    <w:rsid w:val="008D0F7C"/>
    <w:rsid w:val="008D20D2"/>
    <w:rsid w:val="008D2CC8"/>
    <w:rsid w:val="008D3DA2"/>
    <w:rsid w:val="008D4A1B"/>
    <w:rsid w:val="008D521B"/>
    <w:rsid w:val="008E0335"/>
    <w:rsid w:val="008E127C"/>
    <w:rsid w:val="008E507B"/>
    <w:rsid w:val="008F069B"/>
    <w:rsid w:val="008F0E72"/>
    <w:rsid w:val="008F3DC6"/>
    <w:rsid w:val="008F5AF7"/>
    <w:rsid w:val="008F65E8"/>
    <w:rsid w:val="008F68EF"/>
    <w:rsid w:val="008F7045"/>
    <w:rsid w:val="00900C38"/>
    <w:rsid w:val="009012E6"/>
    <w:rsid w:val="009018C3"/>
    <w:rsid w:val="00903215"/>
    <w:rsid w:val="00904451"/>
    <w:rsid w:val="00907108"/>
    <w:rsid w:val="00910277"/>
    <w:rsid w:val="00910DED"/>
    <w:rsid w:val="00911011"/>
    <w:rsid w:val="009133E6"/>
    <w:rsid w:val="00913C59"/>
    <w:rsid w:val="009173F1"/>
    <w:rsid w:val="00917B33"/>
    <w:rsid w:val="00917CF2"/>
    <w:rsid w:val="00933087"/>
    <w:rsid w:val="009333A9"/>
    <w:rsid w:val="00933C90"/>
    <w:rsid w:val="00933D84"/>
    <w:rsid w:val="00933D85"/>
    <w:rsid w:val="009340B6"/>
    <w:rsid w:val="00935855"/>
    <w:rsid w:val="009367AB"/>
    <w:rsid w:val="00936A83"/>
    <w:rsid w:val="00937E40"/>
    <w:rsid w:val="009414B8"/>
    <w:rsid w:val="009415CF"/>
    <w:rsid w:val="00942399"/>
    <w:rsid w:val="009438E4"/>
    <w:rsid w:val="00943AC6"/>
    <w:rsid w:val="009476AD"/>
    <w:rsid w:val="0095275C"/>
    <w:rsid w:val="00957771"/>
    <w:rsid w:val="009578B6"/>
    <w:rsid w:val="0096002E"/>
    <w:rsid w:val="00961636"/>
    <w:rsid w:val="00964157"/>
    <w:rsid w:val="0096426B"/>
    <w:rsid w:val="00964756"/>
    <w:rsid w:val="0097132A"/>
    <w:rsid w:val="00972639"/>
    <w:rsid w:val="009727A9"/>
    <w:rsid w:val="00972B27"/>
    <w:rsid w:val="00973576"/>
    <w:rsid w:val="00973E4C"/>
    <w:rsid w:val="00974B71"/>
    <w:rsid w:val="00977325"/>
    <w:rsid w:val="009815DB"/>
    <w:rsid w:val="00982D31"/>
    <w:rsid w:val="0098366D"/>
    <w:rsid w:val="00987BA8"/>
    <w:rsid w:val="009934D7"/>
    <w:rsid w:val="00993B55"/>
    <w:rsid w:val="00996FA5"/>
    <w:rsid w:val="00997EBB"/>
    <w:rsid w:val="009A1279"/>
    <w:rsid w:val="009A2677"/>
    <w:rsid w:val="009A2C27"/>
    <w:rsid w:val="009B02CB"/>
    <w:rsid w:val="009B1F41"/>
    <w:rsid w:val="009B2876"/>
    <w:rsid w:val="009B2B42"/>
    <w:rsid w:val="009B37FE"/>
    <w:rsid w:val="009B46AB"/>
    <w:rsid w:val="009B5A09"/>
    <w:rsid w:val="009B7553"/>
    <w:rsid w:val="009C2935"/>
    <w:rsid w:val="009C3293"/>
    <w:rsid w:val="009C3A69"/>
    <w:rsid w:val="009C4C7E"/>
    <w:rsid w:val="009C5BE1"/>
    <w:rsid w:val="009C6EB5"/>
    <w:rsid w:val="009C73CF"/>
    <w:rsid w:val="009C73E7"/>
    <w:rsid w:val="009D0012"/>
    <w:rsid w:val="009D2A31"/>
    <w:rsid w:val="009D37DA"/>
    <w:rsid w:val="009D5592"/>
    <w:rsid w:val="009D5DD9"/>
    <w:rsid w:val="009D62E5"/>
    <w:rsid w:val="009D66EA"/>
    <w:rsid w:val="009D6E9F"/>
    <w:rsid w:val="009D74D8"/>
    <w:rsid w:val="009E0557"/>
    <w:rsid w:val="009E2331"/>
    <w:rsid w:val="009E4E5E"/>
    <w:rsid w:val="009E5CEA"/>
    <w:rsid w:val="009E665B"/>
    <w:rsid w:val="009F0F05"/>
    <w:rsid w:val="009F5956"/>
    <w:rsid w:val="00A005E0"/>
    <w:rsid w:val="00A02EE8"/>
    <w:rsid w:val="00A05AB4"/>
    <w:rsid w:val="00A075B4"/>
    <w:rsid w:val="00A07740"/>
    <w:rsid w:val="00A07A0D"/>
    <w:rsid w:val="00A134B0"/>
    <w:rsid w:val="00A13898"/>
    <w:rsid w:val="00A15BE7"/>
    <w:rsid w:val="00A17D49"/>
    <w:rsid w:val="00A2074D"/>
    <w:rsid w:val="00A21493"/>
    <w:rsid w:val="00A2170E"/>
    <w:rsid w:val="00A21B80"/>
    <w:rsid w:val="00A21EE5"/>
    <w:rsid w:val="00A24376"/>
    <w:rsid w:val="00A26E54"/>
    <w:rsid w:val="00A27080"/>
    <w:rsid w:val="00A31196"/>
    <w:rsid w:val="00A31D61"/>
    <w:rsid w:val="00A32640"/>
    <w:rsid w:val="00A32F5C"/>
    <w:rsid w:val="00A3467E"/>
    <w:rsid w:val="00A371EF"/>
    <w:rsid w:val="00A3734D"/>
    <w:rsid w:val="00A40EE7"/>
    <w:rsid w:val="00A425B0"/>
    <w:rsid w:val="00A4432A"/>
    <w:rsid w:val="00A450B9"/>
    <w:rsid w:val="00A469D2"/>
    <w:rsid w:val="00A46BA5"/>
    <w:rsid w:val="00A50A5C"/>
    <w:rsid w:val="00A50F6F"/>
    <w:rsid w:val="00A52BB4"/>
    <w:rsid w:val="00A5347A"/>
    <w:rsid w:val="00A53D30"/>
    <w:rsid w:val="00A604FF"/>
    <w:rsid w:val="00A615A8"/>
    <w:rsid w:val="00A62A8A"/>
    <w:rsid w:val="00A63DD4"/>
    <w:rsid w:val="00A63FF1"/>
    <w:rsid w:val="00A65847"/>
    <w:rsid w:val="00A65E68"/>
    <w:rsid w:val="00A70C48"/>
    <w:rsid w:val="00A71900"/>
    <w:rsid w:val="00A72472"/>
    <w:rsid w:val="00A754A5"/>
    <w:rsid w:val="00A77259"/>
    <w:rsid w:val="00A77424"/>
    <w:rsid w:val="00A85308"/>
    <w:rsid w:val="00A85DBE"/>
    <w:rsid w:val="00A85ECD"/>
    <w:rsid w:val="00A8622B"/>
    <w:rsid w:val="00A90BA4"/>
    <w:rsid w:val="00A913A3"/>
    <w:rsid w:val="00A92F57"/>
    <w:rsid w:val="00A93404"/>
    <w:rsid w:val="00A93810"/>
    <w:rsid w:val="00A93A59"/>
    <w:rsid w:val="00A94A0F"/>
    <w:rsid w:val="00AA3A92"/>
    <w:rsid w:val="00AA769A"/>
    <w:rsid w:val="00AB1793"/>
    <w:rsid w:val="00AB4A04"/>
    <w:rsid w:val="00AB56A9"/>
    <w:rsid w:val="00AC153C"/>
    <w:rsid w:val="00AC1B58"/>
    <w:rsid w:val="00AC1BE7"/>
    <w:rsid w:val="00AC3E46"/>
    <w:rsid w:val="00AC4B76"/>
    <w:rsid w:val="00AC5D51"/>
    <w:rsid w:val="00AC6758"/>
    <w:rsid w:val="00AC717A"/>
    <w:rsid w:val="00AC7B66"/>
    <w:rsid w:val="00AD07BF"/>
    <w:rsid w:val="00AD1224"/>
    <w:rsid w:val="00AD185B"/>
    <w:rsid w:val="00AD2379"/>
    <w:rsid w:val="00AD3083"/>
    <w:rsid w:val="00AD4BD0"/>
    <w:rsid w:val="00AD4CB6"/>
    <w:rsid w:val="00AD6409"/>
    <w:rsid w:val="00AD6D25"/>
    <w:rsid w:val="00AD7F2E"/>
    <w:rsid w:val="00AE006B"/>
    <w:rsid w:val="00AE46E4"/>
    <w:rsid w:val="00AE597C"/>
    <w:rsid w:val="00AE69A3"/>
    <w:rsid w:val="00AF12E4"/>
    <w:rsid w:val="00AF13BF"/>
    <w:rsid w:val="00AF4506"/>
    <w:rsid w:val="00AF52F7"/>
    <w:rsid w:val="00B00526"/>
    <w:rsid w:val="00B00875"/>
    <w:rsid w:val="00B00967"/>
    <w:rsid w:val="00B022BF"/>
    <w:rsid w:val="00B024DF"/>
    <w:rsid w:val="00B0331C"/>
    <w:rsid w:val="00B036CF"/>
    <w:rsid w:val="00B05D05"/>
    <w:rsid w:val="00B0744A"/>
    <w:rsid w:val="00B108C5"/>
    <w:rsid w:val="00B11538"/>
    <w:rsid w:val="00B117B6"/>
    <w:rsid w:val="00B12B09"/>
    <w:rsid w:val="00B1561C"/>
    <w:rsid w:val="00B17559"/>
    <w:rsid w:val="00B1769E"/>
    <w:rsid w:val="00B255E6"/>
    <w:rsid w:val="00B2603B"/>
    <w:rsid w:val="00B270CE"/>
    <w:rsid w:val="00B30A47"/>
    <w:rsid w:val="00B339DC"/>
    <w:rsid w:val="00B3675F"/>
    <w:rsid w:val="00B36A88"/>
    <w:rsid w:val="00B41768"/>
    <w:rsid w:val="00B41B23"/>
    <w:rsid w:val="00B42033"/>
    <w:rsid w:val="00B42922"/>
    <w:rsid w:val="00B43628"/>
    <w:rsid w:val="00B4509D"/>
    <w:rsid w:val="00B46547"/>
    <w:rsid w:val="00B46784"/>
    <w:rsid w:val="00B51B45"/>
    <w:rsid w:val="00B52B9D"/>
    <w:rsid w:val="00B57BE4"/>
    <w:rsid w:val="00B60BFE"/>
    <w:rsid w:val="00B62680"/>
    <w:rsid w:val="00B62B8A"/>
    <w:rsid w:val="00B640C0"/>
    <w:rsid w:val="00B65145"/>
    <w:rsid w:val="00B6519E"/>
    <w:rsid w:val="00B662AE"/>
    <w:rsid w:val="00B6792F"/>
    <w:rsid w:val="00B705CD"/>
    <w:rsid w:val="00B71820"/>
    <w:rsid w:val="00B72BBE"/>
    <w:rsid w:val="00B733E2"/>
    <w:rsid w:val="00B743DD"/>
    <w:rsid w:val="00B767E1"/>
    <w:rsid w:val="00B769B5"/>
    <w:rsid w:val="00B81DA1"/>
    <w:rsid w:val="00B84D6D"/>
    <w:rsid w:val="00B87891"/>
    <w:rsid w:val="00B9330A"/>
    <w:rsid w:val="00B93EB9"/>
    <w:rsid w:val="00B941C8"/>
    <w:rsid w:val="00B9460D"/>
    <w:rsid w:val="00B96754"/>
    <w:rsid w:val="00BA1C82"/>
    <w:rsid w:val="00BA3981"/>
    <w:rsid w:val="00BA3C8F"/>
    <w:rsid w:val="00BA4708"/>
    <w:rsid w:val="00BA55F0"/>
    <w:rsid w:val="00BA6555"/>
    <w:rsid w:val="00BA6EB4"/>
    <w:rsid w:val="00BB0431"/>
    <w:rsid w:val="00BB0DED"/>
    <w:rsid w:val="00BB1111"/>
    <w:rsid w:val="00BB1288"/>
    <w:rsid w:val="00BB17B5"/>
    <w:rsid w:val="00BB1878"/>
    <w:rsid w:val="00BB55EA"/>
    <w:rsid w:val="00BB76B0"/>
    <w:rsid w:val="00BB79A2"/>
    <w:rsid w:val="00BC0DFA"/>
    <w:rsid w:val="00BC0F59"/>
    <w:rsid w:val="00BC18CD"/>
    <w:rsid w:val="00BC3587"/>
    <w:rsid w:val="00BC504B"/>
    <w:rsid w:val="00BC676A"/>
    <w:rsid w:val="00BC687D"/>
    <w:rsid w:val="00BD1B48"/>
    <w:rsid w:val="00BD22C2"/>
    <w:rsid w:val="00BD295B"/>
    <w:rsid w:val="00BD3855"/>
    <w:rsid w:val="00BD44DB"/>
    <w:rsid w:val="00BD4AEC"/>
    <w:rsid w:val="00BD55C8"/>
    <w:rsid w:val="00BD5D7B"/>
    <w:rsid w:val="00BD6C04"/>
    <w:rsid w:val="00BE20C8"/>
    <w:rsid w:val="00BE2AB9"/>
    <w:rsid w:val="00BE3FD1"/>
    <w:rsid w:val="00BE4569"/>
    <w:rsid w:val="00BE692E"/>
    <w:rsid w:val="00BE6ADB"/>
    <w:rsid w:val="00BF2F5B"/>
    <w:rsid w:val="00BF7889"/>
    <w:rsid w:val="00BF7CAF"/>
    <w:rsid w:val="00C01921"/>
    <w:rsid w:val="00C0444B"/>
    <w:rsid w:val="00C04AD3"/>
    <w:rsid w:val="00C05326"/>
    <w:rsid w:val="00C10A23"/>
    <w:rsid w:val="00C1297D"/>
    <w:rsid w:val="00C12BB1"/>
    <w:rsid w:val="00C13173"/>
    <w:rsid w:val="00C13F0A"/>
    <w:rsid w:val="00C16530"/>
    <w:rsid w:val="00C1780F"/>
    <w:rsid w:val="00C208D5"/>
    <w:rsid w:val="00C215CC"/>
    <w:rsid w:val="00C22EE4"/>
    <w:rsid w:val="00C242EF"/>
    <w:rsid w:val="00C253E0"/>
    <w:rsid w:val="00C2769A"/>
    <w:rsid w:val="00C3176A"/>
    <w:rsid w:val="00C318E0"/>
    <w:rsid w:val="00C31B1B"/>
    <w:rsid w:val="00C335C1"/>
    <w:rsid w:val="00C33AFB"/>
    <w:rsid w:val="00C34E0D"/>
    <w:rsid w:val="00C35951"/>
    <w:rsid w:val="00C37475"/>
    <w:rsid w:val="00C42E89"/>
    <w:rsid w:val="00C447A1"/>
    <w:rsid w:val="00C4481C"/>
    <w:rsid w:val="00C469CB"/>
    <w:rsid w:val="00C51BF5"/>
    <w:rsid w:val="00C5336A"/>
    <w:rsid w:val="00C535E4"/>
    <w:rsid w:val="00C53BCC"/>
    <w:rsid w:val="00C56921"/>
    <w:rsid w:val="00C57FAC"/>
    <w:rsid w:val="00C62975"/>
    <w:rsid w:val="00C656DF"/>
    <w:rsid w:val="00C71E1C"/>
    <w:rsid w:val="00C72A15"/>
    <w:rsid w:val="00C74377"/>
    <w:rsid w:val="00C76884"/>
    <w:rsid w:val="00C76F76"/>
    <w:rsid w:val="00C8382B"/>
    <w:rsid w:val="00C83FD7"/>
    <w:rsid w:val="00C85990"/>
    <w:rsid w:val="00C904AD"/>
    <w:rsid w:val="00C94629"/>
    <w:rsid w:val="00C94F7D"/>
    <w:rsid w:val="00CA05FA"/>
    <w:rsid w:val="00CA1A82"/>
    <w:rsid w:val="00CA438F"/>
    <w:rsid w:val="00CA44BE"/>
    <w:rsid w:val="00CA48AC"/>
    <w:rsid w:val="00CA49BA"/>
    <w:rsid w:val="00CA51B0"/>
    <w:rsid w:val="00CA791A"/>
    <w:rsid w:val="00CB127A"/>
    <w:rsid w:val="00CB1901"/>
    <w:rsid w:val="00CB2FC6"/>
    <w:rsid w:val="00CC122F"/>
    <w:rsid w:val="00CC3CF7"/>
    <w:rsid w:val="00CC4796"/>
    <w:rsid w:val="00CC6015"/>
    <w:rsid w:val="00CD264A"/>
    <w:rsid w:val="00CD2AD6"/>
    <w:rsid w:val="00CD2BF1"/>
    <w:rsid w:val="00CD2E2F"/>
    <w:rsid w:val="00CD38F8"/>
    <w:rsid w:val="00CD55CF"/>
    <w:rsid w:val="00CD5F63"/>
    <w:rsid w:val="00CD6F4F"/>
    <w:rsid w:val="00CD7B2D"/>
    <w:rsid w:val="00CE5B58"/>
    <w:rsid w:val="00CE7A1B"/>
    <w:rsid w:val="00CF1329"/>
    <w:rsid w:val="00CF754E"/>
    <w:rsid w:val="00CF7588"/>
    <w:rsid w:val="00CF790E"/>
    <w:rsid w:val="00D017F8"/>
    <w:rsid w:val="00D078AF"/>
    <w:rsid w:val="00D10435"/>
    <w:rsid w:val="00D11C42"/>
    <w:rsid w:val="00D11C95"/>
    <w:rsid w:val="00D1241E"/>
    <w:rsid w:val="00D12E69"/>
    <w:rsid w:val="00D139B2"/>
    <w:rsid w:val="00D203D8"/>
    <w:rsid w:val="00D22022"/>
    <w:rsid w:val="00D233BC"/>
    <w:rsid w:val="00D248FF"/>
    <w:rsid w:val="00D250D5"/>
    <w:rsid w:val="00D320CE"/>
    <w:rsid w:val="00D34019"/>
    <w:rsid w:val="00D354D1"/>
    <w:rsid w:val="00D35BA9"/>
    <w:rsid w:val="00D360A6"/>
    <w:rsid w:val="00D4124C"/>
    <w:rsid w:val="00D418CC"/>
    <w:rsid w:val="00D444C7"/>
    <w:rsid w:val="00D455DD"/>
    <w:rsid w:val="00D45D3D"/>
    <w:rsid w:val="00D47094"/>
    <w:rsid w:val="00D5053C"/>
    <w:rsid w:val="00D53905"/>
    <w:rsid w:val="00D5591C"/>
    <w:rsid w:val="00D61C4E"/>
    <w:rsid w:val="00D62280"/>
    <w:rsid w:val="00D64DBB"/>
    <w:rsid w:val="00D652AC"/>
    <w:rsid w:val="00D701CF"/>
    <w:rsid w:val="00D70A83"/>
    <w:rsid w:val="00D71654"/>
    <w:rsid w:val="00D718B8"/>
    <w:rsid w:val="00D721E5"/>
    <w:rsid w:val="00D72DD9"/>
    <w:rsid w:val="00D730FF"/>
    <w:rsid w:val="00D80BE0"/>
    <w:rsid w:val="00D813FE"/>
    <w:rsid w:val="00D820DB"/>
    <w:rsid w:val="00D84029"/>
    <w:rsid w:val="00D92A21"/>
    <w:rsid w:val="00D930E1"/>
    <w:rsid w:val="00D94D5F"/>
    <w:rsid w:val="00D96050"/>
    <w:rsid w:val="00D97B32"/>
    <w:rsid w:val="00DA1ED2"/>
    <w:rsid w:val="00DA439D"/>
    <w:rsid w:val="00DA4EDA"/>
    <w:rsid w:val="00DA513C"/>
    <w:rsid w:val="00DB1000"/>
    <w:rsid w:val="00DB1D88"/>
    <w:rsid w:val="00DB1E2E"/>
    <w:rsid w:val="00DB2749"/>
    <w:rsid w:val="00DB31CD"/>
    <w:rsid w:val="00DB4B47"/>
    <w:rsid w:val="00DB5123"/>
    <w:rsid w:val="00DB539F"/>
    <w:rsid w:val="00DB586B"/>
    <w:rsid w:val="00DB5F2D"/>
    <w:rsid w:val="00DC0AE4"/>
    <w:rsid w:val="00DC39DE"/>
    <w:rsid w:val="00DC4801"/>
    <w:rsid w:val="00DC4B6E"/>
    <w:rsid w:val="00DC613D"/>
    <w:rsid w:val="00DC6E9B"/>
    <w:rsid w:val="00DC73CB"/>
    <w:rsid w:val="00DD05C4"/>
    <w:rsid w:val="00DD0877"/>
    <w:rsid w:val="00DD08A3"/>
    <w:rsid w:val="00DD0A81"/>
    <w:rsid w:val="00DD0C1C"/>
    <w:rsid w:val="00DD144C"/>
    <w:rsid w:val="00DD17A6"/>
    <w:rsid w:val="00DD2752"/>
    <w:rsid w:val="00DD3267"/>
    <w:rsid w:val="00DD5E15"/>
    <w:rsid w:val="00DD68B0"/>
    <w:rsid w:val="00DD7C90"/>
    <w:rsid w:val="00DE0984"/>
    <w:rsid w:val="00DE0E4E"/>
    <w:rsid w:val="00DE28F2"/>
    <w:rsid w:val="00DE2D9E"/>
    <w:rsid w:val="00DE2EFF"/>
    <w:rsid w:val="00DE36E0"/>
    <w:rsid w:val="00DE40C8"/>
    <w:rsid w:val="00DE4AB6"/>
    <w:rsid w:val="00DE62AF"/>
    <w:rsid w:val="00DE6719"/>
    <w:rsid w:val="00DF0300"/>
    <w:rsid w:val="00DF0CF4"/>
    <w:rsid w:val="00DF6BEB"/>
    <w:rsid w:val="00E02F9A"/>
    <w:rsid w:val="00E06128"/>
    <w:rsid w:val="00E10B54"/>
    <w:rsid w:val="00E136D0"/>
    <w:rsid w:val="00E1396A"/>
    <w:rsid w:val="00E14225"/>
    <w:rsid w:val="00E15644"/>
    <w:rsid w:val="00E165CA"/>
    <w:rsid w:val="00E17803"/>
    <w:rsid w:val="00E201EE"/>
    <w:rsid w:val="00E20A83"/>
    <w:rsid w:val="00E24F72"/>
    <w:rsid w:val="00E25657"/>
    <w:rsid w:val="00E25BDE"/>
    <w:rsid w:val="00E2669F"/>
    <w:rsid w:val="00E269B6"/>
    <w:rsid w:val="00E26C1B"/>
    <w:rsid w:val="00E30F14"/>
    <w:rsid w:val="00E32D99"/>
    <w:rsid w:val="00E32DC0"/>
    <w:rsid w:val="00E32E71"/>
    <w:rsid w:val="00E33E92"/>
    <w:rsid w:val="00E36806"/>
    <w:rsid w:val="00E426BF"/>
    <w:rsid w:val="00E42BD0"/>
    <w:rsid w:val="00E44D11"/>
    <w:rsid w:val="00E44DB6"/>
    <w:rsid w:val="00E459D0"/>
    <w:rsid w:val="00E51E09"/>
    <w:rsid w:val="00E60AAA"/>
    <w:rsid w:val="00E6214E"/>
    <w:rsid w:val="00E64226"/>
    <w:rsid w:val="00E673BC"/>
    <w:rsid w:val="00E7109B"/>
    <w:rsid w:val="00E7189A"/>
    <w:rsid w:val="00E747E3"/>
    <w:rsid w:val="00E80EEB"/>
    <w:rsid w:val="00E81493"/>
    <w:rsid w:val="00E816FC"/>
    <w:rsid w:val="00E819DC"/>
    <w:rsid w:val="00E859C1"/>
    <w:rsid w:val="00E86408"/>
    <w:rsid w:val="00E90947"/>
    <w:rsid w:val="00E90B94"/>
    <w:rsid w:val="00E91A38"/>
    <w:rsid w:val="00E91C9D"/>
    <w:rsid w:val="00EA0F65"/>
    <w:rsid w:val="00EA2767"/>
    <w:rsid w:val="00EA3D02"/>
    <w:rsid w:val="00EA41D0"/>
    <w:rsid w:val="00EA5FD5"/>
    <w:rsid w:val="00EB030D"/>
    <w:rsid w:val="00EB1076"/>
    <w:rsid w:val="00EB4696"/>
    <w:rsid w:val="00EB71DF"/>
    <w:rsid w:val="00EB7ADF"/>
    <w:rsid w:val="00EC065D"/>
    <w:rsid w:val="00EC2564"/>
    <w:rsid w:val="00EC4C2C"/>
    <w:rsid w:val="00EC73E4"/>
    <w:rsid w:val="00ED2659"/>
    <w:rsid w:val="00ED7380"/>
    <w:rsid w:val="00ED7E7C"/>
    <w:rsid w:val="00EE2E7A"/>
    <w:rsid w:val="00EE4411"/>
    <w:rsid w:val="00EE4983"/>
    <w:rsid w:val="00EE6C46"/>
    <w:rsid w:val="00EE71FA"/>
    <w:rsid w:val="00EF1001"/>
    <w:rsid w:val="00EF223B"/>
    <w:rsid w:val="00EF42AB"/>
    <w:rsid w:val="00EF7613"/>
    <w:rsid w:val="00F00E4E"/>
    <w:rsid w:val="00F015B0"/>
    <w:rsid w:val="00F04771"/>
    <w:rsid w:val="00F0652F"/>
    <w:rsid w:val="00F0786A"/>
    <w:rsid w:val="00F12FCE"/>
    <w:rsid w:val="00F15B8B"/>
    <w:rsid w:val="00F20BA6"/>
    <w:rsid w:val="00F215A1"/>
    <w:rsid w:val="00F21DEB"/>
    <w:rsid w:val="00F22C77"/>
    <w:rsid w:val="00F2312F"/>
    <w:rsid w:val="00F26310"/>
    <w:rsid w:val="00F27829"/>
    <w:rsid w:val="00F31429"/>
    <w:rsid w:val="00F31439"/>
    <w:rsid w:val="00F32838"/>
    <w:rsid w:val="00F32B4D"/>
    <w:rsid w:val="00F33696"/>
    <w:rsid w:val="00F33BCF"/>
    <w:rsid w:val="00F341F4"/>
    <w:rsid w:val="00F345B7"/>
    <w:rsid w:val="00F35637"/>
    <w:rsid w:val="00F37068"/>
    <w:rsid w:val="00F41071"/>
    <w:rsid w:val="00F417BE"/>
    <w:rsid w:val="00F43897"/>
    <w:rsid w:val="00F43CF1"/>
    <w:rsid w:val="00F44C4B"/>
    <w:rsid w:val="00F465B7"/>
    <w:rsid w:val="00F472C0"/>
    <w:rsid w:val="00F508D3"/>
    <w:rsid w:val="00F5411F"/>
    <w:rsid w:val="00F57457"/>
    <w:rsid w:val="00F60211"/>
    <w:rsid w:val="00F63458"/>
    <w:rsid w:val="00F63700"/>
    <w:rsid w:val="00F639A8"/>
    <w:rsid w:val="00F641FF"/>
    <w:rsid w:val="00F644E5"/>
    <w:rsid w:val="00F64C2B"/>
    <w:rsid w:val="00F64FF1"/>
    <w:rsid w:val="00F662F8"/>
    <w:rsid w:val="00F665F2"/>
    <w:rsid w:val="00F67B54"/>
    <w:rsid w:val="00F67E84"/>
    <w:rsid w:val="00F70EEA"/>
    <w:rsid w:val="00F7225E"/>
    <w:rsid w:val="00F7436B"/>
    <w:rsid w:val="00F74BE3"/>
    <w:rsid w:val="00F75879"/>
    <w:rsid w:val="00F75D47"/>
    <w:rsid w:val="00F82C97"/>
    <w:rsid w:val="00F82CCD"/>
    <w:rsid w:val="00F833CF"/>
    <w:rsid w:val="00F84884"/>
    <w:rsid w:val="00F9100B"/>
    <w:rsid w:val="00F92460"/>
    <w:rsid w:val="00F92F31"/>
    <w:rsid w:val="00F93CC0"/>
    <w:rsid w:val="00F9659D"/>
    <w:rsid w:val="00F96D3A"/>
    <w:rsid w:val="00FA008A"/>
    <w:rsid w:val="00FA13B6"/>
    <w:rsid w:val="00FA2BB6"/>
    <w:rsid w:val="00FA2E0B"/>
    <w:rsid w:val="00FA565D"/>
    <w:rsid w:val="00FA5778"/>
    <w:rsid w:val="00FA5AB9"/>
    <w:rsid w:val="00FA784B"/>
    <w:rsid w:val="00FB4FA8"/>
    <w:rsid w:val="00FB59D8"/>
    <w:rsid w:val="00FB5D19"/>
    <w:rsid w:val="00FB65F9"/>
    <w:rsid w:val="00FC5294"/>
    <w:rsid w:val="00FC6534"/>
    <w:rsid w:val="00FC66C1"/>
    <w:rsid w:val="00FD0151"/>
    <w:rsid w:val="00FD0B84"/>
    <w:rsid w:val="00FD47E3"/>
    <w:rsid w:val="00FD5356"/>
    <w:rsid w:val="00FD5906"/>
    <w:rsid w:val="00FD67A0"/>
    <w:rsid w:val="00FD7319"/>
    <w:rsid w:val="00FD7921"/>
    <w:rsid w:val="00FE0053"/>
    <w:rsid w:val="00FE178E"/>
    <w:rsid w:val="00FE2E5A"/>
    <w:rsid w:val="00FF0177"/>
    <w:rsid w:val="00FF2EC6"/>
    <w:rsid w:val="00FF3CBA"/>
    <w:rsid w:val="00FF60C8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  <w14:defaultImageDpi w14:val="0"/>
  <w15:chartTrackingRefBased/>
  <w15:docId w15:val="{38F597F9-92A6-4387-A5EC-16E74AFF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C9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190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B1901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B190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19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B19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B19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B19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CB19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B1901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190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B190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B190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CB190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B190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CB1901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CB1901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CB190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CB1901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CB1901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 Знак"/>
    <w:link w:val="a3"/>
    <w:uiPriority w:val="99"/>
    <w:locked/>
    <w:rsid w:val="00CB1901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CB1901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6">
    <w:name w:val="Підзаголовок Знак"/>
    <w:link w:val="a5"/>
    <w:uiPriority w:val="99"/>
    <w:locked/>
    <w:rsid w:val="00CB1901"/>
    <w:rPr>
      <w:rFonts w:ascii="Cambria" w:hAnsi="Cambria" w:cs="Cambria"/>
      <w:sz w:val="24"/>
      <w:szCs w:val="24"/>
    </w:rPr>
  </w:style>
  <w:style w:type="character" w:styleId="a7">
    <w:name w:val="Strong"/>
    <w:uiPriority w:val="99"/>
    <w:qFormat/>
    <w:rsid w:val="00CB1901"/>
    <w:rPr>
      <w:rFonts w:cs="Times New Roman"/>
      <w:b/>
      <w:bCs/>
    </w:rPr>
  </w:style>
  <w:style w:type="character" w:styleId="a8">
    <w:name w:val="Emphasis"/>
    <w:uiPriority w:val="99"/>
    <w:qFormat/>
    <w:rsid w:val="00CB1901"/>
    <w:rPr>
      <w:rFonts w:ascii="Calibri" w:hAnsi="Calibri" w:cs="Calibri"/>
      <w:b/>
      <w:bCs/>
      <w:i/>
      <w:iCs/>
    </w:rPr>
  </w:style>
  <w:style w:type="paragraph" w:styleId="a9">
    <w:name w:val="No Spacing"/>
    <w:basedOn w:val="a"/>
    <w:uiPriority w:val="99"/>
    <w:qFormat/>
    <w:rsid w:val="00CB1901"/>
  </w:style>
  <w:style w:type="paragraph" w:styleId="aa">
    <w:name w:val="List Paragraph"/>
    <w:basedOn w:val="a"/>
    <w:uiPriority w:val="99"/>
    <w:qFormat/>
    <w:rsid w:val="00CB1901"/>
    <w:pPr>
      <w:ind w:left="720"/>
    </w:pPr>
  </w:style>
  <w:style w:type="paragraph" w:styleId="ab">
    <w:name w:val="Quote"/>
    <w:basedOn w:val="a"/>
    <w:next w:val="a"/>
    <w:link w:val="ac"/>
    <w:uiPriority w:val="99"/>
    <w:qFormat/>
    <w:rsid w:val="00CB1901"/>
    <w:rPr>
      <w:i/>
      <w:iCs/>
    </w:rPr>
  </w:style>
  <w:style w:type="character" w:customStyle="1" w:styleId="ac">
    <w:name w:val="Цитата Знак"/>
    <w:link w:val="ab"/>
    <w:uiPriority w:val="99"/>
    <w:locked/>
    <w:rsid w:val="00CB1901"/>
    <w:rPr>
      <w:rFonts w:cs="Times New Roman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99"/>
    <w:qFormat/>
    <w:rsid w:val="00CB1901"/>
    <w:pPr>
      <w:ind w:left="720" w:right="720"/>
    </w:pPr>
    <w:rPr>
      <w:b/>
      <w:bCs/>
      <w:i/>
      <w:iCs/>
    </w:rPr>
  </w:style>
  <w:style w:type="character" w:customStyle="1" w:styleId="ae">
    <w:name w:val="Насичена цитата Знак"/>
    <w:link w:val="ad"/>
    <w:uiPriority w:val="99"/>
    <w:locked/>
    <w:rsid w:val="00CB1901"/>
    <w:rPr>
      <w:rFonts w:cs="Times New Roman"/>
      <w:b/>
      <w:bCs/>
      <w:i/>
      <w:iCs/>
      <w:sz w:val="24"/>
      <w:szCs w:val="24"/>
    </w:rPr>
  </w:style>
  <w:style w:type="character" w:styleId="af">
    <w:name w:val="Subtle Emphasis"/>
    <w:uiPriority w:val="99"/>
    <w:qFormat/>
    <w:rsid w:val="00CB1901"/>
    <w:rPr>
      <w:rFonts w:cs="Times New Roman"/>
      <w:i/>
      <w:iCs/>
      <w:color w:val="auto"/>
    </w:rPr>
  </w:style>
  <w:style w:type="character" w:styleId="af0">
    <w:name w:val="Intense Emphasis"/>
    <w:uiPriority w:val="99"/>
    <w:qFormat/>
    <w:rsid w:val="00CB1901"/>
    <w:rPr>
      <w:rFonts w:cs="Times New Roman"/>
      <w:b/>
      <w:bCs/>
      <w:i/>
      <w:iCs/>
      <w:sz w:val="24"/>
      <w:szCs w:val="24"/>
      <w:u w:val="single"/>
    </w:rPr>
  </w:style>
  <w:style w:type="character" w:styleId="af1">
    <w:name w:val="Subtle Reference"/>
    <w:uiPriority w:val="99"/>
    <w:qFormat/>
    <w:rsid w:val="00CB1901"/>
    <w:rPr>
      <w:rFonts w:cs="Times New Roman"/>
      <w:sz w:val="24"/>
      <w:szCs w:val="24"/>
      <w:u w:val="single"/>
    </w:rPr>
  </w:style>
  <w:style w:type="character" w:styleId="af2">
    <w:name w:val="Intense Reference"/>
    <w:uiPriority w:val="99"/>
    <w:qFormat/>
    <w:rsid w:val="00CB1901"/>
    <w:rPr>
      <w:rFonts w:cs="Times New Roman"/>
      <w:b/>
      <w:bCs/>
      <w:sz w:val="24"/>
      <w:szCs w:val="24"/>
      <w:u w:val="single"/>
    </w:rPr>
  </w:style>
  <w:style w:type="character" w:styleId="af3">
    <w:name w:val="Book Title"/>
    <w:uiPriority w:val="99"/>
    <w:qFormat/>
    <w:rsid w:val="00CB1901"/>
    <w:rPr>
      <w:rFonts w:ascii="Cambria" w:hAnsi="Cambria" w:cs="Cambria"/>
      <w:b/>
      <w:bCs/>
      <w:i/>
      <w:iCs/>
      <w:sz w:val="24"/>
      <w:szCs w:val="24"/>
    </w:rPr>
  </w:style>
  <w:style w:type="paragraph" w:styleId="af4">
    <w:name w:val="TOC Heading"/>
    <w:basedOn w:val="1"/>
    <w:next w:val="a"/>
    <w:uiPriority w:val="99"/>
    <w:qFormat/>
    <w:rsid w:val="00CB1901"/>
    <w:pPr>
      <w:outlineLvl w:val="9"/>
    </w:pPr>
  </w:style>
  <w:style w:type="paragraph" w:styleId="af5">
    <w:name w:val="Body Text"/>
    <w:basedOn w:val="a"/>
    <w:link w:val="af6"/>
    <w:uiPriority w:val="99"/>
    <w:rsid w:val="00DD7C90"/>
    <w:pPr>
      <w:jc w:val="both"/>
    </w:pPr>
    <w:rPr>
      <w:sz w:val="28"/>
      <w:szCs w:val="28"/>
      <w:lang w:val="uk-UA"/>
    </w:rPr>
  </w:style>
  <w:style w:type="character" w:customStyle="1" w:styleId="af6">
    <w:name w:val="Основний текст Знак"/>
    <w:link w:val="af5"/>
    <w:uiPriority w:val="99"/>
    <w:locked/>
    <w:rsid w:val="00DD7C90"/>
    <w:rPr>
      <w:rFonts w:ascii="Times New Roman" w:hAnsi="Times New Roman" w:cs="Times New Roman"/>
      <w:sz w:val="24"/>
      <w:szCs w:val="24"/>
      <w:lang w:val="uk-UA" w:eastAsia="ru-RU"/>
    </w:rPr>
  </w:style>
  <w:style w:type="paragraph" w:styleId="af7">
    <w:name w:val="header"/>
    <w:basedOn w:val="a"/>
    <w:link w:val="af8"/>
    <w:uiPriority w:val="99"/>
    <w:rsid w:val="00DD7C90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link w:val="af7"/>
    <w:uiPriority w:val="99"/>
    <w:locked/>
    <w:rsid w:val="00DD7C90"/>
    <w:rPr>
      <w:rFonts w:ascii="Times New Roman" w:hAnsi="Times New Roman" w:cs="Times New Roman"/>
      <w:sz w:val="24"/>
      <w:szCs w:val="24"/>
      <w:lang w:val="ru-RU" w:eastAsia="ru-RU"/>
    </w:rPr>
  </w:style>
  <w:style w:type="character" w:styleId="af9">
    <w:name w:val="page number"/>
    <w:uiPriority w:val="99"/>
    <w:rsid w:val="00DD7C90"/>
    <w:rPr>
      <w:rFonts w:cs="Times New Roman"/>
    </w:rPr>
  </w:style>
  <w:style w:type="paragraph" w:styleId="21">
    <w:name w:val="Body Text 2"/>
    <w:basedOn w:val="a"/>
    <w:link w:val="22"/>
    <w:uiPriority w:val="99"/>
    <w:rsid w:val="00DD7C90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locked/>
    <w:rsid w:val="00DD7C90"/>
    <w:rPr>
      <w:rFonts w:ascii="Times New Roman" w:hAnsi="Times New Roman" w:cs="Times New Roman"/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DD7C90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locked/>
    <w:rsid w:val="00DD7C90"/>
    <w:rPr>
      <w:rFonts w:ascii="Times New Roman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uiPriority w:val="99"/>
    <w:rsid w:val="00DD7C90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uiPriority w:val="99"/>
    <w:locked/>
    <w:rsid w:val="00DD7C90"/>
    <w:rPr>
      <w:rFonts w:ascii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uiPriority w:val="99"/>
    <w:semiHidden/>
    <w:rsid w:val="00DD7C90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7C90"/>
    <w:rPr>
      <w:sz w:val="20"/>
      <w:szCs w:val="20"/>
    </w:rPr>
  </w:style>
  <w:style w:type="character" w:customStyle="1" w:styleId="afc">
    <w:name w:val="Текст примітки Знак"/>
    <w:link w:val="afb"/>
    <w:uiPriority w:val="99"/>
    <w:locked/>
    <w:rsid w:val="00DD7C90"/>
    <w:rPr>
      <w:rFonts w:ascii="Times New Roman" w:hAnsi="Times New Roman" w:cs="Times New Roman"/>
      <w:sz w:val="20"/>
      <w:szCs w:val="20"/>
      <w:lang w:val="ru-RU" w:eastAsia="ru-RU"/>
    </w:rPr>
  </w:style>
  <w:style w:type="paragraph" w:styleId="afd">
    <w:name w:val="Balloon Text"/>
    <w:basedOn w:val="a"/>
    <w:link w:val="afe"/>
    <w:uiPriority w:val="99"/>
    <w:semiHidden/>
    <w:rsid w:val="00DD7C90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link w:val="afd"/>
    <w:uiPriority w:val="99"/>
    <w:semiHidden/>
    <w:locked/>
    <w:rsid w:val="00DD7C90"/>
    <w:rPr>
      <w:rFonts w:ascii="Tahoma" w:hAnsi="Tahoma" w:cs="Tahoma"/>
      <w:sz w:val="16"/>
      <w:szCs w:val="16"/>
      <w:lang w:val="ru-RU" w:eastAsia="ru-RU"/>
    </w:rPr>
  </w:style>
  <w:style w:type="paragraph" w:styleId="aff">
    <w:name w:val="annotation subject"/>
    <w:basedOn w:val="afb"/>
    <w:next w:val="afb"/>
    <w:link w:val="aff0"/>
    <w:uiPriority w:val="99"/>
    <w:semiHidden/>
    <w:rsid w:val="008777FA"/>
    <w:rPr>
      <w:b/>
      <w:bCs/>
    </w:rPr>
  </w:style>
  <w:style w:type="character" w:customStyle="1" w:styleId="aff0">
    <w:name w:val="Тема примітки Знак"/>
    <w:link w:val="aff"/>
    <w:uiPriority w:val="99"/>
    <w:semiHidden/>
    <w:locked/>
    <w:rsid w:val="008777FA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f1">
    <w:name w:val="footer"/>
    <w:basedOn w:val="a"/>
    <w:link w:val="aff2"/>
    <w:uiPriority w:val="99"/>
    <w:semiHidden/>
    <w:rsid w:val="00D652AC"/>
    <w:pPr>
      <w:tabs>
        <w:tab w:val="center" w:pos="4844"/>
        <w:tab w:val="right" w:pos="9689"/>
      </w:tabs>
    </w:pPr>
  </w:style>
  <w:style w:type="character" w:customStyle="1" w:styleId="aff2">
    <w:name w:val="Нижній колонтитул Знак"/>
    <w:link w:val="aff1"/>
    <w:uiPriority w:val="99"/>
    <w:semiHidden/>
    <w:locked/>
    <w:rsid w:val="00D652AC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7110</Words>
  <Characters>40533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ДЕРЖАВНА УСТАНОВА «ІНСТИТУТ ПРОБЛЕМ ЕНДОКРИННОЇ ПАТОЛОГІЇ ІМ</vt:lpstr>
    </vt:vector>
  </TitlesOfParts>
  <Company>NBUV</Company>
  <LinksUpToDate>false</LinksUpToDate>
  <CharactersWithSpaces>47548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УСТАНОВА «ІНСТИТУТ ПРОБЛЕМ ЕНДОКРИННОЇ ПАТОЛОГІЇ ІМ</dc:title>
  <dc:subject/>
  <dc:creator>Valyusha</dc:creator>
  <cp:keywords/>
  <dc:description/>
  <cp:lastModifiedBy>Irina</cp:lastModifiedBy>
  <cp:revision>2</cp:revision>
  <cp:lastPrinted>2008-05-18T18:13:00Z</cp:lastPrinted>
  <dcterms:created xsi:type="dcterms:W3CDTF">2014-08-21T08:18:00Z</dcterms:created>
  <dcterms:modified xsi:type="dcterms:W3CDTF">2014-08-21T08:18:00Z</dcterms:modified>
</cp:coreProperties>
</file>