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D77" w:rsidRDefault="00624D77">
      <w:pPr>
        <w:jc w:val="center"/>
        <w:rPr>
          <w:rFonts w:ascii="Times New Roman" w:hAnsi="Times New Roman"/>
          <w:sz w:val="32"/>
        </w:rPr>
      </w:pPr>
    </w:p>
    <w:p w:rsidR="00624D77" w:rsidRDefault="00624D77">
      <w:pPr>
        <w:jc w:val="center"/>
        <w:rPr>
          <w:rFonts w:ascii="Times New Roman" w:hAnsi="Times New Roman"/>
          <w:sz w:val="32"/>
        </w:rPr>
      </w:pPr>
      <w:r>
        <w:rPr>
          <w:rFonts w:ascii="Times New Roman" w:hAnsi="Times New Roman"/>
          <w:sz w:val="32"/>
        </w:rPr>
        <w:t>Содержание.</w:t>
      </w:r>
    </w:p>
    <w:p w:rsidR="00624D77" w:rsidRDefault="00624D77">
      <w:pPr>
        <w:jc w:val="center"/>
        <w:rPr>
          <w:rFonts w:ascii="Times New Roman" w:hAnsi="Times New Roman"/>
          <w:sz w:val="32"/>
        </w:rPr>
      </w:pPr>
    </w:p>
    <w:p w:rsidR="00624D77" w:rsidRDefault="00624D77">
      <w:pPr>
        <w:pStyle w:val="12"/>
      </w:pPr>
      <w:r>
        <w:fldChar w:fldCharType="begin"/>
      </w:r>
      <w:r>
        <w:instrText xml:space="preserve"> TOC \o </w:instrText>
      </w:r>
      <w:r>
        <w:fldChar w:fldCharType="separate"/>
      </w:r>
      <w:r>
        <w:t>Введение.</w:t>
      </w:r>
      <w:r>
        <w:tab/>
      </w:r>
      <w:r>
        <w:fldChar w:fldCharType="begin"/>
      </w:r>
      <w:r>
        <w:instrText xml:space="preserve"> PAGEREF _Toc273708324 \h </w:instrText>
      </w:r>
      <w:r>
        <w:fldChar w:fldCharType="separate"/>
      </w:r>
      <w:r>
        <w:t>3</w:t>
      </w:r>
      <w:r>
        <w:fldChar w:fldCharType="end"/>
      </w:r>
    </w:p>
    <w:p w:rsidR="00624D77" w:rsidRDefault="00624D77">
      <w:pPr>
        <w:pStyle w:val="12"/>
      </w:pPr>
      <w:r>
        <w:t>Глава I. Теоретические основы инвестирования в рыночной экономике.</w:t>
      </w:r>
      <w:r>
        <w:tab/>
      </w:r>
      <w:r>
        <w:fldChar w:fldCharType="begin"/>
      </w:r>
      <w:r>
        <w:instrText xml:space="preserve"> PAGEREF _Toc273708325 \h </w:instrText>
      </w:r>
      <w:r>
        <w:fldChar w:fldCharType="separate"/>
      </w:r>
      <w:r>
        <w:t>5</w:t>
      </w:r>
      <w:r>
        <w:fldChar w:fldCharType="end"/>
      </w:r>
    </w:p>
    <w:p w:rsidR="00624D77" w:rsidRDefault="00624D77">
      <w:pPr>
        <w:pStyle w:val="12"/>
        <w:ind w:firstLine="540"/>
        <w:rPr>
          <w:sz w:val="28"/>
        </w:rPr>
      </w:pPr>
      <w:r>
        <w:rPr>
          <w:noProof w:val="0"/>
          <w:sz w:val="28"/>
        </w:rPr>
        <w:t xml:space="preserve"> </w:t>
      </w:r>
      <w:r>
        <w:rPr>
          <w:sz w:val="28"/>
        </w:rPr>
        <w:t>1.1 Инвестиции, инвестиционная деятельность.</w:t>
      </w:r>
      <w:r>
        <w:rPr>
          <w:sz w:val="28"/>
        </w:rPr>
        <w:tab/>
      </w:r>
      <w:r>
        <w:rPr>
          <w:sz w:val="28"/>
        </w:rPr>
        <w:fldChar w:fldCharType="begin"/>
      </w:r>
      <w:r>
        <w:rPr>
          <w:sz w:val="28"/>
        </w:rPr>
        <w:instrText xml:space="preserve"> PAGEREF _Toc273708326 \h </w:instrText>
      </w:r>
      <w:r>
        <w:rPr>
          <w:sz w:val="28"/>
        </w:rPr>
      </w:r>
      <w:r>
        <w:rPr>
          <w:sz w:val="28"/>
        </w:rPr>
        <w:fldChar w:fldCharType="separate"/>
      </w:r>
      <w:r>
        <w:rPr>
          <w:sz w:val="28"/>
        </w:rPr>
        <w:t>5</w:t>
      </w:r>
      <w:r>
        <w:rPr>
          <w:sz w:val="28"/>
        </w:rPr>
        <w:fldChar w:fldCharType="end"/>
      </w:r>
    </w:p>
    <w:p w:rsidR="00624D77" w:rsidRDefault="00624D77">
      <w:pPr>
        <w:pStyle w:val="12"/>
        <w:ind w:firstLine="540"/>
        <w:rPr>
          <w:sz w:val="28"/>
        </w:rPr>
      </w:pPr>
      <w:r>
        <w:rPr>
          <w:sz w:val="28"/>
        </w:rPr>
        <w:t>1.2 Простые методы инвестирования.</w:t>
      </w:r>
      <w:r>
        <w:rPr>
          <w:sz w:val="28"/>
        </w:rPr>
        <w:tab/>
      </w:r>
      <w:r>
        <w:rPr>
          <w:sz w:val="28"/>
        </w:rPr>
        <w:fldChar w:fldCharType="begin"/>
      </w:r>
      <w:r>
        <w:rPr>
          <w:sz w:val="28"/>
        </w:rPr>
        <w:instrText xml:space="preserve"> PAGEREF _Toc273708327 \h </w:instrText>
      </w:r>
      <w:r>
        <w:rPr>
          <w:sz w:val="28"/>
        </w:rPr>
      </w:r>
      <w:r>
        <w:rPr>
          <w:sz w:val="28"/>
        </w:rPr>
        <w:fldChar w:fldCharType="separate"/>
      </w:r>
      <w:r>
        <w:rPr>
          <w:sz w:val="28"/>
        </w:rPr>
        <w:t>15</w:t>
      </w:r>
      <w:r>
        <w:rPr>
          <w:sz w:val="28"/>
        </w:rPr>
        <w:fldChar w:fldCharType="end"/>
      </w:r>
    </w:p>
    <w:p w:rsidR="00624D77" w:rsidRDefault="00624D77">
      <w:pPr>
        <w:pStyle w:val="12"/>
        <w:ind w:firstLine="540"/>
      </w:pPr>
      <w:r>
        <w:rPr>
          <w:sz w:val="28"/>
        </w:rPr>
        <w:t>1.3 Динамические методы инвестирования.</w:t>
      </w:r>
      <w:r>
        <w:rPr>
          <w:sz w:val="28"/>
        </w:rPr>
        <w:tab/>
      </w:r>
      <w:r>
        <w:rPr>
          <w:sz w:val="28"/>
        </w:rPr>
        <w:fldChar w:fldCharType="begin"/>
      </w:r>
      <w:r>
        <w:rPr>
          <w:sz w:val="28"/>
        </w:rPr>
        <w:instrText xml:space="preserve"> PAGEREF _Toc273708328 \h </w:instrText>
      </w:r>
      <w:r>
        <w:rPr>
          <w:sz w:val="28"/>
        </w:rPr>
      </w:r>
      <w:r>
        <w:rPr>
          <w:sz w:val="28"/>
        </w:rPr>
        <w:fldChar w:fldCharType="separate"/>
      </w:r>
      <w:r>
        <w:rPr>
          <w:sz w:val="28"/>
        </w:rPr>
        <w:t>21</w:t>
      </w:r>
      <w:r>
        <w:rPr>
          <w:sz w:val="28"/>
        </w:rPr>
        <w:fldChar w:fldCharType="end"/>
      </w:r>
    </w:p>
    <w:p w:rsidR="00624D77" w:rsidRDefault="00624D77">
      <w:pPr>
        <w:pStyle w:val="12"/>
      </w:pPr>
      <w:r>
        <w:t>Глава II. Анализ инвестирования в рыночной экономике (на примере ОАО «Промтрактор»).</w:t>
      </w:r>
      <w:r>
        <w:tab/>
      </w:r>
      <w:r>
        <w:fldChar w:fldCharType="begin"/>
      </w:r>
      <w:r>
        <w:instrText xml:space="preserve"> PAGEREF _Toc273708330 \h </w:instrText>
      </w:r>
      <w:r>
        <w:fldChar w:fldCharType="separate"/>
      </w:r>
      <w:r>
        <w:t>31</w:t>
      </w:r>
      <w:r>
        <w:fldChar w:fldCharType="end"/>
      </w:r>
    </w:p>
    <w:p w:rsidR="00624D77" w:rsidRDefault="00624D77">
      <w:pPr>
        <w:pStyle w:val="12"/>
        <w:ind w:firstLine="540"/>
        <w:rPr>
          <w:sz w:val="28"/>
        </w:rPr>
      </w:pPr>
      <w:r>
        <w:rPr>
          <w:sz w:val="28"/>
        </w:rPr>
        <w:t>2.1 Анализ финансово-хозяйственной деятельности предприятия.</w:t>
      </w:r>
      <w:r>
        <w:rPr>
          <w:sz w:val="28"/>
        </w:rPr>
        <w:tab/>
      </w:r>
      <w:r>
        <w:rPr>
          <w:sz w:val="28"/>
        </w:rPr>
        <w:fldChar w:fldCharType="begin"/>
      </w:r>
      <w:r>
        <w:rPr>
          <w:sz w:val="28"/>
        </w:rPr>
        <w:instrText xml:space="preserve"> PAGEREF _Toc273708331 \h </w:instrText>
      </w:r>
      <w:r>
        <w:rPr>
          <w:sz w:val="28"/>
        </w:rPr>
      </w:r>
      <w:r>
        <w:rPr>
          <w:sz w:val="28"/>
        </w:rPr>
        <w:fldChar w:fldCharType="separate"/>
      </w:r>
      <w:r>
        <w:rPr>
          <w:sz w:val="28"/>
        </w:rPr>
        <w:t>31</w:t>
      </w:r>
      <w:r>
        <w:rPr>
          <w:sz w:val="28"/>
        </w:rPr>
        <w:fldChar w:fldCharType="end"/>
      </w:r>
    </w:p>
    <w:p w:rsidR="00624D77" w:rsidRDefault="00624D77">
      <w:pPr>
        <w:pStyle w:val="12"/>
        <w:ind w:firstLine="540"/>
      </w:pPr>
      <w:r>
        <w:rPr>
          <w:sz w:val="28"/>
        </w:rPr>
        <w:t>2.2 Практическая часть.</w:t>
      </w:r>
      <w:r>
        <w:rPr>
          <w:sz w:val="28"/>
        </w:rPr>
        <w:tab/>
      </w:r>
      <w:r>
        <w:rPr>
          <w:sz w:val="28"/>
        </w:rPr>
        <w:fldChar w:fldCharType="begin"/>
      </w:r>
      <w:r>
        <w:rPr>
          <w:sz w:val="28"/>
        </w:rPr>
        <w:instrText xml:space="preserve"> PAGEREF _Toc273708332 \h </w:instrText>
      </w:r>
      <w:r>
        <w:rPr>
          <w:sz w:val="28"/>
        </w:rPr>
      </w:r>
      <w:r>
        <w:rPr>
          <w:sz w:val="28"/>
        </w:rPr>
        <w:fldChar w:fldCharType="separate"/>
      </w:r>
      <w:r>
        <w:rPr>
          <w:sz w:val="28"/>
        </w:rPr>
        <w:t>34</w:t>
      </w:r>
      <w:r>
        <w:rPr>
          <w:sz w:val="28"/>
        </w:rPr>
        <w:fldChar w:fldCharType="end"/>
      </w:r>
    </w:p>
    <w:p w:rsidR="00624D77" w:rsidRDefault="00624D77">
      <w:pPr>
        <w:pStyle w:val="12"/>
      </w:pPr>
      <w:r>
        <w:t>Заключение.</w:t>
      </w:r>
      <w:r>
        <w:tab/>
      </w:r>
      <w:r>
        <w:fldChar w:fldCharType="begin"/>
      </w:r>
      <w:r>
        <w:instrText xml:space="preserve"> PAGEREF _Toc273708337 \h </w:instrText>
      </w:r>
      <w:r>
        <w:fldChar w:fldCharType="separate"/>
      </w:r>
      <w:r>
        <w:t>38</w:t>
      </w:r>
      <w:r>
        <w:fldChar w:fldCharType="end"/>
      </w:r>
    </w:p>
    <w:p w:rsidR="00624D77" w:rsidRDefault="00624D77">
      <w:pPr>
        <w:pStyle w:val="12"/>
      </w:pPr>
      <w:r>
        <w:t>Список литературы.</w:t>
      </w:r>
      <w:r>
        <w:tab/>
      </w:r>
      <w:r>
        <w:fldChar w:fldCharType="begin"/>
      </w:r>
      <w:r>
        <w:instrText xml:space="preserve"> PAGEREF _Toc273708338 \h </w:instrText>
      </w:r>
      <w:r>
        <w:fldChar w:fldCharType="separate"/>
      </w:r>
      <w:r>
        <w:t>40</w:t>
      </w:r>
      <w:r>
        <w:fldChar w:fldCharType="end"/>
      </w:r>
    </w:p>
    <w:p w:rsidR="00624D77" w:rsidRDefault="00624D77">
      <w:pPr>
        <w:pStyle w:val="23"/>
        <w:tabs>
          <w:tab w:val="right" w:leader="dot" w:pos="9344"/>
        </w:tabs>
        <w:rPr>
          <w:rFonts w:ascii="Times New Roman" w:hAnsi="Times New Roman"/>
          <w:noProof/>
          <w:sz w:val="32"/>
        </w:rPr>
      </w:pPr>
      <w:r>
        <w:rPr>
          <w:rFonts w:ascii="Times New Roman" w:hAnsi="Times New Roman"/>
          <w:noProof/>
          <w:sz w:val="32"/>
        </w:rPr>
        <w:t>Приложение 1.</w:t>
      </w:r>
      <w:r>
        <w:rPr>
          <w:rFonts w:ascii="Times New Roman" w:hAnsi="Times New Roman"/>
          <w:noProof/>
          <w:sz w:val="32"/>
        </w:rPr>
        <w:tab/>
      </w:r>
      <w:r>
        <w:rPr>
          <w:rFonts w:ascii="Times New Roman" w:hAnsi="Times New Roman"/>
          <w:noProof/>
          <w:sz w:val="32"/>
        </w:rPr>
        <w:fldChar w:fldCharType="begin"/>
      </w:r>
      <w:r>
        <w:rPr>
          <w:rFonts w:ascii="Times New Roman" w:hAnsi="Times New Roman"/>
          <w:noProof/>
          <w:sz w:val="32"/>
        </w:rPr>
        <w:instrText xml:space="preserve"> PAGEREF _Toc273708339 \h </w:instrText>
      </w:r>
      <w:r>
        <w:rPr>
          <w:rFonts w:ascii="Times New Roman" w:hAnsi="Times New Roman"/>
          <w:noProof/>
          <w:sz w:val="32"/>
        </w:rPr>
      </w:r>
      <w:r>
        <w:rPr>
          <w:rFonts w:ascii="Times New Roman" w:hAnsi="Times New Roman"/>
          <w:noProof/>
          <w:sz w:val="32"/>
        </w:rPr>
        <w:fldChar w:fldCharType="separate"/>
      </w:r>
      <w:r>
        <w:rPr>
          <w:rFonts w:ascii="Times New Roman" w:hAnsi="Times New Roman"/>
          <w:noProof/>
          <w:sz w:val="32"/>
        </w:rPr>
        <w:t>44</w:t>
      </w:r>
      <w:r>
        <w:rPr>
          <w:rFonts w:ascii="Times New Roman" w:hAnsi="Times New Roman"/>
          <w:noProof/>
          <w:sz w:val="32"/>
        </w:rPr>
        <w:fldChar w:fldCharType="end"/>
      </w:r>
    </w:p>
    <w:p w:rsidR="00624D77" w:rsidRDefault="00624D77">
      <w:pPr>
        <w:pStyle w:val="23"/>
        <w:tabs>
          <w:tab w:val="right" w:leader="dot" w:pos="9344"/>
        </w:tabs>
        <w:rPr>
          <w:rFonts w:ascii="Times New Roman" w:hAnsi="Times New Roman"/>
          <w:noProof/>
          <w:sz w:val="32"/>
        </w:rPr>
      </w:pPr>
      <w:r>
        <w:rPr>
          <w:rFonts w:ascii="Times New Roman" w:hAnsi="Times New Roman"/>
          <w:noProof/>
          <w:sz w:val="32"/>
        </w:rPr>
        <w:t>Приложение 2.</w:t>
      </w:r>
      <w:r>
        <w:rPr>
          <w:rFonts w:ascii="Times New Roman" w:hAnsi="Times New Roman"/>
          <w:noProof/>
          <w:sz w:val="32"/>
        </w:rPr>
        <w:tab/>
      </w:r>
      <w:r>
        <w:rPr>
          <w:rFonts w:ascii="Times New Roman" w:hAnsi="Times New Roman"/>
          <w:noProof/>
          <w:sz w:val="32"/>
        </w:rPr>
        <w:fldChar w:fldCharType="begin"/>
      </w:r>
      <w:r>
        <w:rPr>
          <w:rFonts w:ascii="Times New Roman" w:hAnsi="Times New Roman"/>
          <w:noProof/>
          <w:sz w:val="32"/>
        </w:rPr>
        <w:instrText xml:space="preserve"> PAGEREF _Toc273708340 \h </w:instrText>
      </w:r>
      <w:r>
        <w:rPr>
          <w:rFonts w:ascii="Times New Roman" w:hAnsi="Times New Roman"/>
          <w:noProof/>
          <w:sz w:val="32"/>
        </w:rPr>
      </w:r>
      <w:r>
        <w:rPr>
          <w:rFonts w:ascii="Times New Roman" w:hAnsi="Times New Roman"/>
          <w:noProof/>
          <w:sz w:val="32"/>
        </w:rPr>
        <w:fldChar w:fldCharType="separate"/>
      </w:r>
      <w:r>
        <w:rPr>
          <w:rFonts w:ascii="Times New Roman" w:hAnsi="Times New Roman"/>
          <w:noProof/>
          <w:sz w:val="32"/>
        </w:rPr>
        <w:t>48</w:t>
      </w:r>
      <w:r>
        <w:rPr>
          <w:rFonts w:ascii="Times New Roman" w:hAnsi="Times New Roman"/>
          <w:noProof/>
          <w:sz w:val="32"/>
        </w:rPr>
        <w:fldChar w:fldCharType="end"/>
      </w:r>
    </w:p>
    <w:p w:rsidR="00624D77" w:rsidRDefault="00624D77">
      <w:r>
        <w:rPr>
          <w:rFonts w:ascii="Times New Roman" w:hAnsi="Times New Roman"/>
          <w:sz w:val="32"/>
        </w:rPr>
        <w:fldChar w:fldCharType="end"/>
      </w:r>
    </w:p>
    <w:p w:rsidR="00624D77" w:rsidRDefault="00624D77">
      <w:pPr>
        <w:rPr>
          <w:b/>
          <w:sz w:val="32"/>
        </w:rPr>
      </w:pPr>
    </w:p>
    <w:p w:rsidR="00624D77" w:rsidRDefault="00624D77">
      <w:pPr>
        <w:rPr>
          <w:b/>
          <w:sz w:val="32"/>
        </w:rPr>
      </w:pPr>
    </w:p>
    <w:p w:rsidR="00624D77" w:rsidRDefault="00624D77">
      <w:pPr>
        <w:rPr>
          <w:b/>
          <w:sz w:val="32"/>
        </w:rPr>
      </w:pPr>
    </w:p>
    <w:p w:rsidR="00624D77" w:rsidRDefault="00624D77">
      <w:pPr>
        <w:rPr>
          <w:b/>
          <w:sz w:val="32"/>
        </w:rPr>
      </w:pPr>
    </w:p>
    <w:p w:rsidR="00624D77" w:rsidRDefault="00624D77">
      <w:pPr>
        <w:rPr>
          <w:b/>
          <w:sz w:val="32"/>
        </w:rPr>
      </w:pPr>
    </w:p>
    <w:p w:rsidR="00624D77" w:rsidRDefault="00624D77">
      <w:pPr>
        <w:rPr>
          <w:b/>
          <w:sz w:val="32"/>
        </w:rPr>
      </w:pPr>
    </w:p>
    <w:p w:rsidR="00624D77" w:rsidRDefault="00624D77">
      <w:pPr>
        <w:rPr>
          <w:b/>
          <w:sz w:val="32"/>
        </w:rPr>
      </w:pPr>
    </w:p>
    <w:p w:rsidR="00624D77" w:rsidRDefault="00624D77">
      <w:pPr>
        <w:rPr>
          <w:b/>
          <w:sz w:val="32"/>
        </w:rPr>
      </w:pPr>
    </w:p>
    <w:p w:rsidR="00624D77" w:rsidRDefault="00624D77">
      <w:pPr>
        <w:rPr>
          <w:sz w:val="4"/>
        </w:rPr>
      </w:pPr>
    </w:p>
    <w:p w:rsidR="00624D77" w:rsidRDefault="00624D77">
      <w:pPr>
        <w:rPr>
          <w:sz w:val="4"/>
        </w:rPr>
      </w:pPr>
    </w:p>
    <w:p w:rsidR="00624D77" w:rsidRDefault="00624D77">
      <w:pPr>
        <w:pStyle w:val="1"/>
        <w:rPr>
          <w:sz w:val="28"/>
        </w:rPr>
      </w:pPr>
      <w:bookmarkStart w:id="0" w:name="_Toc273708324"/>
      <w:r>
        <w:t>Введение.</w:t>
      </w:r>
      <w:bookmarkEnd w:id="0"/>
    </w:p>
    <w:p w:rsidR="00624D77" w:rsidRDefault="00624D77">
      <w:pPr>
        <w:pStyle w:val="a9"/>
        <w:rPr>
          <w:kern w:val="36"/>
          <w:sz w:val="28"/>
        </w:rPr>
      </w:pP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Вопрос о привлечении инвестиций в экономику стоит достаточно остро, т.к. они напрямую связаны с темпами экономического роста.</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Для его увеличения необходимо аккумулировать внутренние инвестиционные процессы, а также создать условия для привлечения иностранных инвесторов. Несомненно, что эти процессы невозможны без участия государства, которое должно проводить открытую, последовательную и понятную для всех участников инвестиционную политику, основанную на хорошо продуманной и чётко структурированной законодательной базе, исключающей расхождения с основными международными стандартами и противоречия между законами.</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 xml:space="preserve"> Особую значимость для России имеет  повышение эффективности инвестиционной деятельности. Этот ключевой вопрос, необходимость решения которого в ближайшее время обусловлена совокупностью причин:</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Во-первых, существенное повышение роли инвестиций в подъёме национальной экономики, неуклонном повышении уровня жизни населения.</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Во-вторых, необходимость коренных перемен в инвестиционной сфере, которая сегодня находится в далеко не в лучшем состоянии.</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В-третьих, эти перемены вызваны перспективами  крупномасштабной структурной перестройки экономики, предстоящих качественных изменений в её технологическом укладе и другими важными обстоятельствами, требующими массового привлечения отечественных и иностранных инвестиций и резкого повышения эффективности всей инвестиционной деятельности, осуществляемой сегодня в России.</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Необходимо всегда иметь в виду, что вложения инвестиций это средство достижения экономической эффективности, на основе которой могут быть решены многообразные социальные и экономические задачи.</w:t>
      </w:r>
    </w:p>
    <w:p w:rsidR="00624D77" w:rsidRDefault="00624D77">
      <w:pPr>
        <w:pStyle w:val="a9"/>
        <w:spacing w:line="360" w:lineRule="auto"/>
        <w:ind w:firstLine="567"/>
        <w:jc w:val="both"/>
        <w:rPr>
          <w:rFonts w:ascii="Times New Roman" w:hAnsi="Times New Roman"/>
          <w:sz w:val="28"/>
        </w:rPr>
      </w:pPr>
    </w:p>
    <w:p w:rsidR="00624D77" w:rsidRDefault="00624D77">
      <w:pPr>
        <w:pStyle w:val="a9"/>
        <w:spacing w:line="360" w:lineRule="auto"/>
        <w:ind w:firstLine="567"/>
        <w:jc w:val="both"/>
        <w:rPr>
          <w:rFonts w:ascii="Times New Roman" w:hAnsi="Times New Roman"/>
          <w:sz w:val="28"/>
        </w:rPr>
      </w:pPr>
    </w:p>
    <w:p w:rsidR="00624D77" w:rsidRDefault="00624D77">
      <w:pPr>
        <w:pStyle w:val="a4"/>
        <w:spacing w:after="200" w:line="276" w:lineRule="auto"/>
        <w:rPr>
          <w:rFonts w:ascii="Times New Roman" w:hAnsi="Times New Roman"/>
          <w:sz w:val="4"/>
        </w:rPr>
      </w:pP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Экономика может динамично развиваться только в том случае, если каждая её отдельно взятая составляющая, которой и является предприятие, также динамично развивается.</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Решающим условием развития предприятия в соответствии с принятой экономической стратегией является инвестирование необходимого объёма средств в разработанные проекты.</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Экономический рост и инвестиции взаимосвязаны между собой и взаимообусловлены, инвестиции создают материальную основу для поступательного развития предприятия, результаты которого, в свою очередь, являются источником средств для новых капитальных вложений. Инвестирование - основная форма практического осуществления экономической стратегии предприятия. Без прироста активов или обновления их состава коммерческие организации не могут успешно развиваться в долгосрочном периоде. Инвестиционная политика предприятия является важнейшей составной частью его общей стратегии развития.</w:t>
      </w:r>
    </w:p>
    <w:p w:rsidR="00624D77" w:rsidRDefault="00624D77">
      <w:pPr>
        <w:rPr>
          <w:rFonts w:ascii="Times New Roman" w:hAnsi="Times New Roman"/>
          <w:sz w:val="4"/>
        </w:rPr>
      </w:pPr>
      <w:r>
        <w:rPr>
          <w:rFonts w:ascii="Times New Roman" w:hAnsi="Times New Roman"/>
          <w:sz w:val="28"/>
        </w:rPr>
        <w:br w:type="page"/>
      </w:r>
    </w:p>
    <w:p w:rsidR="00624D77" w:rsidRDefault="00624D77">
      <w:pPr>
        <w:pStyle w:val="1"/>
      </w:pPr>
      <w:bookmarkStart w:id="1" w:name="_Toc273708325"/>
      <w:r>
        <w:t>Глава I. Теоретические основы инвестирования в рыночной экономике.</w:t>
      </w:r>
      <w:bookmarkEnd w:id="1"/>
    </w:p>
    <w:p w:rsidR="00624D77" w:rsidRDefault="00624D77">
      <w:pPr>
        <w:pStyle w:val="1"/>
        <w:rPr>
          <w:sz w:val="28"/>
        </w:rPr>
      </w:pPr>
      <w:bookmarkStart w:id="2" w:name="_Toc273708326"/>
      <w:r>
        <w:rPr>
          <w:sz w:val="28"/>
        </w:rPr>
        <w:t>1.1 Инвестиции, инвестиционная деятельность.</w:t>
      </w:r>
      <w:bookmarkEnd w:id="2"/>
    </w:p>
    <w:p w:rsidR="00624D77" w:rsidRDefault="00624D77">
      <w:pPr>
        <w:pStyle w:val="a9"/>
        <w:rPr>
          <w:sz w:val="28"/>
        </w:rPr>
      </w:pP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Понятие «инвестиции» используется как в широком, так и в узком смысле этого слова. Однозначно определить его содержание и сущность очень сложно. В разных разделах экономической науки, а также применительно к различным направлениям практической деятельности в него вкладывается разный смысл, исходя их особенностей сферы и объектов приложения.</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Базисным понятием инвестиционной деятельности являлось понятие капитальных вложений. В последующий период термин «инвестиции» получил более широкое распространение в научном обороте, став использоваться в правительственных и нормативных документах. Однако большей частью инвестиции отождествлялись с капитальными вложениями. Инвестиции (капитальные вложения) рассматривались в двух аспектах: как процесс, отражающий движение стоимости в ходе воспроизводства основных фондов, и как экономическая категория – система экономических отношений, связанных с движением стоимости, авансированной в основные фонды от момента мобилизации денежных средств до момента их возмещения.</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Более широкая трактовка инвестиций в рассматриваемый период была представлена позицией, согласно которой инвестиции выступают как вложения не только в основные фонды, но и в прирост оборотных средств, нашедшая отражение в типовой методике определения экономической эффективности капитальных вложений. В основе данного подхода лежало положение о том, что основные фонды не функционируют в отрыве от оборотных средств и, следовательно, прирост прибыли (дохода) является результатом их совместного использования.</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Включение в состав капитальных затрат расходов на формирование прироста оборотных средств положило начало исследованию оборота инвестиций и его отдельных стадий. Вместе с тем инвестиции, как правило, рассматривались в связи с расширенным воспроизводством основных фондов, поскольку завершение инвестиционного цикла связывалось с вводом в действие основных фондов и производственных мощностей. Исследование отдельных фаз движения инвестиций привело к формированию двух подходов к определению их экономической сущности – затратного и ресурсного.</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В соответствии с затратным подходом инвестиции понимались, как затраты на воспроизводство основных фондов, их увеличение и совершенствование. Данный подход являлся доминирующим в теоретических воззрениях и в практической деятельности, поскольку он отражал специфику функционирующего в условиях административно-командной экономики хозяйствующего механизма. Его характерной особенностью являлось то, что основное значение придавалось производительной стадии движения средств как исходному пункту инвестиционной деятельности, преуменьшалась роль денежной формы оборота основного капитала, движение которой ограничивалось рамками только строительного комплекса. Таким образом, оборот инвестиций рассматривается вне связи с конечными народно-хозяйственными результатами. Акцент на затратной стороне инвестиций, игнорирование стадии преобразования ресурсов в затраты, которая должна предшествовать производительной стадии движения средств, искажали действующую логику и последовательность инвестиционного процесса, сужали общее пространство движения инвестиций.</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Обострение проблемы товарно-денежной сбалансированности общественного воспроизводства, общее снижение эффективности функционирования административно-командной системы управления привели к признанию недостаточности затратного подхода и обращения к ресурсному подходу. В основе последнего лежало выделение другого составляющего элемента инвестиций – ресурсов. При этом инвестиции трактовались как финансовые средства, предназначенные для воспроизводства основных фондов. Восстанавливая роль денежной формы движения средств как начального пункта их оборота, ресурсный подход вместе с тем игнорировал дальнейшее движение ресурсов, их последовательное превращение под воздействием целевых установок инвесторов в продукт инвестиционной деятельности.</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Таким образом, существенный недостаток обоих подходов заключался в статичной характеристике объекта анализа, базирующейся на выделении какого-либо одного элемента инвестиций, затрат или ресурсов, обосновании приоритета отдельных стадий оборота средств – производительной или денежной, что ограничивало возможности использования инвестиций как целостного процесса, в ходе которого происходит последовательная смена различных форм собственности, реализуется динамическая связь элементов инвестиционной деятельности: ресурсы – затраты – доход.</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Начало рыночных преобразований в России повлекло за собой реформирование подходов к анализу экономических процессов, в том числе и инвестиционной деятельности, усилило интерес к результатам научных исследований в странах развитой рыночной экономики.</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Обращение к трактовке термина «инвестиции» в зарубежной экономической литературе показывает, что в различных школах и направлениях экономической мысли определения понятия «инвестиции» содержат общую существенную черту – связь инвестиций с получением дохода как целевой установки инвестора.</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В наиболее общем виде инвестиции понимаются как вложения капитала с целью его увеличения в будущем. Такой подход к определению понятия «инвестиции» является господствующим как в европейской, так и в американской методологии.</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Вместе с тем нередко встречается позиция, в соответствии с которой предлагается различать категории «инвестиций», с одной стороны, и «вложение капитала», с другой стороны, на том основании, что отличительным признаком инвестиций, по мнению её представителей, является производительный характер данной категории. При этом под инвестициями понимается, как правило, приобретение средств производства, а под вложениями капитала – покупка финансовых активов. В частности, в учебных курсах «Экономикс» при всех различиях в трактовке термина «инвестиции» большинство авторов подчёркивает материально-вещественное содержание инвестиций либо как «расходов на строительство новых предприятий, на станки и оборудование с длительным сроком службы», либо как «прироста любых материальных ценностей – всех расходов, которые непосредственно способствуют росту общей величины капитала в экономической системе».</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Существует и другой подход к определению инвестиций, обусловленный возросшим значением рынка ценных бумаг как механизма, опосредующего перемещение реального капитала в странах развитой рыночной экономики. В его рамках инвестиции определяются как вложения в ценные бумаги.</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Следует отметить, что развитие рыночных отношений связано с ростом многообразия объектов инвестирования, в состав которых входят как различные виды реальных активов, так и финансовых инструментов. При этом «в примитивных экономиках основная часть инвестиций относится к реальным, в то время как в современной экономике большая часть инвестиций представлена ценными бумагами».</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В специальных исследованиях, посвящённых проблемам инвестирования, инвестиции определяются как способ помещения капитала, который должен обеспечить сохранение или возрастание стоимости капитала и (или) принести положительную величину дохода. Инвестиция – это любой инструмент, в который можно поместить деньги, рассчитывая сохранить или умножить их стоимость и (или) обеспечить положительную величину дохода. Таким образом, учёт многообразных форм инвестиций осуществляется на основе более широкой трактовки инвестиций как любого вложения капитала, направленного на его прирост. Такой подход определяет в качестве существенного признака инвестиций не характер вложений, а связь инвестиций с возрастанием капитала (получением дохода).</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Следует отметить, что производительный характер присущ не только вложениям в реальные активы, составляющим группу капиталообразующих инвестиций (вложения в основной капитал, прирост оборотного капитала, земельные участки и объекты природопользования, нематериальные активы), но и вложениям в определённые финансовые инструменты, опосредующие движение капиталообразующих инвестиций (например, ценные бумаги предприятий реального сектора, позволяющие привлечь капитал в сферу предпринимательской деятельности).</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В то же время некоторые реальные инвестиции (вложения в покупку недвижимости, драгоценные металлы, предметы коллекционирования), так же как и часть финансовых инвестиций (спекулятивные финансовые инструменты), не носят производительного характера. Поскольку данные вложения сопряжены с получением дохода как целевой установки инвестора, с позиций экономического субъекта она выступают как инвестиции, хотя на макроэкономическом уровне их реализация означает не прирост, а перераспределение совокупного дохода.</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 xml:space="preserve">Инвестиции в западной экономической литературе рассматриваются в единстве двух аспектов: ресурсов (капитальных ценностей) и вложений (затрат). Наиболее очевидно данный подход представлен в работах Дж. М. Кейнса, по мнению, которого инвестиции – это часть дохода за данный период, которая не была использована для потребления, текущий прирост ценностей капитального имущества в результате производительной деятельности данного периода. Это определение, которое не является исчерпывающим,   отличает    достаточно    чёткое   выделение   двух   сторон </w:t>
      </w:r>
    </w:p>
    <w:p w:rsidR="00624D77" w:rsidRDefault="00624D77">
      <w:pPr>
        <w:pStyle w:val="a9"/>
        <w:spacing w:line="360" w:lineRule="auto"/>
        <w:jc w:val="both"/>
        <w:rPr>
          <w:rFonts w:ascii="Times New Roman" w:hAnsi="Times New Roman"/>
          <w:sz w:val="4"/>
        </w:rPr>
      </w:pPr>
    </w:p>
    <w:p w:rsidR="00624D77" w:rsidRDefault="00624D77">
      <w:pPr>
        <w:pStyle w:val="a9"/>
        <w:spacing w:line="360" w:lineRule="auto"/>
        <w:jc w:val="both"/>
        <w:rPr>
          <w:rFonts w:ascii="Times New Roman" w:hAnsi="Times New Roman"/>
          <w:sz w:val="4"/>
        </w:rPr>
      </w:pPr>
    </w:p>
    <w:p w:rsidR="00624D77" w:rsidRDefault="00624D77">
      <w:pPr>
        <w:pStyle w:val="a9"/>
        <w:spacing w:line="360" w:lineRule="auto"/>
        <w:jc w:val="both"/>
        <w:rPr>
          <w:rFonts w:ascii="Times New Roman" w:hAnsi="Times New Roman"/>
          <w:sz w:val="4"/>
        </w:rPr>
      </w:pPr>
    </w:p>
    <w:p w:rsidR="00624D77" w:rsidRDefault="00624D77">
      <w:pPr>
        <w:pStyle w:val="a9"/>
        <w:spacing w:line="360" w:lineRule="auto"/>
        <w:jc w:val="both"/>
        <w:rPr>
          <w:rFonts w:ascii="Times New Roman" w:hAnsi="Times New Roman"/>
          <w:sz w:val="4"/>
        </w:rPr>
      </w:pPr>
    </w:p>
    <w:p w:rsidR="00624D77" w:rsidRDefault="00624D77">
      <w:pPr>
        <w:pStyle w:val="a9"/>
        <w:spacing w:line="360" w:lineRule="auto"/>
        <w:jc w:val="both"/>
        <w:rPr>
          <w:rFonts w:ascii="Times New Roman" w:hAnsi="Times New Roman"/>
          <w:sz w:val="28"/>
        </w:rPr>
      </w:pPr>
      <w:r>
        <w:rPr>
          <w:rFonts w:ascii="Times New Roman" w:hAnsi="Times New Roman"/>
          <w:sz w:val="28"/>
        </w:rPr>
        <w:t>инвестиций: ресурсов (аккумулированных с целью накопления дохода) и вложений (использования ресурсов), обеспечивающих прирост капитального имущества.</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Развитие рыночных отношений в российской экономике обусловило необходимость пересмотра толкования категории «инвестиции» в соответствии с новыми условиями. Характерными чертами формирующегося рыночного подхода к пониманию сущности инвестиций являются:</w:t>
      </w:r>
    </w:p>
    <w:p w:rsidR="00624D77" w:rsidRDefault="00624D77">
      <w:pPr>
        <w:pStyle w:val="a9"/>
        <w:numPr>
          <w:ilvl w:val="0"/>
          <w:numId w:val="13"/>
        </w:numPr>
        <w:tabs>
          <w:tab w:val="clear" w:pos="900"/>
        </w:tabs>
        <w:spacing w:line="360" w:lineRule="auto"/>
        <w:ind w:left="0" w:firstLine="540"/>
        <w:jc w:val="both"/>
        <w:rPr>
          <w:rFonts w:ascii="Times New Roman" w:hAnsi="Times New Roman"/>
          <w:sz w:val="28"/>
        </w:rPr>
      </w:pPr>
      <w:r>
        <w:rPr>
          <w:rFonts w:ascii="Times New Roman" w:hAnsi="Times New Roman"/>
          <w:sz w:val="28"/>
        </w:rPr>
        <w:t>связь инвестиций с получением дохода как мотива инвестиционной деятельности;</w:t>
      </w:r>
    </w:p>
    <w:p w:rsidR="00624D77" w:rsidRDefault="00624D77">
      <w:pPr>
        <w:pStyle w:val="a9"/>
        <w:numPr>
          <w:ilvl w:val="0"/>
          <w:numId w:val="13"/>
        </w:numPr>
        <w:tabs>
          <w:tab w:val="clear" w:pos="900"/>
        </w:tabs>
        <w:spacing w:line="360" w:lineRule="auto"/>
        <w:ind w:left="0" w:firstLine="540"/>
        <w:jc w:val="both"/>
        <w:rPr>
          <w:rFonts w:ascii="Times New Roman" w:hAnsi="Times New Roman"/>
          <w:sz w:val="28"/>
        </w:rPr>
      </w:pPr>
      <w:r>
        <w:rPr>
          <w:rFonts w:ascii="Times New Roman" w:hAnsi="Times New Roman"/>
          <w:sz w:val="28"/>
        </w:rPr>
        <w:t>рассмотрение инвестиций в единстве двух сторон: ресурсов (капитальных ценностей) и вложений (затрат);</w:t>
      </w:r>
    </w:p>
    <w:p w:rsidR="00624D77" w:rsidRDefault="00624D77">
      <w:pPr>
        <w:pStyle w:val="a9"/>
        <w:numPr>
          <w:ilvl w:val="0"/>
          <w:numId w:val="13"/>
        </w:numPr>
        <w:tabs>
          <w:tab w:val="clear" w:pos="900"/>
        </w:tabs>
        <w:spacing w:line="360" w:lineRule="auto"/>
        <w:ind w:left="0" w:firstLine="540"/>
        <w:jc w:val="both"/>
        <w:rPr>
          <w:rFonts w:ascii="Times New Roman" w:hAnsi="Times New Roman"/>
          <w:sz w:val="28"/>
        </w:rPr>
      </w:pPr>
      <w:r>
        <w:rPr>
          <w:rFonts w:ascii="Times New Roman" w:hAnsi="Times New Roman"/>
          <w:sz w:val="28"/>
        </w:rPr>
        <w:t>анализ инвестиций не в статистике, а в динамике, что позволяет объединить в рамках категории «инвестиции» ресурсы, вложения и отдачу вложенных средств как мотива этого объединения;</w:t>
      </w:r>
    </w:p>
    <w:p w:rsidR="00624D77" w:rsidRDefault="00624D77">
      <w:pPr>
        <w:pStyle w:val="a9"/>
        <w:numPr>
          <w:ilvl w:val="0"/>
          <w:numId w:val="13"/>
        </w:numPr>
        <w:tabs>
          <w:tab w:val="clear" w:pos="900"/>
        </w:tabs>
        <w:spacing w:line="360" w:lineRule="auto"/>
        <w:ind w:left="0" w:firstLine="540"/>
        <w:jc w:val="both"/>
        <w:rPr>
          <w:rFonts w:ascii="Times New Roman" w:hAnsi="Times New Roman"/>
          <w:sz w:val="28"/>
        </w:rPr>
      </w:pPr>
      <w:r>
        <w:rPr>
          <w:rFonts w:ascii="Times New Roman" w:hAnsi="Times New Roman"/>
          <w:sz w:val="28"/>
        </w:rPr>
        <w:t>включение в состав объектов инвестирования любых вложений, дающих экономический (социальный) эффект.</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Рыночный подход к анализу сущности, форм и принципов осуществления инвестиционной деятельности нашёл своё отражение при определении термина «инвестиции» в российском законодательстве. В соответствии с Законом РФ «Об инвестиционной деятельности в РСФСР» от 6 июня 1991 г. – одним из первых законов рыночной направленности – инвестициями являются все виды имущественных и интеллектуальных ценностей, вкладываемых в объекты предпринимательства и других видов деятельности, в результате которых образуется прибыль (доход) или достигается социальный эффект.</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Аналогичная по смыслу формулировка содержится и в новом Законе «Об инвестиционной деятельности В Российской Федерации, осуществляемой в форме капитальных вложений» от 25 февраля 1999 г., с принятием которого утратил силу прежний законодательный акт. Инвестиции определяются в нём как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В ином законодательном документе, имеющим в отличие от прежнего более конкретную направленности (сфера капитальных вложений), уточнено понятие не только инвестиций, но и капитальных вложений, которые рассматриваются как форма инвестиций, представляющая собой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проектно-изыскательные работы и другие затраты.</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В целом инвестиции определяются как процесс, в ходе которого осуществляется преобразование ресурсов в затраты с учётом целевых установок инвесторов – получения дохода (эффекта).</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В справочной экономической литературе из серии «Портфель делового человека» содержится более краткое и полное определение, согласно которому инвестиции – это долгосрочные вложения частного или государственного капитала в различные отрасли национальной экономики (внутренние инвестиции) или зарубежной (внешние инвестиции) с целью получения прибыли.</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 xml:space="preserve">Термину «инвестиционная деятельность» можно дать широкое и узкое определение. По широкому определению инвестиционная деятельность – это деятельность, связанная с вложением средств в объекты инвестирования с целью получения дохода (эффекта). Подобная трактовка содержится в Законе «Об инвестиционной деятельности в Российской Федерации, осуществляемой в форме капитальных вложений», в соответствии с которым под инвестиционной деятельностью понимается вложение инвестиций, и осуществление практических действий в целях получения прибыли и (или) достижения иного полезного эффекта. По узкому определению инвестиционная деятельность, или иначе собственно инвестиционная деятельность (инвестирование), представляет собой процесс преобразования инвестиционных ресурсов во вложения. </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 xml:space="preserve">Движение инвестиций включает две основные стадии. Содержанием первой стадии «инвестиционные ресурсы – вложение средств» является собственно инвестиционная деятельность. Вторая стадия «вложение средств – результат инвестирования» предполагает окупаемость осуществлённых затрат и получение дохода в результате исследования инвестиций. Она характеризует взаимосвязь и взаимообусловленность двух необходимых элементов любого вида экономической деятельности: затрат и их отдачи. </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С одной стороны, экономическая деятельность связана с вложением средств, с другой стороны, целесообразность этих вложений определяется их отдачей. Без получения дохода (эффекта) отсутствует мотивация инвестиционной деятельности, вложение инвестиционных ресурсов осуществляется с целью возрастания авансированной стоимости. Поэтому инвестиционную деятельность в целом можно определить как единство процессов вложения ресурсов и получения доходов в будущем.</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При вложении капитальных ценностей в реальный экономический сектор с целью организации производства движение инвестиций на стадии окупаемости затрат осуществляется в виде индивидуального кругооборота производственных фондов, последовательной смены форм стоимости. В ходе этого движения создаётся готовый продукт, воплощающий в себе прирост капитальной стоимости, в результате реализации которого образуется доход.</w:t>
      </w:r>
    </w:p>
    <w:p w:rsidR="00624D77" w:rsidRDefault="00624D77">
      <w:pPr>
        <w:pStyle w:val="a9"/>
        <w:spacing w:line="360" w:lineRule="auto"/>
        <w:jc w:val="both"/>
        <w:rPr>
          <w:rFonts w:ascii="Times New Roman" w:hAnsi="Times New Roman"/>
          <w:sz w:val="28"/>
        </w:rPr>
      </w:pPr>
      <w:r>
        <w:rPr>
          <w:rFonts w:ascii="Times New Roman" w:hAnsi="Times New Roman"/>
          <w:sz w:val="28"/>
        </w:rPr>
        <w:t>Инвестиционная деятельность является необходимым условием индивидуального кругооборота средств хозяйствующего субъекта. В свою очередь деятельность в сфере производства создаёт предпосылки для новых инвестиций. С этой точки зрения любой вид предпринимательской деятельности включает в себя процессы инвестиционной и основной деятельности. Выступая на поверхности явлений как относительно обособленные сферы, инвестиционная и основная деятельность, тем не менее, представляют собой важнейшие взаимосвязанные составляющие единого экономического процесса.</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Движение инвестиций, в ходе которого они последовательно проходят все фазы воспроизводства от момента мобилизации инвестиционных ресурсов до получения дохода (эффекта) и возмещения вложенных средств, выступает как кругооборот инвестиций и составляет инвестиционный цикл. Это движение носит постоянно повторяющийся характер, поскольку доход, который образуется в результате вложения инвестиционных ресурсов в объекты предпринимательской деятельности, всякий раз распадается на потребление и накопление, являющееся основой следующего инвестиционного цикла.</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Анализ инвестиций должен осуществляться только на основе воспроизводственного подхода, предполагающего их рассмотрение в динамике, а не на основе вычленения и фиксации в качестве объекта исследования отдельных стадий их движения.</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С позиций структурного анализа инвестиции как объект исследования можно рассмотреть в единстве следующих основных элементов: субъектов, объектов и собственно экономических отношений.</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Объектами инвестиционной деятельности являются все виды финансовых инструментов, материально-производственной, интеллектуальной, лицензионной, арендной и любой другой деятельности.</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Субъектами инвестиционной деятельности являются её прямые и косвенные участники: инвесторы, заказчики, исполнители работ, пользователи объектов инвестирования, а также поставщики, банковские, страховые и посреднические организации, фондовые биржи и другие структуры. Все они могут выступать как физические и юридические лица, включая иностранные, а также как государственные и международные организации.</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Инвесторы-субъекты инвестиционной деятельности, осуществляющие вложение собственных, заёмных или привлечённых средств в форме инвестиций и обеспечивающие их целевой использование. В качестве инвестора могут выступать: органы, уполномоченные управлять государственным или муниципальным имуществом или имущественными правами; граждане, предприятия, предпринимательские объединения и другие юридические лица; иностранные физические и юридические лица, государства и международные организации. Допускается объединение средств инвесторами для осуществления совместного инвестирования.</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Субъекты инвестиционной деятельности вправе совмещать функции двух или нескольких участников. Так, инвесторы, наряду с ролью вкладчиков, могут выступать одновременно в роли заказчиков, кредиторов, покупателей и других участников инвестиционного процесса.</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Заказчиками (инвеститорами) могут быть как сами инвесторы, так и любые другие физические и юридические лица, уполномоченные инвесторами осуществить реализацию инвестиционного проекта, не вмешиваясь при этом в предпринимательскую и иную деятельность остальных участников инвестиционного процесса, если иное не предусмотрено договором между ними. Если заказчик не является инвестором, он наделяется правами владения, пользования и распоряжения инвестициями на период и в пределах полномочий, установленных указанным договором, и в соответствии с действующим законодательством.</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Пользователями объектов инвестиционной деятельности могут быть как сами инвесторы, так и другие физические и юридические лица, государственные и муниципальные органы, иностранные государства и международные организации, для которых осуществлена инвестиционная деятельность. Если пользователь не является инвестором, взаимоотношения между ними определяются договором об инвестировании в порядке, установленном законодательством Российской Федерации.</w:t>
      </w:r>
    </w:p>
    <w:p w:rsidR="00624D77" w:rsidRDefault="00624D77">
      <w:pPr>
        <w:pStyle w:val="a9"/>
        <w:spacing w:line="360" w:lineRule="auto"/>
        <w:jc w:val="both"/>
        <w:rPr>
          <w:rFonts w:ascii="Times New Roman" w:hAnsi="Times New Roman"/>
          <w:b/>
          <w:sz w:val="28"/>
        </w:rPr>
      </w:pPr>
    </w:p>
    <w:p w:rsidR="00624D77" w:rsidRDefault="00624D77">
      <w:pPr>
        <w:rPr>
          <w:sz w:val="28"/>
        </w:rPr>
      </w:pPr>
    </w:p>
    <w:p w:rsidR="00624D77" w:rsidRDefault="00624D77"/>
    <w:p w:rsidR="00624D77" w:rsidRDefault="00624D77">
      <w:pPr>
        <w:pStyle w:val="a4"/>
        <w:spacing w:after="200" w:line="276" w:lineRule="auto"/>
        <w:rPr>
          <w:rFonts w:ascii="Times New Roman" w:hAnsi="Times New Roman"/>
          <w:sz w:val="4"/>
        </w:rPr>
      </w:pPr>
    </w:p>
    <w:p w:rsidR="00624D77" w:rsidRDefault="00624D77">
      <w:pPr>
        <w:pStyle w:val="a4"/>
        <w:spacing w:after="200" w:line="276" w:lineRule="auto"/>
        <w:rPr>
          <w:rFonts w:ascii="Times New Roman" w:hAnsi="Times New Roman"/>
          <w:sz w:val="4"/>
        </w:rPr>
      </w:pPr>
    </w:p>
    <w:p w:rsidR="00624D77" w:rsidRDefault="00624D77">
      <w:pPr>
        <w:pStyle w:val="1"/>
        <w:rPr>
          <w:sz w:val="28"/>
        </w:rPr>
      </w:pPr>
      <w:bookmarkStart w:id="3" w:name="_Toc273708327"/>
      <w:r>
        <w:rPr>
          <w:sz w:val="28"/>
        </w:rPr>
        <w:t>1.2 Простые методы инвестирования.</w:t>
      </w:r>
      <w:bookmarkEnd w:id="3"/>
    </w:p>
    <w:p w:rsidR="00624D77" w:rsidRDefault="00624D77">
      <w:pPr>
        <w:pStyle w:val="a9"/>
        <w:spacing w:line="360" w:lineRule="auto"/>
        <w:jc w:val="center"/>
        <w:rPr>
          <w:rFonts w:ascii="Times New Roman" w:hAnsi="Times New Roman"/>
          <w:sz w:val="28"/>
        </w:rPr>
      </w:pP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Основные методы инвестирования в целом отражают весь спектр возможных объектов и инструментов инвестирования, в которые можно вкладывать средства с целью получения дохода. Выбор метода инвестирования должен основываться на основных показателях предприятия, фирмы, частного или юридического лица, который выступает инвестором. Во-первых, следует останавливаться на методах, которые соответствуют представлениям об объемах возможных инвестиций. Согласитесь, что несколько тысяч долларов и несколько миллионов долларов – суммы довольно разные, и потому использоваться в качестве инвестиций тоже должны по-разному. Также методы инвестирования и их выбор всегда напрямую связан с предполагаемым сроком вложения средств. Чем большим временем вы располагаете, тем долгосрочнее могут быть инвестиционные проекты и тем большим доходом они могут сопровождаться.</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Немаловажным признаком, по которому различаются основные методы инвестирования, является возможность потери инвестированных средств и упущения дохода, так называемые риски инвестирования. Для каждого инвестора уровень допустимого риска устанавливается в индивидуальном порядке.</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Как правило, инвесторы склонны выбирать те методы инвестирования, которые при относительно невысоком уровне риска способны приносить стабильный и гарантированный доход. Это вложения в строительство и недвижимость. Они обычно используются довольно солидными предприятиями. Корме этого, в этой среде популярны венчурные методы инвестирования. Они предполагают вложения в инвестиционные проекты с большой степенью риска. Это, как правило, проекты, связанные с технологиями и различными инновационными продуктами и идеями. Именно они способны в случае успеха принести наибольшую выгоду, ведь в инвестициях действует незыблемое правило – чем выше риск, тем выше доход.</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Методы инвестирования с минимальным уровнем возможного риска обычно используются для краткосрочных инвестиций. Эти методы чаще используются как способ частного вложения денег, скажем, на банковский депозит.</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Специалисты считают, что наименее рискованными методами инвестирования являются инвестиции в недвижимость и в ценные металлы. Однако и то, и другое, характеризуется довольно низким уровнем дохода. При этом недвижимость имеет еще и тенденцию к обесцениванию. Кстати, именно по этим же причинам специалисты по инвестированию не советуют просто хранить накопления в деньгах. Неизбежная инфляция рано или</w:t>
      </w:r>
      <w:r>
        <w:rPr>
          <w:rFonts w:ascii="Times New Roman" w:hAnsi="Times New Roman"/>
          <w:sz w:val="28"/>
          <w:lang w:val="en"/>
        </w:rPr>
        <w:t> </w:t>
      </w:r>
      <w:r>
        <w:rPr>
          <w:rFonts w:ascii="Times New Roman" w:hAnsi="Times New Roman"/>
          <w:sz w:val="28"/>
        </w:rPr>
        <w:t xml:space="preserve"> поздно приведет к сокращению вашего капитала. А вот вложения, особенно в несколько разных объектов, способны приносить доход и не только сохранять сбережения, но и приумножать их.</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Для оценки экономической эффективности проектов могут быть использованы различные критерии, позволяющие судить об экономической привлекательности проектов, о финансовых преимуществах одних проектов перед другими.</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При рассмотрении методик измерения эффективности инвестиций бросается в глаза их разнообразие. За рубежом каждая корпорация, руководствуясь сложившимся опытом управления финансовыми</w:t>
      </w:r>
      <w:r>
        <w:t xml:space="preserve"> </w:t>
      </w:r>
      <w:r>
        <w:rPr>
          <w:rFonts w:ascii="Times New Roman" w:hAnsi="Times New Roman"/>
          <w:sz w:val="28"/>
        </w:rPr>
        <w:t>ресурсами, их наличием, целями, преследуемыми в тот или иной момент, а иногда и амбициями, применяет свою методику.</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Вместе с тем в последние два десятилетия сформировались и общие подходы к решению данной задачи.</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Все методы инвестиционных расчётов можно разделить на две группы:</w:t>
      </w:r>
    </w:p>
    <w:p w:rsidR="00624D77" w:rsidRDefault="00624D77">
      <w:pPr>
        <w:pStyle w:val="a9"/>
        <w:tabs>
          <w:tab w:val="left" w:pos="720"/>
          <w:tab w:val="left" w:pos="900"/>
        </w:tabs>
        <w:spacing w:line="360" w:lineRule="auto"/>
        <w:ind w:firstLine="540"/>
        <w:jc w:val="both"/>
        <w:rPr>
          <w:rFonts w:ascii="Times New Roman" w:hAnsi="Times New Roman"/>
          <w:sz w:val="28"/>
        </w:rPr>
      </w:pPr>
      <w:r>
        <w:rPr>
          <w:rFonts w:ascii="Times New Roman" w:hAnsi="Times New Roman"/>
          <w:sz w:val="28"/>
        </w:rPr>
        <w:t>1. Методы обоснования инвестиционных проектов в условиях неопределённости и риска.</w:t>
      </w:r>
    </w:p>
    <w:p w:rsidR="00624D77" w:rsidRDefault="00624D77">
      <w:pPr>
        <w:pStyle w:val="a9"/>
        <w:tabs>
          <w:tab w:val="left" w:pos="720"/>
          <w:tab w:val="left" w:pos="900"/>
        </w:tabs>
        <w:spacing w:line="360" w:lineRule="auto"/>
        <w:ind w:firstLine="540"/>
        <w:jc w:val="both"/>
        <w:rPr>
          <w:rFonts w:ascii="Times New Roman" w:hAnsi="Times New Roman"/>
          <w:sz w:val="28"/>
        </w:rPr>
      </w:pPr>
    </w:p>
    <w:p w:rsidR="00624D77" w:rsidRDefault="00624D77">
      <w:pPr>
        <w:pStyle w:val="a9"/>
        <w:tabs>
          <w:tab w:val="left" w:pos="720"/>
          <w:tab w:val="left" w:pos="900"/>
        </w:tabs>
        <w:spacing w:line="360" w:lineRule="auto"/>
        <w:ind w:firstLine="540"/>
        <w:jc w:val="both"/>
        <w:rPr>
          <w:rFonts w:ascii="Times New Roman" w:hAnsi="Times New Roman"/>
          <w:sz w:val="4"/>
        </w:rPr>
      </w:pPr>
    </w:p>
    <w:p w:rsidR="00624D77" w:rsidRDefault="00624D77">
      <w:pPr>
        <w:pStyle w:val="a9"/>
        <w:tabs>
          <w:tab w:val="left" w:pos="720"/>
          <w:tab w:val="left" w:pos="900"/>
        </w:tabs>
        <w:spacing w:line="360" w:lineRule="auto"/>
        <w:ind w:firstLine="540"/>
        <w:jc w:val="both"/>
        <w:rPr>
          <w:rFonts w:ascii="Times New Roman" w:hAnsi="Times New Roman"/>
          <w:sz w:val="4"/>
        </w:rPr>
      </w:pPr>
    </w:p>
    <w:p w:rsidR="00624D77" w:rsidRDefault="00624D77">
      <w:pPr>
        <w:pStyle w:val="a9"/>
        <w:tabs>
          <w:tab w:val="left" w:pos="720"/>
          <w:tab w:val="left" w:pos="900"/>
        </w:tabs>
        <w:spacing w:line="360" w:lineRule="auto"/>
        <w:ind w:firstLine="540"/>
        <w:jc w:val="both"/>
        <w:rPr>
          <w:rFonts w:ascii="Times New Roman" w:hAnsi="Times New Roman"/>
          <w:sz w:val="4"/>
        </w:rPr>
      </w:pPr>
    </w:p>
    <w:p w:rsidR="00624D77" w:rsidRDefault="00624D77">
      <w:pPr>
        <w:pStyle w:val="a9"/>
        <w:tabs>
          <w:tab w:val="left" w:pos="720"/>
          <w:tab w:val="left" w:pos="900"/>
        </w:tabs>
        <w:spacing w:line="360" w:lineRule="auto"/>
        <w:ind w:firstLine="540"/>
        <w:jc w:val="both"/>
        <w:rPr>
          <w:rFonts w:ascii="Times New Roman" w:hAnsi="Times New Roman"/>
          <w:sz w:val="4"/>
        </w:rPr>
      </w:pPr>
    </w:p>
    <w:p w:rsidR="00624D77" w:rsidRDefault="00624D77">
      <w:pPr>
        <w:pStyle w:val="a9"/>
        <w:tabs>
          <w:tab w:val="left" w:pos="720"/>
          <w:tab w:val="left" w:pos="900"/>
        </w:tabs>
        <w:spacing w:line="360" w:lineRule="auto"/>
        <w:ind w:firstLine="540"/>
        <w:jc w:val="both"/>
        <w:rPr>
          <w:rFonts w:ascii="Times New Roman" w:hAnsi="Times New Roman"/>
          <w:sz w:val="28"/>
        </w:rPr>
      </w:pPr>
      <w:r>
        <w:rPr>
          <w:rFonts w:ascii="Times New Roman" w:hAnsi="Times New Roman"/>
          <w:sz w:val="28"/>
        </w:rPr>
        <w:t>2. Методы определения целесообразности осуществления инвестиционного проекта в условиях полной определённости в отношении получаемого результата.</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Выбор метода оценки эффективности инвестиций в значительной мере зависит от целей инвестора, от особенностей рассматриваемых инвестиционных проектов и от условий их реализации.</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Применяемые в финансовом анализе методики и критерии можно разделить на две большие группы: статистические (бухгалтерские) и динамические (дисконтные).</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color w:val="000000"/>
          <w:sz w:val="28"/>
        </w:rPr>
        <w:t xml:space="preserve">Среди простых методов определения целесообразности помещения капитала в инвестиционный проект чаще всего используются два: расчет простой нормы прибыли и расчет срока окупаемости. </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color w:val="000000"/>
          <w:sz w:val="28"/>
        </w:rPr>
        <w:t>Методы, входящие в первую категорию, оперируют отдельными, "точечными" (статическими) значениями исходных показателей. При их использовании не учитываются вся продолжительность срока жизни проекта, а также неравнозначность денежных потоков, возникающих в различные моменты времени. Тем не менее, в силу своей простоты и иллюстративности, эти методы достаточно широко распространены, хотя и применяются, в основном, для быстрой оценки проектов на предварительных стадиях разработки. Среди простых методов определения целесообразности помещения капитала в инвестиционный проект чаще всего используются два: расчет простой нормы прибыли и расчет срока окупаемости.</w:t>
      </w:r>
    </w:p>
    <w:p w:rsidR="00624D77" w:rsidRDefault="00624D77">
      <w:pPr>
        <w:numPr>
          <w:ilvl w:val="0"/>
          <w:numId w:val="8"/>
        </w:numPr>
        <w:tabs>
          <w:tab w:val="left" w:pos="900"/>
        </w:tabs>
        <w:spacing w:line="360" w:lineRule="auto"/>
        <w:ind w:left="0" w:firstLine="540"/>
        <w:jc w:val="both"/>
        <w:rPr>
          <w:rFonts w:ascii="Times New Roman" w:hAnsi="Times New Roman"/>
          <w:sz w:val="28"/>
        </w:rPr>
      </w:pPr>
      <w:r>
        <w:rPr>
          <w:rFonts w:ascii="Times New Roman" w:hAnsi="Times New Roman"/>
          <w:sz w:val="28"/>
        </w:rPr>
        <w:t>Простая норма прибыли</w:t>
      </w:r>
    </w:p>
    <w:p w:rsidR="00624D77" w:rsidRDefault="00624D77">
      <w:pPr>
        <w:tabs>
          <w:tab w:val="left" w:pos="900"/>
        </w:tabs>
        <w:spacing w:line="360" w:lineRule="auto"/>
        <w:ind w:firstLine="540"/>
        <w:jc w:val="both"/>
        <w:rPr>
          <w:rFonts w:ascii="Times New Roman" w:hAnsi="Times New Roman"/>
          <w:sz w:val="28"/>
        </w:rPr>
      </w:pPr>
      <w:r>
        <w:rPr>
          <w:rFonts w:ascii="Times New Roman" w:hAnsi="Times New Roman"/>
          <w:sz w:val="28"/>
        </w:rPr>
        <w:t>Прибыльность</w:t>
      </w:r>
      <w:r>
        <w:rPr>
          <w:rFonts w:ascii="Times New Roman" w:hAnsi="Times New Roman"/>
          <w:sz w:val="28"/>
          <w:lang w:val="en-US"/>
        </w:rPr>
        <w:t xml:space="preserve"> </w:t>
      </w:r>
      <w:r>
        <w:rPr>
          <w:rFonts w:ascii="Times New Roman" w:hAnsi="Times New Roman"/>
          <w:sz w:val="28"/>
        </w:rPr>
        <w:t>инвестиций</w:t>
      </w:r>
      <w:r>
        <w:rPr>
          <w:rFonts w:ascii="Times New Roman" w:hAnsi="Times New Roman"/>
          <w:sz w:val="28"/>
          <w:lang w:val="en-US"/>
        </w:rPr>
        <w:t xml:space="preserve">. [simple rate of return  </w:t>
      </w:r>
      <w:r>
        <w:rPr>
          <w:rFonts w:ascii="Times New Roman" w:hAnsi="Times New Roman"/>
          <w:sz w:val="28"/>
        </w:rPr>
        <w:t>или</w:t>
      </w:r>
      <w:r>
        <w:rPr>
          <w:rFonts w:ascii="Times New Roman" w:hAnsi="Times New Roman"/>
          <w:sz w:val="28"/>
          <w:lang w:val="en-US"/>
        </w:rPr>
        <w:t xml:space="preserve"> Profitability of investments. </w:t>
      </w:r>
      <w:r>
        <w:rPr>
          <w:rFonts w:ascii="Times New Roman" w:hAnsi="Times New Roman"/>
          <w:sz w:val="28"/>
        </w:rPr>
        <w:t xml:space="preserve">= простой темп возврата] представляет собой аналог показателя рентабельности капитала. Отличие простой нормы прибыли (ПНП) от коэффициентов рентабельности заключается в том, что первая рассчитывается как </w:t>
      </w:r>
    </w:p>
    <w:p w:rsidR="00624D77" w:rsidRDefault="00624D77">
      <w:pPr>
        <w:pStyle w:val="a9"/>
        <w:spacing w:line="360" w:lineRule="auto"/>
        <w:ind w:firstLine="567"/>
        <w:jc w:val="both"/>
        <w:rPr>
          <w:rFonts w:ascii="Times New Roman" w:hAnsi="Times New Roman"/>
          <w:sz w:val="28"/>
        </w:rPr>
      </w:pPr>
      <w:r>
        <w:rPr>
          <w:rFonts w:ascii="Times New Roman" w:hAnsi="Times New Roman"/>
          <w:color w:val="000000"/>
          <w:sz w:val="28"/>
        </w:rPr>
        <w:t>- отношение чистой прибыли (ЧП) за один какой-либо промежуток времени (обычно, за год) к общему объему инвестиционных затрат (ИЗ):</w:t>
      </w:r>
    </w:p>
    <w:p w:rsidR="00624D77" w:rsidRDefault="00624D77">
      <w:pPr>
        <w:pStyle w:val="11"/>
        <w:spacing w:before="0" w:after="0" w:line="360" w:lineRule="auto"/>
        <w:jc w:val="center"/>
        <w:rPr>
          <w:color w:val="000000"/>
        </w:rPr>
      </w:pPr>
      <w:r>
        <w:rPr>
          <w:color w:val="000000"/>
          <w:sz w:val="28"/>
        </w:rPr>
        <w:t>ПНП = ЧП / ИЗ</w:t>
      </w:r>
    </w:p>
    <w:p w:rsidR="00624D77" w:rsidRDefault="00624D77">
      <w:pPr>
        <w:pStyle w:val="11"/>
        <w:spacing w:before="0" w:after="0" w:line="360" w:lineRule="auto"/>
        <w:ind w:firstLine="540"/>
        <w:jc w:val="both"/>
        <w:rPr>
          <w:color w:val="000000"/>
          <w:sz w:val="28"/>
        </w:rPr>
      </w:pPr>
      <w:r>
        <w:rPr>
          <w:color w:val="000000"/>
          <w:sz w:val="28"/>
        </w:rPr>
        <w:t>Данный показатель, благодаря легкости его расчета, является одним из наиболее часто используемых так называемых "простых" показателей эффективности инвестиционного проекта. Для облегчения вычислений сумма чистой прибыли часто не корректируется на величину процентных выплат.</w:t>
      </w:r>
    </w:p>
    <w:p w:rsidR="00624D77" w:rsidRDefault="00624D77">
      <w:pPr>
        <w:ind w:firstLine="540"/>
        <w:jc w:val="both"/>
        <w:rPr>
          <w:rFonts w:ascii="Times New Roman" w:hAnsi="Times New Roman"/>
        </w:rPr>
      </w:pPr>
      <w:r>
        <w:rPr>
          <w:rFonts w:ascii="Times New Roman" w:hAnsi="Times New Roman"/>
          <w:sz w:val="28"/>
        </w:rPr>
        <w:t>2.</w:t>
      </w:r>
      <w:r>
        <w:rPr>
          <w:rFonts w:ascii="Times New Roman" w:hAnsi="Times New Roman"/>
        </w:rPr>
        <w:t xml:space="preserve"> </w:t>
      </w:r>
      <w:r>
        <w:rPr>
          <w:rFonts w:ascii="Times New Roman" w:hAnsi="Times New Roman"/>
          <w:sz w:val="28"/>
        </w:rPr>
        <w:t>Простой срок окупаемости.</w:t>
      </w:r>
      <w:r>
        <w:rPr>
          <w:rFonts w:ascii="Times New Roman" w:hAnsi="Times New Roman"/>
        </w:rPr>
        <w:t xml:space="preserve"> </w:t>
      </w:r>
    </w:p>
    <w:p w:rsidR="00624D77" w:rsidRDefault="00624D77">
      <w:pPr>
        <w:pStyle w:val="11"/>
        <w:spacing w:before="0" w:after="0" w:line="360" w:lineRule="auto"/>
        <w:ind w:firstLine="540"/>
        <w:jc w:val="both"/>
        <w:rPr>
          <w:color w:val="000000"/>
          <w:sz w:val="28"/>
        </w:rPr>
      </w:pPr>
      <w:r>
        <w:rPr>
          <w:color w:val="000000"/>
          <w:sz w:val="28"/>
        </w:rPr>
        <w:t>Несколько более сложным для расчета является другой показатель из группы простых методов оценки эффективности – [pay-back period = период возмещения]. Срок окупаемости относится к числу наиболее часто используемых показателей эффективности инвестиций. Цель данного метода состоит в определении продолжительности периода, в течение которого проект будет работать "на себя". Моментом окупаемости называется тот наиболее ранний</w:t>
      </w:r>
      <w:r>
        <w:rPr>
          <w:color w:val="000000"/>
          <w:sz w:val="28"/>
          <w:vertAlign w:val="superscript"/>
        </w:rPr>
        <w:t xml:space="preserve"> </w:t>
      </w:r>
      <w:r>
        <w:rPr>
          <w:color w:val="000000"/>
          <w:sz w:val="28"/>
        </w:rPr>
        <w:t>момент времени в расчетном периоде, после которого текущий чистый доход ЧД(</w:t>
      </w:r>
      <w:r>
        <w:rPr>
          <w:color w:val="000000"/>
          <w:sz w:val="28"/>
          <w:lang w:val="en-US"/>
        </w:rPr>
        <w:t>k</w:t>
      </w:r>
      <w:r>
        <w:rPr>
          <w:color w:val="000000"/>
          <w:sz w:val="28"/>
        </w:rPr>
        <w:t xml:space="preserve">) становится и в дальнейшем остается неотрицательным. </w:t>
      </w:r>
    </w:p>
    <w:p w:rsidR="00624D77" w:rsidRDefault="00624D77">
      <w:pPr>
        <w:pStyle w:val="11"/>
        <w:spacing w:before="0" w:after="0" w:line="360" w:lineRule="auto"/>
        <w:ind w:firstLine="540"/>
        <w:jc w:val="both"/>
        <w:rPr>
          <w:color w:val="000000"/>
          <w:sz w:val="28"/>
        </w:rPr>
      </w:pPr>
      <w:r>
        <w:rPr>
          <w:color w:val="000000"/>
          <w:sz w:val="28"/>
        </w:rPr>
        <w:t>Расчет производится путем постепенного, шаг за шагом, вычитания из общего объема капитальных затрат суммы амортизационных отчислений и чистой прибыли (ЧЭДП) за очередной интервал планирования (как правило, год). Интервал, в котором остаток становится отрицательным, знаменует собой искомый "срок окупаемости". Если этого не произошло, значит, последний превышает установленный срок жизни проекта.</w:t>
      </w:r>
    </w:p>
    <w:p w:rsidR="00624D77" w:rsidRDefault="00624D77">
      <w:pPr>
        <w:pStyle w:val="11"/>
        <w:spacing w:before="0" w:after="0" w:line="360" w:lineRule="auto"/>
        <w:ind w:firstLine="540"/>
        <w:jc w:val="both"/>
        <w:rPr>
          <w:color w:val="000000"/>
          <w:sz w:val="28"/>
        </w:rPr>
      </w:pPr>
      <w:r>
        <w:rPr>
          <w:color w:val="000000"/>
          <w:sz w:val="28"/>
        </w:rPr>
        <w:t>В случае предположения о неизменных суммах денежных потоков (если доход распределен по годам равномерно), простой срок окупаемости рассчитывается по упрощенной методике, исходя из следующего уравнения: то срок окупаемости рассчитывается делением единовременных затрат на величину годового дохода, обусловленного ими.</w:t>
      </w:r>
    </w:p>
    <w:p w:rsidR="00624D77" w:rsidRDefault="00624D77">
      <w:pPr>
        <w:spacing w:after="0" w:line="240" w:lineRule="auto"/>
        <w:jc w:val="center"/>
        <w:rPr>
          <w:rFonts w:ascii="Times New Roman" w:hAnsi="Times New Roman"/>
          <w:color w:val="000000"/>
          <w:sz w:val="28"/>
        </w:rPr>
      </w:pPr>
      <w:r>
        <w:rPr>
          <w:rFonts w:ascii="Times New Roman" w:hAnsi="Times New Roman"/>
          <w:color w:val="000000"/>
          <w:sz w:val="28"/>
          <w:lang w:val="en-US"/>
        </w:rPr>
        <w:t>PBP</w:t>
      </w:r>
      <w:r>
        <w:rPr>
          <w:rFonts w:ascii="Times New Roman" w:hAnsi="Times New Roman"/>
          <w:color w:val="000000"/>
          <w:sz w:val="28"/>
        </w:rPr>
        <w:t>= ЧД/ИЗ</w:t>
      </w:r>
    </w:p>
    <w:p w:rsidR="00624D77" w:rsidRDefault="00624D77">
      <w:pPr>
        <w:spacing w:after="0" w:line="240" w:lineRule="auto"/>
        <w:jc w:val="center"/>
        <w:rPr>
          <w:rFonts w:ascii="Times New Roman" w:hAnsi="Times New Roman"/>
          <w:color w:val="000000"/>
          <w:sz w:val="28"/>
        </w:rPr>
      </w:pPr>
    </w:p>
    <w:p w:rsidR="00624D77" w:rsidRDefault="00624D77">
      <w:pPr>
        <w:spacing w:after="0" w:line="360" w:lineRule="auto"/>
        <w:ind w:firstLine="540"/>
        <w:jc w:val="both"/>
        <w:rPr>
          <w:rFonts w:ascii="Times New Roman" w:hAnsi="Times New Roman"/>
          <w:color w:val="000000"/>
          <w:sz w:val="24"/>
        </w:rPr>
      </w:pPr>
      <w:r>
        <w:rPr>
          <w:rFonts w:ascii="Times New Roman" w:hAnsi="Times New Roman"/>
          <w:color w:val="000000"/>
          <w:sz w:val="28"/>
        </w:rPr>
        <w:t>где PBP - срок окупаемости, выраженный в интервалах планирования,</w:t>
      </w:r>
    </w:p>
    <w:p w:rsidR="00624D77" w:rsidRDefault="00624D77">
      <w:pPr>
        <w:pStyle w:val="af2"/>
      </w:pPr>
      <w:r>
        <w:t xml:space="preserve">при получении дробного числа оно округляется в сторону увеличения до ближайшего целого. </w:t>
      </w:r>
    </w:p>
    <w:p w:rsidR="00624D77" w:rsidRDefault="00624D77">
      <w:pPr>
        <w:pStyle w:val="af2"/>
      </w:pPr>
      <w:r>
        <w:t>Если прибыль распределена неравномерно, то срок окупаемости рассчитывается прямым подсчетом числа лет, в течение которых инвестиция будет погашена кумулятивным доходом. Общая формула расчета показателя Р</w:t>
      </w:r>
      <w:r>
        <w:rPr>
          <w:lang w:val="en-US"/>
        </w:rPr>
        <w:t>B</w:t>
      </w:r>
      <w:r>
        <w:t>Р имеет вид:</w:t>
      </w:r>
    </w:p>
    <w:p w:rsidR="00624D77" w:rsidRDefault="00624D77">
      <w:pPr>
        <w:spacing w:after="0" w:line="240" w:lineRule="auto"/>
        <w:jc w:val="center"/>
        <w:rPr>
          <w:rFonts w:ascii="Times New Roman" w:hAnsi="Times New Roman"/>
          <w:color w:val="000000"/>
          <w:sz w:val="28"/>
        </w:rPr>
      </w:pPr>
      <w:r>
        <w:rPr>
          <w:rFonts w:ascii="Times New Roman" w:hAnsi="Times New Roman"/>
          <w:color w:val="000000"/>
          <w:sz w:val="28"/>
          <w:lang w:val="en-US"/>
        </w:rPr>
        <w:t>PBP</w:t>
      </w:r>
      <w:r>
        <w:rPr>
          <w:rFonts w:ascii="Times New Roman" w:hAnsi="Times New Roman"/>
          <w:color w:val="000000"/>
          <w:sz w:val="28"/>
        </w:rPr>
        <w:t xml:space="preserve">= </w:t>
      </w:r>
      <w:r>
        <w:rPr>
          <w:rFonts w:ascii="Times New Roman" w:hAnsi="Times New Roman"/>
          <w:color w:val="000000"/>
          <w:sz w:val="28"/>
          <w:lang w:val="en-US"/>
        </w:rPr>
        <w:t>d</w:t>
      </w:r>
      <w:r>
        <w:rPr>
          <w:rFonts w:ascii="Times New Roman" w:hAnsi="Times New Roman"/>
          <w:color w:val="000000"/>
          <w:sz w:val="28"/>
        </w:rPr>
        <w:t>+</w:t>
      </w:r>
      <w:r>
        <w:rPr>
          <w:rFonts w:ascii="Times New Roman" w:hAnsi="Times New Roman"/>
          <w:color w:val="000000"/>
          <w:sz w:val="28"/>
          <w:lang w:val="en-US"/>
        </w:rPr>
        <w:t>j  </w:t>
      </w:r>
    </w:p>
    <w:p w:rsidR="00624D77" w:rsidRDefault="00624D77">
      <w:pPr>
        <w:spacing w:after="0" w:line="240" w:lineRule="auto"/>
        <w:jc w:val="center"/>
        <w:rPr>
          <w:rFonts w:ascii="Times New Roman" w:hAnsi="Times New Roman"/>
          <w:color w:val="000000"/>
          <w:sz w:val="28"/>
        </w:rPr>
      </w:pPr>
      <w:r>
        <w:rPr>
          <w:rFonts w:ascii="Times New Roman" w:hAnsi="Times New Roman"/>
          <w:color w:val="000000"/>
          <w:sz w:val="28"/>
          <w:lang w:val="en-US"/>
        </w:rPr>
        <w:t>      </w:t>
      </w:r>
    </w:p>
    <w:p w:rsidR="00624D77" w:rsidRDefault="00624D77">
      <w:pPr>
        <w:spacing w:after="0" w:line="360" w:lineRule="auto"/>
        <w:ind w:firstLine="540"/>
        <w:jc w:val="both"/>
        <w:rPr>
          <w:rFonts w:ascii="Times New Roman" w:hAnsi="Times New Roman"/>
          <w:color w:val="000000"/>
          <w:sz w:val="28"/>
        </w:rPr>
      </w:pPr>
      <w:r>
        <w:rPr>
          <w:rFonts w:ascii="Times New Roman" w:hAnsi="Times New Roman"/>
          <w:color w:val="000000"/>
        </w:rPr>
        <w:t xml:space="preserve"> </w:t>
      </w:r>
      <w:r>
        <w:rPr>
          <w:rFonts w:ascii="Times New Roman" w:hAnsi="Times New Roman"/>
          <w:color w:val="000000"/>
          <w:sz w:val="28"/>
          <w:lang w:val="en-US"/>
        </w:rPr>
        <w:t>d</w:t>
      </w:r>
      <w:r>
        <w:rPr>
          <w:rFonts w:ascii="Times New Roman" w:hAnsi="Times New Roman"/>
          <w:color w:val="000000"/>
          <w:sz w:val="28"/>
        </w:rPr>
        <w:t>- дробное значение срока окупаемости,</w:t>
      </w:r>
    </w:p>
    <w:p w:rsidR="00624D77" w:rsidRDefault="00624D77">
      <w:pPr>
        <w:numPr>
          <w:ilvl w:val="0"/>
          <w:numId w:val="14"/>
        </w:numPr>
        <w:spacing w:after="0" w:line="360" w:lineRule="auto"/>
        <w:jc w:val="both"/>
        <w:rPr>
          <w:rFonts w:ascii="Times New Roman" w:hAnsi="Times New Roman"/>
          <w:color w:val="000000"/>
          <w:sz w:val="28"/>
        </w:rPr>
      </w:pPr>
      <w:r>
        <w:rPr>
          <w:rFonts w:ascii="Times New Roman" w:hAnsi="Times New Roman"/>
          <w:color w:val="000000"/>
          <w:sz w:val="28"/>
        </w:rPr>
        <w:t>целое значение срока окупаемости</w:t>
      </w:r>
    </w:p>
    <w:p w:rsidR="00624D77" w:rsidRDefault="00624D77">
      <w:pPr>
        <w:numPr>
          <w:ilvl w:val="0"/>
          <w:numId w:val="14"/>
        </w:numPr>
        <w:spacing w:after="0" w:line="360" w:lineRule="auto"/>
        <w:jc w:val="both"/>
        <w:rPr>
          <w:rFonts w:ascii="Times New Roman" w:hAnsi="Times New Roman"/>
          <w:color w:val="000000"/>
          <w:sz w:val="28"/>
          <w:lang w:val="en-US"/>
        </w:rPr>
      </w:pPr>
      <w:r>
        <w:rPr>
          <w:rFonts w:ascii="Times New Roman" w:hAnsi="Times New Roman"/>
          <w:color w:val="000000"/>
          <w:sz w:val="28"/>
          <w:lang w:val="en-US"/>
        </w:rPr>
        <w:t>j</w:t>
      </w:r>
      <w:r>
        <w:rPr>
          <w:rFonts w:ascii="Times New Roman" w:hAnsi="Times New Roman"/>
          <w:color w:val="000000"/>
          <w:sz w:val="28"/>
        </w:rPr>
        <w:t xml:space="preserve"> находится через (</w:t>
      </w:r>
      <w:r>
        <w:rPr>
          <w:rFonts w:ascii="Times New Roman" w:hAnsi="Times New Roman"/>
          <w:color w:val="000000"/>
          <w:sz w:val="28"/>
          <w:lang w:val="en-US"/>
        </w:rPr>
        <w:t>CF</w:t>
      </w:r>
      <w:r>
        <w:rPr>
          <w:rFonts w:ascii="Times New Roman" w:hAnsi="Times New Roman"/>
          <w:color w:val="000000"/>
          <w:sz w:val="28"/>
          <w:vertAlign w:val="subscript"/>
        </w:rPr>
        <w:t>1</w:t>
      </w:r>
      <w:r>
        <w:rPr>
          <w:rFonts w:ascii="Times New Roman" w:hAnsi="Times New Roman"/>
          <w:color w:val="000000"/>
          <w:sz w:val="28"/>
        </w:rPr>
        <w:t>+</w:t>
      </w:r>
      <w:r>
        <w:rPr>
          <w:rFonts w:ascii="Times New Roman" w:hAnsi="Times New Roman"/>
          <w:color w:val="000000"/>
          <w:sz w:val="28"/>
          <w:lang w:val="en-US"/>
        </w:rPr>
        <w:t>CF</w:t>
      </w:r>
      <w:r>
        <w:rPr>
          <w:rFonts w:ascii="Times New Roman" w:hAnsi="Times New Roman"/>
          <w:color w:val="000000"/>
          <w:sz w:val="28"/>
          <w:vertAlign w:val="subscript"/>
        </w:rPr>
        <w:t>2</w:t>
      </w:r>
      <w:r>
        <w:rPr>
          <w:rFonts w:ascii="Times New Roman" w:hAnsi="Times New Roman"/>
          <w:color w:val="000000"/>
          <w:sz w:val="28"/>
        </w:rPr>
        <w:t xml:space="preserve">+… </w:t>
      </w:r>
      <w:r>
        <w:rPr>
          <w:rFonts w:ascii="Times New Roman" w:hAnsi="Times New Roman"/>
          <w:color w:val="000000"/>
          <w:sz w:val="28"/>
          <w:lang w:val="en-US"/>
        </w:rPr>
        <w:t>+CF</w:t>
      </w:r>
      <w:r>
        <w:rPr>
          <w:rFonts w:ascii="Times New Roman" w:hAnsi="Times New Roman"/>
          <w:color w:val="000000"/>
          <w:sz w:val="28"/>
          <w:vertAlign w:val="subscript"/>
          <w:lang w:val="en-US"/>
        </w:rPr>
        <w:t>j</w:t>
      </w:r>
      <w:r>
        <w:rPr>
          <w:rFonts w:ascii="Times New Roman" w:hAnsi="Times New Roman"/>
          <w:color w:val="000000"/>
          <w:sz w:val="28"/>
          <w:lang w:val="en-US"/>
        </w:rPr>
        <w:t>)&lt;=I</w:t>
      </w:r>
      <w:r>
        <w:rPr>
          <w:rFonts w:ascii="Times New Roman" w:hAnsi="Times New Roman"/>
          <w:color w:val="000000"/>
          <w:sz w:val="28"/>
          <w:vertAlign w:val="subscript"/>
          <w:lang w:val="en-US"/>
        </w:rPr>
        <w:t>0</w:t>
      </w:r>
      <w:r>
        <w:rPr>
          <w:rFonts w:ascii="Times New Roman" w:hAnsi="Times New Roman"/>
          <w:color w:val="000000"/>
          <w:sz w:val="28"/>
          <w:lang w:val="en-US"/>
        </w:rPr>
        <w:t xml:space="preserve"> </w:t>
      </w:r>
      <w:r>
        <w:rPr>
          <w:rFonts w:ascii="Times New Roman" w:hAnsi="Times New Roman"/>
          <w:color w:val="000000"/>
          <w:sz w:val="28"/>
        </w:rPr>
        <w:t>и</w:t>
      </w:r>
      <w:r>
        <w:rPr>
          <w:rFonts w:ascii="Times New Roman" w:hAnsi="Times New Roman"/>
          <w:color w:val="000000"/>
          <w:sz w:val="28"/>
          <w:lang w:val="en-US"/>
        </w:rPr>
        <w:t xml:space="preserve"> 1</w:t>
      </w:r>
      <w:r>
        <w:rPr>
          <w:rFonts w:ascii="Times New Roman" w:hAnsi="Times New Roman"/>
          <w:color w:val="000000"/>
          <w:sz w:val="28"/>
        </w:rPr>
        <w:t></w:t>
      </w:r>
      <w:r>
        <w:rPr>
          <w:rFonts w:ascii="Times New Roman" w:hAnsi="Times New Roman"/>
          <w:color w:val="000000"/>
          <w:sz w:val="28"/>
          <w:lang w:val="en-US"/>
        </w:rPr>
        <w:t>j</w:t>
      </w:r>
      <w:r>
        <w:rPr>
          <w:rFonts w:ascii="Times New Roman" w:hAnsi="Times New Roman"/>
          <w:color w:val="000000"/>
          <w:sz w:val="28"/>
        </w:rPr>
        <w:t></w:t>
      </w:r>
      <w:r>
        <w:rPr>
          <w:rFonts w:ascii="Times New Roman" w:hAnsi="Times New Roman"/>
          <w:color w:val="000000"/>
          <w:sz w:val="28"/>
          <w:lang w:val="en-US"/>
        </w:rPr>
        <w:t>n</w:t>
      </w:r>
    </w:p>
    <w:p w:rsidR="00624D77" w:rsidRDefault="00624D77">
      <w:pPr>
        <w:spacing w:after="0" w:line="360" w:lineRule="auto"/>
        <w:ind w:left="1701"/>
        <w:jc w:val="center"/>
        <w:rPr>
          <w:rFonts w:ascii="Times New Roman" w:hAnsi="Times New Roman"/>
          <w:color w:val="000000"/>
          <w:sz w:val="28"/>
          <w:lang w:val="en-US"/>
        </w:rPr>
      </w:pPr>
      <w:r>
        <w:rPr>
          <w:rFonts w:ascii="Times New Roman" w:hAnsi="Times New Roman"/>
          <w:color w:val="000000"/>
          <w:sz w:val="28"/>
          <w:lang w:val="en-US"/>
        </w:rPr>
        <w:t>d = (I</w:t>
      </w:r>
      <w:r>
        <w:rPr>
          <w:rFonts w:ascii="Times New Roman" w:hAnsi="Times New Roman"/>
          <w:color w:val="000000"/>
          <w:sz w:val="28"/>
          <w:vertAlign w:val="subscript"/>
          <w:lang w:val="en-US"/>
        </w:rPr>
        <w:t>0</w:t>
      </w:r>
      <w:r>
        <w:rPr>
          <w:rFonts w:ascii="Times New Roman" w:hAnsi="Times New Roman"/>
          <w:color w:val="000000"/>
          <w:sz w:val="28"/>
          <w:lang w:val="en-US"/>
        </w:rPr>
        <w:t>+[CF</w:t>
      </w:r>
      <w:r>
        <w:rPr>
          <w:rFonts w:ascii="Times New Roman" w:hAnsi="Times New Roman"/>
          <w:color w:val="000000"/>
          <w:sz w:val="28"/>
          <w:vertAlign w:val="subscript"/>
          <w:lang w:val="en-US"/>
        </w:rPr>
        <w:t>1</w:t>
      </w:r>
      <w:r>
        <w:rPr>
          <w:rFonts w:ascii="Times New Roman" w:hAnsi="Times New Roman"/>
          <w:color w:val="000000"/>
          <w:sz w:val="28"/>
          <w:lang w:val="en-US"/>
        </w:rPr>
        <w:t>+CF</w:t>
      </w:r>
      <w:r>
        <w:rPr>
          <w:rFonts w:ascii="Times New Roman" w:hAnsi="Times New Roman"/>
          <w:color w:val="000000"/>
          <w:sz w:val="28"/>
          <w:vertAlign w:val="subscript"/>
          <w:lang w:val="en-US"/>
        </w:rPr>
        <w:t>2</w:t>
      </w:r>
      <w:r>
        <w:rPr>
          <w:rFonts w:ascii="Times New Roman" w:hAnsi="Times New Roman"/>
          <w:color w:val="000000"/>
          <w:sz w:val="28"/>
          <w:lang w:val="en-US"/>
        </w:rPr>
        <w:t>+… +CF</w:t>
      </w:r>
      <w:r>
        <w:rPr>
          <w:rFonts w:ascii="Times New Roman" w:hAnsi="Times New Roman"/>
          <w:color w:val="000000"/>
          <w:sz w:val="28"/>
          <w:vertAlign w:val="subscript"/>
          <w:lang w:val="en-US"/>
        </w:rPr>
        <w:t>j</w:t>
      </w:r>
      <w:r>
        <w:rPr>
          <w:rFonts w:ascii="Times New Roman" w:hAnsi="Times New Roman"/>
          <w:color w:val="000000"/>
          <w:sz w:val="28"/>
          <w:lang w:val="en-US"/>
        </w:rPr>
        <w:t>]/ CF</w:t>
      </w:r>
      <w:r>
        <w:rPr>
          <w:rFonts w:ascii="Times New Roman" w:hAnsi="Times New Roman"/>
          <w:color w:val="000000"/>
          <w:sz w:val="28"/>
          <w:vertAlign w:val="subscript"/>
          <w:lang w:val="en-US"/>
        </w:rPr>
        <w:t>j+1</w:t>
      </w:r>
    </w:p>
    <w:p w:rsidR="00624D77" w:rsidRDefault="00624D77">
      <w:pPr>
        <w:pStyle w:val="24"/>
      </w:pPr>
      <w:r>
        <w:t>При оценке эффективности срок окупаемости, как правило, выступает только в качестве ограничения.</w:t>
      </w:r>
    </w:p>
    <w:p w:rsidR="00624D77" w:rsidRDefault="00624D77">
      <w:pPr>
        <w:spacing w:line="360" w:lineRule="auto"/>
        <w:ind w:firstLine="540"/>
        <w:jc w:val="both"/>
        <w:rPr>
          <w:rFonts w:ascii="Times New Roman" w:hAnsi="Times New Roman"/>
          <w:sz w:val="28"/>
        </w:rPr>
      </w:pPr>
      <w:bookmarkStart w:id="4" w:name="_Toc273619863"/>
      <w:r>
        <w:rPr>
          <w:rFonts w:ascii="Times New Roman" w:hAnsi="Times New Roman"/>
          <w:sz w:val="28"/>
        </w:rPr>
        <w:t>Достоинства:</w:t>
      </w:r>
      <w:bookmarkEnd w:id="4"/>
    </w:p>
    <w:p w:rsidR="00624D77" w:rsidRDefault="00624D77">
      <w:pPr>
        <w:pStyle w:val="31"/>
        <w:numPr>
          <w:ilvl w:val="0"/>
          <w:numId w:val="13"/>
        </w:numPr>
        <w:tabs>
          <w:tab w:val="clear" w:pos="900"/>
        </w:tabs>
        <w:ind w:left="0" w:firstLine="540"/>
      </w:pPr>
      <w:bookmarkStart w:id="5" w:name="_Toc273619864"/>
      <w:r>
        <w:t>Определение срока окупаемости, в силу своей иллюстративности, иногда используется как простой метод оценки риска инвестирования. Более того, в условиях дефицита инвестиционных ресурсов (например, на начальной стадии развития бизнеса или в критических ситуациях) именно этот показатель может оказаться наиболее значимым для принятия решения об осуществлении капиталовложений.</w:t>
      </w:r>
      <w:bookmarkStart w:id="6" w:name="_Toc273619865"/>
      <w:bookmarkEnd w:id="5"/>
    </w:p>
    <w:p w:rsidR="00624D77" w:rsidRDefault="00624D77">
      <w:pPr>
        <w:pStyle w:val="31"/>
        <w:numPr>
          <w:ilvl w:val="0"/>
          <w:numId w:val="13"/>
        </w:numPr>
        <w:tabs>
          <w:tab w:val="clear" w:pos="900"/>
        </w:tabs>
        <w:ind w:left="0" w:firstLine="540"/>
      </w:pPr>
      <w:r>
        <w:t>Существует ряд ситуаций, при которых применение метода, основанного на расчете срока окупаемости затрат, может быть целесообразным. В частности, это ситуация, когда руководство предприятия в большей степени озабочено решением проблемы ликвидности, а не прибыльности проекта - главное, чтобы инвестиции окупились как можно скорее. Метод также хорош в ситуации, когда инвестиции сопряжены с высокой степенью риска, поэтому, чем короче срок окупаемости, тем менее рискованным является проект. Такая ситуация характерна для отраслей или видов деятельности,</w:t>
      </w:r>
      <w:bookmarkEnd w:id="6"/>
      <w:r>
        <w:t xml:space="preserve"> </w:t>
      </w:r>
      <w:bookmarkStart w:id="7" w:name="_Toc273619866"/>
      <w:r>
        <w:t>которым присуща большая вероятность достаточно быстрых технологических изменений.</w:t>
      </w:r>
      <w:bookmarkEnd w:id="7"/>
    </w:p>
    <w:p w:rsidR="00624D77" w:rsidRDefault="00624D77">
      <w:pPr>
        <w:pStyle w:val="a9"/>
        <w:spacing w:line="360" w:lineRule="auto"/>
        <w:ind w:firstLine="540"/>
        <w:jc w:val="both"/>
        <w:rPr>
          <w:rFonts w:ascii="Times New Roman" w:hAnsi="Times New Roman"/>
          <w:sz w:val="28"/>
        </w:rPr>
      </w:pPr>
      <w:bookmarkStart w:id="8" w:name="_Toc273619867"/>
      <w:r>
        <w:rPr>
          <w:rFonts w:ascii="Times New Roman" w:hAnsi="Times New Roman"/>
          <w:sz w:val="28"/>
        </w:rPr>
        <w:t>Недостатки</w:t>
      </w:r>
      <w:bookmarkEnd w:id="8"/>
    </w:p>
    <w:p w:rsidR="00624D77" w:rsidRDefault="00624D77">
      <w:pPr>
        <w:pStyle w:val="af2"/>
      </w:pPr>
      <w:r>
        <w:t>- Точность представленного метода оценки эффективности в большой степени зависит от частоты разбиения срока жизни проекта на интервалы планирования.</w:t>
      </w:r>
    </w:p>
    <w:p w:rsidR="00624D77" w:rsidRDefault="00624D77">
      <w:pPr>
        <w:pStyle w:val="af2"/>
      </w:pPr>
      <w:r>
        <w:t>- Существенным недостатком данного метода является то, что он ни в коей мере не учитывает деятельность проекта за пределами срока окупаемости и, следовательно, не может применяться при сопоставлении вариантов, различающихся по продолжительности осуществления.</w:t>
      </w:r>
    </w:p>
    <w:p w:rsidR="00624D77" w:rsidRDefault="00624D77">
      <w:pPr>
        <w:pStyle w:val="af2"/>
        <w:spacing w:before="100" w:after="100"/>
      </w:pPr>
      <w:r>
        <w:t xml:space="preserve">Он не учитывает влияние доходов последних периодов. </w:t>
      </w:r>
    </w:p>
    <w:p w:rsidR="00624D77" w:rsidRDefault="00624D77">
      <w:pPr>
        <w:pStyle w:val="af2"/>
        <w:spacing w:before="100" w:after="100"/>
      </w:pPr>
      <w:r>
        <w:t>Поскольку этот метод основан на не дисконтированных оценках, он не делает различия между проектами с одинаковой суммой кумулятивных доходов, но различным распределением их по годам.</w:t>
      </w:r>
    </w:p>
    <w:p w:rsidR="00624D77" w:rsidRDefault="00624D77">
      <w:pPr>
        <w:pStyle w:val="ad"/>
      </w:pPr>
    </w:p>
    <w:p w:rsidR="00624D77" w:rsidRDefault="00624D77">
      <w:pPr>
        <w:pStyle w:val="ad"/>
      </w:pPr>
    </w:p>
    <w:p w:rsidR="00624D77" w:rsidRDefault="00624D77">
      <w:pPr>
        <w:pStyle w:val="ad"/>
      </w:pPr>
    </w:p>
    <w:p w:rsidR="00624D77" w:rsidRDefault="00624D77">
      <w:pPr>
        <w:pStyle w:val="ad"/>
      </w:pPr>
    </w:p>
    <w:p w:rsidR="00624D77" w:rsidRDefault="00624D77">
      <w:pPr>
        <w:pStyle w:val="ad"/>
      </w:pPr>
    </w:p>
    <w:p w:rsidR="00624D77" w:rsidRDefault="00624D77">
      <w:pPr>
        <w:pStyle w:val="ad"/>
      </w:pPr>
    </w:p>
    <w:p w:rsidR="00624D77" w:rsidRDefault="00624D77">
      <w:pPr>
        <w:pStyle w:val="ad"/>
      </w:pPr>
    </w:p>
    <w:p w:rsidR="00624D77" w:rsidRDefault="00624D77">
      <w:pPr>
        <w:pStyle w:val="ad"/>
      </w:pPr>
    </w:p>
    <w:p w:rsidR="00624D77" w:rsidRDefault="00624D77">
      <w:pPr>
        <w:pStyle w:val="ad"/>
      </w:pPr>
    </w:p>
    <w:p w:rsidR="00624D77" w:rsidRDefault="00624D77">
      <w:pPr>
        <w:pStyle w:val="ad"/>
      </w:pPr>
    </w:p>
    <w:p w:rsidR="00624D77" w:rsidRDefault="00624D77">
      <w:pPr>
        <w:pStyle w:val="ad"/>
      </w:pPr>
    </w:p>
    <w:p w:rsidR="00624D77" w:rsidRDefault="00624D77">
      <w:pPr>
        <w:pStyle w:val="ad"/>
      </w:pPr>
    </w:p>
    <w:p w:rsidR="00624D77" w:rsidRDefault="00624D77">
      <w:pPr>
        <w:pStyle w:val="ad"/>
      </w:pPr>
    </w:p>
    <w:p w:rsidR="00624D77" w:rsidRDefault="00624D77">
      <w:pPr>
        <w:pStyle w:val="ad"/>
      </w:pPr>
    </w:p>
    <w:p w:rsidR="00624D77" w:rsidRDefault="00624D77">
      <w:pPr>
        <w:pStyle w:val="a9"/>
      </w:pPr>
    </w:p>
    <w:p w:rsidR="00624D77" w:rsidRDefault="00624D77">
      <w:pPr>
        <w:pStyle w:val="1"/>
        <w:rPr>
          <w:sz w:val="28"/>
        </w:rPr>
      </w:pPr>
      <w:bookmarkStart w:id="9" w:name="_Toc273708328"/>
      <w:r>
        <w:rPr>
          <w:sz w:val="28"/>
        </w:rPr>
        <w:t>1.3 Динамические методы инвестирования.</w:t>
      </w:r>
      <w:bookmarkEnd w:id="9"/>
    </w:p>
    <w:p w:rsidR="00624D77" w:rsidRDefault="00624D77">
      <w:pPr>
        <w:pStyle w:val="a9"/>
        <w:jc w:val="both"/>
        <w:rPr>
          <w:sz w:val="28"/>
        </w:rPr>
      </w:pP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Динамические (дисконтные) методы инвестиционных расчётов используются для обоснования инвестиционных проектов в том случае, когда речь идёт о долгосрочных проектах, которые характеризуются меняющимися во времени доходами и расходами. В основе применения динамических расчётов лежат определённые предпосылки, выполнение которых обеспечивает реализацию расчётов с получением достаточно достоверных результатов.</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Для целей анализа инвестиционных проектов могут использоваться следующие динамические методы оценки экономической эффективности инвестиций:</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Оценка абсолютной эффективности капиталовложений, основанная на нахождении разности финансовых затрат, связанных с реализацией инвестиционного проекта (метод текущей стоимости, метод аннуитета);</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Оценка относительной эффективности капиталовложений, основанная на нахождении отношений финансовых значений результатов и затрат, связанных с реализацией инвестиционного проекта (метод внутренней рентабельности);</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Оценка периода возврата капиталовложений, в течение которого начальные инвестиционные затраты окупаются доходами, получаемыми от реализации проекта (метод окупаемости).</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Метод текущей стоимости основан на определении интегрального экономического эффекта от инвестиционного проекта. В зарубежной экономической литературе соответствующий показатель носит название Net Present Value (NPV)-чистая текущая стоимость.</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Интегральный экономический эффект NPV рассчитывается как разность дисконтированных денежных потоков поступлений и выплат,производимых в процессе реализации проекта за весь инвестиционный период.</w:t>
      </w:r>
    </w:p>
    <w:p w:rsidR="00624D77" w:rsidRDefault="00624D77">
      <w:pPr>
        <w:pStyle w:val="a9"/>
        <w:spacing w:line="360" w:lineRule="auto"/>
        <w:ind w:firstLine="540"/>
        <w:jc w:val="both"/>
        <w:rPr>
          <w:rFonts w:ascii="Times New Roman" w:hAnsi="Times New Roman"/>
          <w:sz w:val="28"/>
        </w:rPr>
      </w:pPr>
    </w:p>
    <w:p w:rsidR="00624D77" w:rsidRDefault="00624D77">
      <w:pPr>
        <w:pStyle w:val="a9"/>
        <w:spacing w:line="360" w:lineRule="auto"/>
        <w:jc w:val="center"/>
        <w:rPr>
          <w:rFonts w:ascii="Times New Roman" w:hAnsi="Times New Roman"/>
          <w:sz w:val="4"/>
        </w:rPr>
      </w:pPr>
    </w:p>
    <w:p w:rsidR="00624D77" w:rsidRDefault="00624D77">
      <w:pPr>
        <w:pStyle w:val="a9"/>
        <w:spacing w:line="360" w:lineRule="auto"/>
        <w:jc w:val="center"/>
        <w:rPr>
          <w:rFonts w:ascii="Times New Roman" w:hAnsi="Times New Roman"/>
          <w:sz w:val="28"/>
          <w:vertAlign w:val="subscript"/>
        </w:rPr>
      </w:pPr>
      <w:r>
        <w:rPr>
          <w:rFonts w:ascii="Times New Roman" w:hAnsi="Times New Roman"/>
          <w:sz w:val="28"/>
        </w:rPr>
        <w:t>NPV = PV</w:t>
      </w:r>
      <w:r>
        <w:rPr>
          <w:rFonts w:ascii="Times New Roman" w:hAnsi="Times New Roman"/>
          <w:i/>
          <w:sz w:val="28"/>
        </w:rPr>
        <w:t xml:space="preserve"> –</w:t>
      </w:r>
      <w:r>
        <w:rPr>
          <w:rFonts w:ascii="Times New Roman" w:hAnsi="Times New Roman"/>
          <w:sz w:val="28"/>
        </w:rPr>
        <w:t xml:space="preserve"> I</w:t>
      </w:r>
      <w:r>
        <w:rPr>
          <w:rFonts w:ascii="Times New Roman" w:hAnsi="Times New Roman"/>
          <w:sz w:val="28"/>
          <w:vertAlign w:val="subscript"/>
        </w:rPr>
        <w:t>0</w:t>
      </w:r>
    </w:p>
    <w:p w:rsidR="00624D77" w:rsidRDefault="00624D77">
      <w:pPr>
        <w:pStyle w:val="a9"/>
        <w:spacing w:line="360" w:lineRule="auto"/>
        <w:jc w:val="center"/>
        <w:rPr>
          <w:rFonts w:ascii="Times New Roman" w:hAnsi="Times New Roman"/>
          <w:sz w:val="28"/>
        </w:rPr>
      </w:pP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где I</w:t>
      </w:r>
      <w:r>
        <w:rPr>
          <w:rFonts w:ascii="Times New Roman" w:hAnsi="Times New Roman"/>
          <w:sz w:val="28"/>
          <w:vertAlign w:val="subscript"/>
        </w:rPr>
        <w:t>0</w:t>
      </w:r>
      <w:r>
        <w:rPr>
          <w:rFonts w:ascii="Times New Roman" w:hAnsi="Times New Roman"/>
          <w:i/>
          <w:sz w:val="28"/>
        </w:rPr>
        <w:t xml:space="preserve"> —</w:t>
      </w:r>
      <w:r>
        <w:rPr>
          <w:rFonts w:ascii="Times New Roman" w:hAnsi="Times New Roman"/>
          <w:sz w:val="28"/>
        </w:rPr>
        <w:t xml:space="preserve"> сумма первоначальных затрат, т.е. сумма инвести</w:t>
      </w:r>
      <w:r>
        <w:rPr>
          <w:rFonts w:ascii="Times New Roman" w:hAnsi="Times New Roman"/>
          <w:sz w:val="28"/>
        </w:rPr>
        <w:softHyphen/>
        <w:t>ций на начало проекта;</w:t>
      </w:r>
    </w:p>
    <w:p w:rsidR="00624D77" w:rsidRDefault="00624D77">
      <w:pPr>
        <w:pStyle w:val="HTML"/>
        <w:spacing w:line="360" w:lineRule="auto"/>
        <w:ind w:firstLine="540"/>
        <w:jc w:val="both"/>
        <w:rPr>
          <w:rFonts w:ascii="Times New Roman" w:hAnsi="Times New Roman"/>
          <w:sz w:val="28"/>
        </w:rPr>
      </w:pPr>
      <w:r>
        <w:rPr>
          <w:rFonts w:ascii="Times New Roman" w:hAnsi="Times New Roman"/>
          <w:sz w:val="28"/>
        </w:rPr>
        <w:t xml:space="preserve"> PV</w:t>
      </w:r>
      <w:r>
        <w:rPr>
          <w:rFonts w:ascii="Times New Roman" w:hAnsi="Times New Roman"/>
          <w:b/>
          <w:i/>
          <w:sz w:val="28"/>
        </w:rPr>
        <w:t xml:space="preserve"> —</w:t>
      </w:r>
      <w:r>
        <w:rPr>
          <w:rFonts w:ascii="Times New Roman" w:hAnsi="Times New Roman"/>
          <w:sz w:val="28"/>
        </w:rPr>
        <w:t xml:space="preserve"> современная стоимость денежного потока на протяжении экономической жизни проекта.</w:t>
      </w:r>
    </w:p>
    <w:p w:rsidR="00624D77" w:rsidRDefault="00624D77">
      <w:pPr>
        <w:pStyle w:val="HTML"/>
        <w:spacing w:line="360" w:lineRule="auto"/>
        <w:ind w:firstLine="540"/>
        <w:jc w:val="both"/>
        <w:rPr>
          <w:rFonts w:ascii="Times New Roman" w:hAnsi="Times New Roman"/>
          <w:sz w:val="28"/>
        </w:rPr>
      </w:pPr>
      <w:r>
        <w:rPr>
          <w:rFonts w:ascii="Times New Roman" w:hAnsi="Times New Roman"/>
          <w:sz w:val="28"/>
        </w:rPr>
        <w:t>Общая накопленная величина дисконтированных доходов (PV) рассчитывается по формуле:</w:t>
      </w:r>
    </w:p>
    <w:p w:rsidR="00624D77" w:rsidRDefault="00C81D7E">
      <w:pPr>
        <w:pStyle w:val="HTML"/>
        <w:jc w:val="center"/>
      </w:pPr>
      <w:r>
        <w:rPr>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0pt;height:39pt">
            <v:imagedata r:id="rId7" o:title=""/>
          </v:shape>
        </w:pict>
      </w:r>
    </w:p>
    <w:p w:rsidR="00624D77" w:rsidRDefault="00624D77">
      <w:pPr>
        <w:pStyle w:val="HTML"/>
        <w:spacing w:line="360" w:lineRule="auto"/>
        <w:ind w:firstLine="540"/>
        <w:jc w:val="both"/>
        <w:rPr>
          <w:rFonts w:ascii="Times New Roman" w:hAnsi="Times New Roman"/>
          <w:sz w:val="28"/>
        </w:rPr>
      </w:pPr>
      <w:r>
        <w:rPr>
          <w:rFonts w:ascii="Times New Roman" w:hAnsi="Times New Roman"/>
          <w:sz w:val="28"/>
        </w:rPr>
        <w:t xml:space="preserve">где:    r </w:t>
      </w:r>
      <w:r>
        <w:rPr>
          <w:rFonts w:ascii="Times New Roman" w:hAnsi="Times New Roman"/>
          <w:i/>
          <w:sz w:val="28"/>
        </w:rPr>
        <w:t>-</w:t>
      </w:r>
      <w:r>
        <w:rPr>
          <w:rFonts w:ascii="Times New Roman" w:hAnsi="Times New Roman"/>
          <w:sz w:val="28"/>
        </w:rPr>
        <w:t xml:space="preserve"> норма дисконта;</w:t>
      </w:r>
    </w:p>
    <w:p w:rsidR="00624D77" w:rsidRDefault="00624D77">
      <w:pPr>
        <w:pStyle w:val="HTML"/>
        <w:spacing w:line="360" w:lineRule="auto"/>
        <w:ind w:firstLine="540"/>
        <w:jc w:val="both"/>
        <w:rPr>
          <w:rFonts w:ascii="Times New Roman" w:hAnsi="Times New Roman"/>
          <w:sz w:val="28"/>
        </w:rPr>
      </w:pPr>
      <w:r>
        <w:rPr>
          <w:rFonts w:ascii="Times New Roman" w:hAnsi="Times New Roman"/>
          <w:sz w:val="28"/>
        </w:rPr>
        <w:t>n</w:t>
      </w:r>
      <w:r>
        <w:rPr>
          <w:rFonts w:ascii="Times New Roman" w:hAnsi="Times New Roman"/>
          <w:i/>
          <w:sz w:val="28"/>
        </w:rPr>
        <w:t xml:space="preserve"> —</w:t>
      </w:r>
      <w:r>
        <w:rPr>
          <w:rFonts w:ascii="Times New Roman" w:hAnsi="Times New Roman"/>
          <w:sz w:val="28"/>
        </w:rPr>
        <w:t xml:space="preserve"> число периодов реализации проек</w:t>
      </w:r>
      <w:r>
        <w:rPr>
          <w:rFonts w:ascii="Times New Roman" w:hAnsi="Times New Roman"/>
          <w:sz w:val="28"/>
        </w:rPr>
        <w:softHyphen/>
        <w:t>та;</w:t>
      </w:r>
    </w:p>
    <w:p w:rsidR="00624D77" w:rsidRDefault="00624D77">
      <w:pPr>
        <w:pStyle w:val="HTML"/>
        <w:spacing w:line="360" w:lineRule="auto"/>
        <w:ind w:firstLine="540"/>
        <w:jc w:val="both"/>
        <w:rPr>
          <w:rFonts w:ascii="Times New Roman" w:hAnsi="Times New Roman"/>
          <w:sz w:val="28"/>
        </w:rPr>
      </w:pPr>
      <w:r>
        <w:rPr>
          <w:rFonts w:ascii="Times New Roman" w:hAnsi="Times New Roman"/>
          <w:sz w:val="28"/>
        </w:rPr>
        <w:t xml:space="preserve"> CF</w:t>
      </w:r>
      <w:r>
        <w:rPr>
          <w:rFonts w:ascii="Times New Roman" w:hAnsi="Times New Roman"/>
          <w:sz w:val="28"/>
          <w:vertAlign w:val="subscript"/>
        </w:rPr>
        <w:t>t</w:t>
      </w:r>
      <w:r>
        <w:rPr>
          <w:rFonts w:ascii="Times New Roman" w:hAnsi="Times New Roman"/>
          <w:i/>
          <w:sz w:val="28"/>
        </w:rPr>
        <w:t xml:space="preserve"> —</w:t>
      </w:r>
      <w:r>
        <w:rPr>
          <w:rFonts w:ascii="Times New Roman" w:hAnsi="Times New Roman"/>
          <w:sz w:val="28"/>
        </w:rPr>
        <w:t xml:space="preserve"> чистый поток платежей в периоде t.</w:t>
      </w:r>
    </w:p>
    <w:p w:rsidR="00624D77" w:rsidRDefault="00624D77">
      <w:pPr>
        <w:pStyle w:val="HTML"/>
        <w:spacing w:line="360" w:lineRule="auto"/>
        <w:ind w:firstLine="540"/>
        <w:jc w:val="both"/>
        <w:rPr>
          <w:rFonts w:ascii="Times New Roman" w:hAnsi="Times New Roman"/>
          <w:sz w:val="28"/>
        </w:rPr>
      </w:pPr>
    </w:p>
    <w:p w:rsidR="00624D77" w:rsidRDefault="00624D77">
      <w:pPr>
        <w:pStyle w:val="HTML"/>
      </w:pPr>
      <w:r>
        <w:t xml:space="preserve">                            </w:t>
      </w:r>
      <w:r w:rsidR="00C81D7E">
        <w:rPr>
          <w:vertAlign w:val="subscript"/>
        </w:rPr>
        <w:pict>
          <v:shape id="_x0000_i1043" type="#_x0000_t75" style="width:111pt;height:35.25pt">
            <v:imagedata r:id="rId8" o:title=""/>
          </v:shape>
        </w:pict>
      </w:r>
    </w:p>
    <w:p w:rsidR="00624D77" w:rsidRDefault="00624D77">
      <w:pPr>
        <w:pStyle w:val="a9"/>
        <w:spacing w:line="360" w:lineRule="auto"/>
        <w:jc w:val="center"/>
        <w:rPr>
          <w:rFonts w:ascii="Times New Roman" w:hAnsi="Times New Roman"/>
          <w:sz w:val="28"/>
        </w:rPr>
      </w:pPr>
    </w:p>
    <w:p w:rsidR="00624D77" w:rsidRDefault="00624D77">
      <w:pPr>
        <w:pStyle w:val="HTML"/>
        <w:spacing w:line="360" w:lineRule="auto"/>
        <w:ind w:firstLine="540"/>
        <w:jc w:val="both"/>
        <w:rPr>
          <w:rFonts w:ascii="Times New Roman" w:hAnsi="Times New Roman"/>
          <w:sz w:val="28"/>
        </w:rPr>
      </w:pPr>
      <w:r>
        <w:rPr>
          <w:rFonts w:ascii="Times New Roman" w:hAnsi="Times New Roman"/>
          <w:sz w:val="28"/>
        </w:rPr>
        <w:t>Если рассчитанная таким образом чистая современная стои</w:t>
      </w:r>
      <w:r>
        <w:rPr>
          <w:rFonts w:ascii="Times New Roman" w:hAnsi="Times New Roman"/>
          <w:sz w:val="28"/>
        </w:rPr>
        <w:softHyphen/>
        <w:t xml:space="preserve">мость потока платежей имеет положительный знак </w:t>
      </w:r>
      <w:r>
        <w:rPr>
          <w:rFonts w:ascii="Times New Roman" w:hAnsi="Times New Roman"/>
          <w:i/>
          <w:sz w:val="28"/>
        </w:rPr>
        <w:t>(NPV &gt;</w:t>
      </w:r>
      <w:r>
        <w:rPr>
          <w:rFonts w:ascii="Times New Roman" w:hAnsi="Times New Roman"/>
          <w:sz w:val="28"/>
        </w:rPr>
        <w:t xml:space="preserve"> 0), это означает, что в течение</w:t>
      </w:r>
    </w:p>
    <w:p w:rsidR="00624D77" w:rsidRDefault="00624D77">
      <w:pPr>
        <w:pStyle w:val="HTML"/>
        <w:spacing w:line="360" w:lineRule="auto"/>
        <w:jc w:val="both"/>
        <w:rPr>
          <w:rFonts w:ascii="Times New Roman" w:hAnsi="Times New Roman"/>
          <w:sz w:val="28"/>
        </w:rPr>
      </w:pPr>
      <w:r>
        <w:rPr>
          <w:rFonts w:ascii="Times New Roman" w:hAnsi="Times New Roman"/>
          <w:sz w:val="28"/>
        </w:rPr>
        <w:t>своей экономической жизни проект возместит первоначальные затраты и, обеспечит получение при</w:t>
      </w:r>
      <w:r>
        <w:rPr>
          <w:rFonts w:ascii="Times New Roman" w:hAnsi="Times New Roman"/>
          <w:sz w:val="28"/>
        </w:rPr>
        <w:softHyphen/>
        <w:t>были согласно заданному стандарту r, а также ее некоторый ре</w:t>
      </w:r>
      <w:r>
        <w:rPr>
          <w:rFonts w:ascii="Times New Roman" w:hAnsi="Times New Roman"/>
          <w:sz w:val="28"/>
        </w:rPr>
        <w:softHyphen/>
        <w:t xml:space="preserve">зерв, равный </w:t>
      </w:r>
      <w:r>
        <w:rPr>
          <w:rFonts w:ascii="Times New Roman" w:hAnsi="Times New Roman"/>
          <w:i/>
          <w:sz w:val="28"/>
        </w:rPr>
        <w:t>NPV.</w:t>
      </w:r>
      <w:r>
        <w:rPr>
          <w:rFonts w:ascii="Times New Roman" w:hAnsi="Times New Roman"/>
          <w:sz w:val="28"/>
        </w:rPr>
        <w:t xml:space="preserve"> Отрицательная величина </w:t>
      </w:r>
      <w:r>
        <w:rPr>
          <w:rFonts w:ascii="Times New Roman" w:hAnsi="Times New Roman"/>
          <w:i/>
          <w:sz w:val="28"/>
        </w:rPr>
        <w:t>NPV</w:t>
      </w:r>
      <w:r>
        <w:rPr>
          <w:rFonts w:ascii="Times New Roman" w:hAnsi="Times New Roman"/>
          <w:sz w:val="28"/>
        </w:rPr>
        <w:t xml:space="preserve"> показывает, что заданная норма прибыли не обеспечивается и проект убыто</w:t>
      </w:r>
      <w:r>
        <w:rPr>
          <w:rFonts w:ascii="Times New Roman" w:hAnsi="Times New Roman"/>
          <w:sz w:val="28"/>
        </w:rPr>
        <w:softHyphen/>
        <w:t>чен.</w:t>
      </w:r>
    </w:p>
    <w:p w:rsidR="00624D77" w:rsidRDefault="00624D77">
      <w:pPr>
        <w:pStyle w:val="HTML"/>
        <w:spacing w:line="360" w:lineRule="auto"/>
        <w:jc w:val="both"/>
        <w:rPr>
          <w:rFonts w:ascii="Times New Roman" w:hAnsi="Times New Roman"/>
          <w:sz w:val="28"/>
        </w:rPr>
      </w:pPr>
      <w:r>
        <w:rPr>
          <w:rFonts w:ascii="Times New Roman" w:hAnsi="Times New Roman"/>
          <w:sz w:val="28"/>
        </w:rPr>
        <w:t xml:space="preserve"> При </w:t>
      </w:r>
      <w:r>
        <w:rPr>
          <w:rFonts w:ascii="Times New Roman" w:hAnsi="Times New Roman"/>
          <w:i/>
          <w:sz w:val="28"/>
        </w:rPr>
        <w:t>NPV</w:t>
      </w:r>
      <w:r>
        <w:rPr>
          <w:rFonts w:ascii="Times New Roman" w:hAnsi="Times New Roman"/>
          <w:sz w:val="28"/>
        </w:rPr>
        <w:t xml:space="preserve"> == 0 проект только окупает произведенные затра</w:t>
      </w:r>
      <w:r>
        <w:rPr>
          <w:rFonts w:ascii="Times New Roman" w:hAnsi="Times New Roman"/>
          <w:sz w:val="28"/>
        </w:rPr>
        <w:softHyphen/>
        <w:t>ты, но не приносит дохода. Однако проект с NPV=0 имеет все же дополнительный аргумент в свою пользу – в случае реализации проекта объемы производства возрастут, т.е. компания увеличится в масштабах (что нередко рассматривается как положительная тенденция).</w:t>
      </w:r>
    </w:p>
    <w:p w:rsidR="00624D77" w:rsidRDefault="00624D77">
      <w:pPr>
        <w:pStyle w:val="HTML"/>
        <w:spacing w:line="360" w:lineRule="auto"/>
        <w:jc w:val="both"/>
        <w:rPr>
          <w:rFonts w:ascii="Times New Roman" w:hAnsi="Times New Roman"/>
          <w:sz w:val="28"/>
        </w:rPr>
      </w:pPr>
      <w:r>
        <w:rPr>
          <w:rFonts w:ascii="Times New Roman" w:hAnsi="Times New Roman"/>
          <w:sz w:val="28"/>
        </w:rPr>
        <w:t xml:space="preserve">     Общее правило NPV</w:t>
      </w:r>
      <w:r>
        <w:rPr>
          <w:rFonts w:ascii="Times New Roman" w:hAnsi="Times New Roman"/>
          <w:i/>
          <w:sz w:val="28"/>
        </w:rPr>
        <w:t>:</w:t>
      </w:r>
      <w:r>
        <w:rPr>
          <w:rFonts w:ascii="Times New Roman" w:hAnsi="Times New Roman"/>
          <w:sz w:val="28"/>
        </w:rPr>
        <w:t xml:space="preserve"> если NPV &gt; 0, то проект принимается, иначе</w:t>
      </w:r>
    </w:p>
    <w:p w:rsidR="00624D77" w:rsidRDefault="00624D77">
      <w:pPr>
        <w:pStyle w:val="HTML"/>
        <w:spacing w:line="360" w:lineRule="auto"/>
        <w:jc w:val="both"/>
        <w:rPr>
          <w:rFonts w:ascii="Times New Roman" w:hAnsi="Times New Roman"/>
          <w:sz w:val="28"/>
        </w:rPr>
      </w:pPr>
      <w:r>
        <w:rPr>
          <w:rFonts w:ascii="Times New Roman" w:hAnsi="Times New Roman"/>
          <w:sz w:val="28"/>
        </w:rPr>
        <w:t>его следует отклонить.</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Индекс доходности (Profitability index) определяется как показатель, характеризующий соотношение дисконтированных денежных потоков и выплат в течение инвестиционного периода.</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Правилом принятия решений по инвестиционному проекту являются следующие условия:</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Если PI больше 1,то проект принимается,</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Если PI меньше 1,то проект отклоняется.</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В отличие от предыдущих показателей индекс доходности может использоваться для сравнения экономической выгодности инвестиционных проектов, отличающихся продолжительностью инвестиционного периода, хотя условие равенства продолжительностей сравниваемых проектов не является строго обязательным и для абсолютных методов оценки инвестиций.</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rPr>
      </w:pPr>
      <w:r>
        <w:rPr>
          <w:rFonts w:ascii="Times New Roman" w:hAnsi="Times New Roman"/>
          <w:sz w:val="28"/>
        </w:rPr>
        <w:t>Внутренняя норма прибыли инвестиций (Internal Rate of Return - IRR).</w:t>
      </w:r>
    </w:p>
    <w:p w:rsidR="00624D77" w:rsidRDefault="00624D77">
      <w:pPr>
        <w:pStyle w:val="32"/>
      </w:pPr>
      <w:r>
        <w:t>Внутренняя норма доходности – наиболее широко используемый критерий эффективности инвестиций. Под внутренней нормой доходности понимают значение ставки дисконтирования r, при котором чистая современная стоимость инвестиционного проекта равна нулю:</w:t>
      </w:r>
    </w:p>
    <w:p w:rsidR="00624D77" w:rsidRDefault="00624D77">
      <w:pPr>
        <w:pStyle w:val="32"/>
      </w:pPr>
      <w:r>
        <w:t>IRR = r, при котором NPV = f(r) = 0.</w:t>
      </w:r>
    </w:p>
    <w:p w:rsidR="00624D77" w:rsidRDefault="00624D77">
      <w:pPr>
        <w:pStyle w:val="32"/>
      </w:pPr>
      <w:r>
        <w:t>Таким образом, IRR находится из уравнения:</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16"/>
        </w:rPr>
      </w:pPr>
    </w:p>
    <w:p w:rsidR="00624D77" w:rsidRDefault="00C81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sz w:val="20"/>
          <w:vertAlign w:val="subscript"/>
        </w:rPr>
      </w:pPr>
      <w:r>
        <w:rPr>
          <w:rFonts w:ascii="Courier New" w:hAnsi="Courier New"/>
          <w:sz w:val="20"/>
          <w:vertAlign w:val="subscript"/>
        </w:rPr>
        <w:pict>
          <v:shape id="_x0000_i1046" type="#_x0000_t75" style="width:146.25pt;height:35.25pt">
            <v:imagedata r:id="rId9" o:title=""/>
          </v:shape>
        </w:pic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sz w:val="20"/>
        </w:rPr>
      </w:pPr>
    </w:p>
    <w:p w:rsidR="00624D77" w:rsidRDefault="00624D77">
      <w:pPr>
        <w:pStyle w:val="32"/>
      </w:pPr>
      <w:r>
        <w:t>Смысл расчета этого коэффициента при анализе эффективности планируемых инвестиций заключается в следующем: IRR показывает максимально допустимый относительный уровень расходов, которые могут быть ассоциированы с данным проектом. Например, если проект полностью финансируется за счет ссуды коммерческого банка, то значение IRR показывает верхнюю границу допустимого уровня банковской процентной ставки, превышение которого делает проект убыточным.</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rPr>
      </w:pPr>
      <w:r>
        <w:rPr>
          <w:rFonts w:ascii="Times New Roman" w:hAnsi="Times New Roman"/>
          <w:sz w:val="28"/>
        </w:rPr>
        <w:t>При NPV = 0 современная стоимость проекта (PV) равна по абсолютной величине первоначальным инвестициям I</w:t>
      </w:r>
      <w:r>
        <w:rPr>
          <w:rFonts w:ascii="Times New Roman" w:hAnsi="Times New Roman"/>
          <w:sz w:val="28"/>
          <w:vertAlign w:val="subscript"/>
        </w:rPr>
        <w:t>0</w:t>
      </w:r>
      <w:r>
        <w:rPr>
          <w:rFonts w:ascii="Times New Roman" w:hAnsi="Times New Roman"/>
          <w:sz w:val="28"/>
        </w:rPr>
        <w:t>, следовательно, они окупаются. В общем случае чем выше величина IRR, тем больше эффективность инвестиций. Величину IRR сравнивают с заданной нормой дисконта r. При этом если IRR&gt;r, то проект обеспечивает положительную NPV и доходность, равную IRR-r. Если IRR&lt;r, затраты превышают доходы, и проект будет убыточным.</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rPr>
      </w:pPr>
      <w:r>
        <w:rPr>
          <w:rFonts w:ascii="Times New Roman" w:hAnsi="Times New Roman"/>
          <w:sz w:val="28"/>
        </w:rPr>
        <w:t xml:space="preserve">Для оценки внутренней нормы окупаемости можно использовать график чистой дисконтированной стоимости, отметив одну отрицательную и одну положительную точку и соединив их линией. Для проекта, у которого отток (инвестиция) сменяется притоками, в сумме превосходящими этот отток, функция y = f (r) является убывающей, т.е. с ростом r график функции стремится к оси абсцисс и пересекает ее в некоторой точке, являющейся IRR. (Функция может иметь несколько точек пересечения с осью X). Пересечение с осью </w:t>
      </w:r>
      <w:r>
        <w:rPr>
          <w:rFonts w:ascii="Times New Roman" w:hAnsi="Times New Roman"/>
          <w:i/>
          <w:sz w:val="28"/>
        </w:rPr>
        <w:t>Х</w:t>
      </w:r>
      <w:r>
        <w:rPr>
          <w:rFonts w:ascii="Times New Roman" w:hAnsi="Times New Roman"/>
          <w:sz w:val="28"/>
        </w:rPr>
        <w:t xml:space="preserve"> (NPV=0) даст приблизительную (а не точную) оценку внутренней нормы окупаемости.</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rPr>
      </w:pPr>
      <w:r>
        <w:rPr>
          <w:rFonts w:ascii="Times New Roman" w:hAnsi="Times New Roman"/>
          <w:sz w:val="28"/>
        </w:rPr>
        <w:t>Ось ординат (r=0) график NPV пересекает в точке, равной сумме всех элементов не дисконтированного денежного потока, включая величину исходных инвестиций. Важным моментом является то, что  критерий IRR не обладает свойством аддитивности.</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20"/>
        </w:rPr>
      </w:pPr>
      <w:r>
        <w:rPr>
          <w:rFonts w:ascii="Courier New" w:hAnsi="Courier New"/>
          <w:sz w:val="20"/>
        </w:rPr>
        <w:t xml:space="preserve">     </w:t>
      </w:r>
    </w:p>
    <w:tbl>
      <w:tblPr>
        <w:tblW w:w="0" w:type="auto"/>
        <w:tblInd w:w="-20" w:type="dxa"/>
        <w:tblLayout w:type="fixed"/>
        <w:tblCellMar>
          <w:left w:w="15" w:type="dxa"/>
          <w:right w:w="15" w:type="dxa"/>
        </w:tblCellMar>
        <w:tblLook w:val="04A0" w:firstRow="1" w:lastRow="0" w:firstColumn="1" w:lastColumn="0" w:noHBand="0" w:noVBand="1"/>
      </w:tblPr>
      <w:tblGrid>
        <w:gridCol w:w="525"/>
        <w:gridCol w:w="4757"/>
      </w:tblGrid>
      <w:tr w:rsidR="00624D77">
        <w:trPr>
          <w:gridAfter w:val="1"/>
          <w:wAfter w:w="4757" w:type="dxa"/>
          <w:trHeight w:val="210"/>
        </w:trPr>
        <w:tc>
          <w:tcPr>
            <w:tcW w:w="525" w:type="dxa"/>
            <w:tcBorders>
              <w:top w:val="single" w:sz="4" w:space="0" w:color="FFFFFF"/>
              <w:left w:val="single" w:sz="4" w:space="0" w:color="FFFFFF"/>
              <w:bottom w:val="single" w:sz="4" w:space="0" w:color="FFFFFF"/>
              <w:right w:val="single" w:sz="4" w:space="0" w:color="FFFFFF"/>
            </w:tcBorders>
            <w:vAlign w:val="center"/>
          </w:tcPr>
          <w:p w:rsidR="00624D77" w:rsidRDefault="00624D77">
            <w:pPr>
              <w:spacing w:after="0" w:line="240" w:lineRule="auto"/>
              <w:rPr>
                <w:rFonts w:ascii="Times New Roman" w:hAnsi="Times New Roman"/>
              </w:rPr>
            </w:pPr>
          </w:p>
        </w:tc>
      </w:tr>
      <w:tr w:rsidR="00624D77">
        <w:trPr>
          <w:cantSplit/>
        </w:trPr>
        <w:tc>
          <w:tcPr>
            <w:tcW w:w="5282" w:type="dxa"/>
            <w:gridSpan w:val="2"/>
            <w:tcBorders>
              <w:top w:val="single" w:sz="4" w:space="0" w:color="FFFFFF"/>
              <w:left w:val="single" w:sz="4" w:space="0" w:color="FFFFFF"/>
              <w:bottom w:val="single" w:sz="4" w:space="0" w:color="FFFFFF"/>
              <w:right w:val="single" w:sz="4" w:space="0" w:color="FFFFFF"/>
            </w:tcBorders>
            <w:vAlign w:val="center"/>
          </w:tcPr>
          <w:p w:rsidR="00624D77" w:rsidRDefault="00C81D7E">
            <w:pPr>
              <w:spacing w:after="0" w:line="240" w:lineRule="auto"/>
              <w:rPr>
                <w:rFonts w:ascii="Times New Roman" w:hAnsi="Times New Roman"/>
                <w:sz w:val="24"/>
              </w:rPr>
            </w:pPr>
            <w:r>
              <w:rPr>
                <w:rFonts w:ascii="Times New Roman" w:hAnsi="Times New Roman"/>
                <w:sz w:val="24"/>
              </w:rPr>
              <w:pict>
                <v:shape id="_x0000_i1049" type="#_x0000_t75" style="width:236.25pt;height:146.25pt">
                  <v:imagedata r:id="rId10" o:title=""/>
                </v:shape>
              </w:pict>
            </w:r>
          </w:p>
        </w:tc>
      </w:tr>
    </w:tbl>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20"/>
        </w:rPr>
      </w:pPr>
    </w:p>
    <w:p w:rsidR="00624D77" w:rsidRDefault="00624D77">
      <w:pPr>
        <w:pStyle w:val="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pPr>
      <w:bookmarkStart w:id="10" w:name="_Toc273708329"/>
      <w:r>
        <w:t>NPV</w:t>
      </w:r>
      <w:bookmarkEnd w:id="10"/>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20"/>
        </w:rPr>
      </w:pPr>
      <w:r>
        <w:rPr>
          <w:rFonts w:ascii="Courier New" w:hAnsi="Courier New"/>
          <w:sz w:val="20"/>
        </w:rPr>
        <w:t xml:space="preserve">     </w:t>
      </w:r>
    </w:p>
    <w:tbl>
      <w:tblPr>
        <w:tblW w:w="0" w:type="auto"/>
        <w:tblInd w:w="-20" w:type="dxa"/>
        <w:tblLayout w:type="fixed"/>
        <w:tblCellMar>
          <w:left w:w="15" w:type="dxa"/>
          <w:right w:w="15" w:type="dxa"/>
        </w:tblCellMar>
        <w:tblLook w:val="04A0" w:firstRow="1" w:lastRow="0" w:firstColumn="1" w:lastColumn="0" w:noHBand="0" w:noVBand="1"/>
      </w:tblPr>
      <w:tblGrid>
        <w:gridCol w:w="3015"/>
        <w:gridCol w:w="5789"/>
      </w:tblGrid>
      <w:tr w:rsidR="00624D77">
        <w:trPr>
          <w:gridAfter w:val="1"/>
          <w:wAfter w:w="5789" w:type="dxa"/>
          <w:trHeight w:val="105"/>
        </w:trPr>
        <w:tc>
          <w:tcPr>
            <w:tcW w:w="3015" w:type="dxa"/>
            <w:tcBorders>
              <w:top w:val="single" w:sz="4" w:space="0" w:color="FFFFFF"/>
              <w:left w:val="single" w:sz="4" w:space="0" w:color="FFFFFF"/>
              <w:bottom w:val="single" w:sz="4" w:space="0" w:color="FFFFFF"/>
              <w:right w:val="single" w:sz="4" w:space="0" w:color="FFFFFF"/>
            </w:tcBorders>
            <w:vAlign w:val="center"/>
          </w:tcPr>
          <w:p w:rsidR="00624D77" w:rsidRDefault="00624D77">
            <w:pPr>
              <w:spacing w:after="0" w:line="240" w:lineRule="auto"/>
              <w:rPr>
                <w:rFonts w:ascii="Times New Roman" w:hAnsi="Times New Roman"/>
                <w:sz w:val="10"/>
              </w:rPr>
            </w:pPr>
          </w:p>
        </w:tc>
      </w:tr>
      <w:tr w:rsidR="00624D77">
        <w:tc>
          <w:tcPr>
            <w:tcW w:w="3015" w:type="dxa"/>
            <w:tcBorders>
              <w:top w:val="single" w:sz="4" w:space="0" w:color="FFFFFF"/>
              <w:left w:val="single" w:sz="4" w:space="0" w:color="FFFFFF"/>
              <w:bottom w:val="single" w:sz="4" w:space="0" w:color="FFFFFF"/>
              <w:right w:val="single" w:sz="4" w:space="0" w:color="FFFFFF"/>
            </w:tcBorders>
            <w:vAlign w:val="center"/>
          </w:tcPr>
          <w:p w:rsidR="00624D77" w:rsidRDefault="00624D77">
            <w:pPr>
              <w:spacing w:after="0" w:line="240" w:lineRule="auto"/>
              <w:rPr>
                <w:rFonts w:ascii="Times New Roman" w:hAnsi="Times New Roman"/>
                <w:sz w:val="24"/>
              </w:rPr>
            </w:pPr>
          </w:p>
        </w:tc>
        <w:tc>
          <w:tcPr>
            <w:tcW w:w="5789" w:type="dxa"/>
            <w:tcBorders>
              <w:top w:val="single" w:sz="4" w:space="0" w:color="FFFFFF"/>
              <w:left w:val="nil"/>
              <w:bottom w:val="single" w:sz="4" w:space="0" w:color="FFFFFF"/>
              <w:right w:val="single" w:sz="4" w:space="0" w:color="FFFFFF"/>
            </w:tcBorders>
            <w:vAlign w:val="center"/>
          </w:tcPr>
          <w:p w:rsidR="00624D77" w:rsidRDefault="00C81D7E">
            <w:pPr>
              <w:spacing w:after="0" w:line="240" w:lineRule="auto"/>
              <w:rPr>
                <w:rFonts w:ascii="Times New Roman" w:hAnsi="Times New Roman"/>
                <w:sz w:val="24"/>
              </w:rPr>
            </w:pPr>
            <w:r>
              <w:rPr>
                <w:rFonts w:ascii="Times New Roman" w:hAnsi="Times New Roman"/>
                <w:sz w:val="24"/>
              </w:rPr>
              <w:pict>
                <v:shape id="_x0000_i1052" type="#_x0000_t75" style="width:4in;height:79.5pt">
                  <v:imagedata r:id="rId11" o:title=""/>
                </v:shape>
              </w:pict>
            </w:r>
          </w:p>
        </w:tc>
      </w:tr>
    </w:tbl>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20"/>
        </w:rPr>
      </w:pP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rPr>
      </w:pPr>
      <w:r>
        <w:rPr>
          <w:rFonts w:ascii="Courier New" w:hAnsi="Courier New"/>
          <w:sz w:val="20"/>
        </w:rPr>
        <w:t xml:space="preserve">                                                                               </w:t>
      </w:r>
      <w:r>
        <w:rPr>
          <w:rFonts w:ascii="Times New Roman" w:hAnsi="Times New Roman"/>
          <w:sz w:val="28"/>
        </w:rPr>
        <w:t>r</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r>
        <w:rPr>
          <w:rFonts w:ascii="Times New Roman" w:hAnsi="Times New Roman"/>
          <w:sz w:val="28"/>
        </w:rPr>
        <w:t>y = f(r)</w:t>
      </w:r>
    </w:p>
    <w:p w:rsidR="00624D77" w:rsidRDefault="00624D77">
      <w:pPr>
        <w:pStyle w:val="32"/>
        <w:tabs>
          <w:tab w:val="clear" w:pos="916"/>
        </w:tabs>
      </w:pPr>
      <w:r>
        <w:t>На практике любое предприятие финансирует свою деятельность, в том числе и инвестиционную, из различных источников. В качестве платы за пользование авансированными в деятельность предприятия финансовыми ресурсами оно уплачивает проценты, дивиденды, вознаграждения и т.п., т.е. несет некоторые обоснованные расходы па поддержание своего экономического потенциала.</w:t>
      </w:r>
    </w:p>
    <w:p w:rsidR="00624D77" w:rsidRDefault="00624D77">
      <w:pPr>
        <w:pStyle w:val="32"/>
        <w:tabs>
          <w:tab w:val="clear" w:pos="916"/>
        </w:tabs>
      </w:pPr>
      <w:r>
        <w:t>Показатель, характеризующий относительный уровень этих расходов, можно назвать стоимостью авансированного капитала (CC). Этот показатель отражает сложившийся на предприятии минимум возврата на вложенный в его деятельность капитал, его рентабельность и рассчитывается по формуле средней арифметической взвешенной.</w:t>
      </w:r>
    </w:p>
    <w:p w:rsidR="00624D77" w:rsidRDefault="00624D77">
      <w:pPr>
        <w:pStyle w:val="32"/>
        <w:tabs>
          <w:tab w:val="clear" w:pos="916"/>
        </w:tabs>
      </w:pPr>
      <w:r>
        <w:t>Экономический смысл этого показателя заключается в следующем: предприятие может принимать любые решения инвестиционного характера, уровень рентабельности которых не ниже текущего значения показателя CC (или цены источника средств для данного проекта, если он имеет целевой источник). Именно с ним сравнивается показатель IRR, рассчитанный для конкретного проекта, при этом связь между ними такова.</w:t>
      </w:r>
    </w:p>
    <w:p w:rsidR="00624D77" w:rsidRDefault="00624D77">
      <w:pPr>
        <w:pStyle w:val="32"/>
        <w:tabs>
          <w:tab w:val="clear" w:pos="916"/>
        </w:tabs>
      </w:pPr>
      <w:r>
        <w:t>Если:    IRR &gt; CC. то проект следует принять;</w:t>
      </w:r>
    </w:p>
    <w:p w:rsidR="00624D77" w:rsidRDefault="00624D77">
      <w:pPr>
        <w:pStyle w:val="32"/>
        <w:tabs>
          <w:tab w:val="clear" w:pos="916"/>
        </w:tabs>
      </w:pPr>
      <w:r>
        <w:t>IRR &lt; CC, то проект следует отвергнуть;</w:t>
      </w:r>
    </w:p>
    <w:p w:rsidR="00624D77" w:rsidRDefault="00624D77">
      <w:pPr>
        <w:pStyle w:val="32"/>
        <w:tabs>
          <w:tab w:val="clear" w:pos="916"/>
        </w:tabs>
      </w:pPr>
      <w:r>
        <w:t>IRR = CC, то проект ни прибыльный, ни убыточный.</w:t>
      </w:r>
    </w:p>
    <w:p w:rsidR="00624D77" w:rsidRDefault="00624D77">
      <w:pPr>
        <w:pStyle w:val="32"/>
        <w:tabs>
          <w:tab w:val="clear" w:pos="916"/>
        </w:tabs>
      </w:pPr>
      <w:r>
        <w:t>Независимо от того, с чем сравнивается IRR, очевидно: проект принимается, если его IRR больше некоторой пороговой величины; поэтому при прочих равных условиях, как правило, большее значение IRR считается предпочтительным.</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rPr>
      </w:pPr>
      <w:r>
        <w:rPr>
          <w:rFonts w:ascii="Times New Roman" w:hAnsi="Times New Roman"/>
          <w:sz w:val="28"/>
        </w:rPr>
        <w:t>Современные табличные процессоры позволяют быстро и эффективно определить этот показатель путем использования специальных функций. Однако если в распоряжении аналитика нет специализированного финансового калькулятора, практическое применение данного метода осложнено. В этом случае применяется метод последовательных итераций с использованием табулированных значений дисконтирующих множителей. Для этого с помощью таблиц выбираются два значения коэффициента дисконтирования r</w:t>
      </w:r>
      <w:r>
        <w:rPr>
          <w:rFonts w:ascii="Times New Roman" w:hAnsi="Times New Roman"/>
          <w:sz w:val="28"/>
          <w:vertAlign w:val="subscript"/>
        </w:rPr>
        <w:t>1</w:t>
      </w:r>
      <w:r>
        <w:rPr>
          <w:rFonts w:ascii="Times New Roman" w:hAnsi="Times New Roman"/>
          <w:sz w:val="28"/>
        </w:rPr>
        <w:t>&lt;r</w:t>
      </w:r>
      <w:r>
        <w:rPr>
          <w:rFonts w:ascii="Times New Roman" w:hAnsi="Times New Roman"/>
          <w:sz w:val="28"/>
          <w:vertAlign w:val="subscript"/>
        </w:rPr>
        <w:t>2</w:t>
      </w:r>
      <w:r>
        <w:rPr>
          <w:rFonts w:ascii="Times New Roman" w:hAnsi="Times New Roman"/>
          <w:sz w:val="28"/>
        </w:rPr>
        <w:t xml:space="preserve"> таким образом, чтобы в интервале (r</w:t>
      </w:r>
      <w:r>
        <w:rPr>
          <w:rFonts w:ascii="Times New Roman" w:hAnsi="Times New Roman"/>
          <w:sz w:val="28"/>
          <w:vertAlign w:val="subscript"/>
        </w:rPr>
        <w:t>1</w:t>
      </w:r>
      <w:r>
        <w:rPr>
          <w:rFonts w:ascii="Times New Roman" w:hAnsi="Times New Roman"/>
          <w:sz w:val="28"/>
        </w:rPr>
        <w:t>,r</w:t>
      </w:r>
      <w:r>
        <w:rPr>
          <w:rFonts w:ascii="Times New Roman" w:hAnsi="Times New Roman"/>
          <w:sz w:val="28"/>
          <w:vertAlign w:val="subscript"/>
        </w:rPr>
        <w:t>2</w:t>
      </w:r>
      <w:r>
        <w:rPr>
          <w:rFonts w:ascii="Times New Roman" w:hAnsi="Times New Roman"/>
          <w:sz w:val="28"/>
        </w:rPr>
        <w:t>) функция NPV=f(r) меняла свое значение с "+" на "-" или с "-" на "+". Далее применяют формулу:</w:t>
      </w:r>
    </w:p>
    <w:p w:rsidR="00624D77" w:rsidRDefault="00C81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sz w:val="20"/>
        </w:rPr>
      </w:pPr>
      <w:r>
        <w:rPr>
          <w:rFonts w:ascii="Courier New" w:hAnsi="Courier New"/>
          <w:sz w:val="20"/>
          <w:vertAlign w:val="subscript"/>
        </w:rPr>
        <w:pict>
          <v:shape id="_x0000_i1055" type="#_x0000_t75" style="width:159.75pt;height:41.25pt">
            <v:imagedata r:id="rId12" o:title=""/>
          </v:shape>
        </w:pic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rPr>
      </w:pPr>
      <w:r>
        <w:rPr>
          <w:rFonts w:ascii="Times New Roman" w:hAnsi="Times New Roman"/>
          <w:sz w:val="28"/>
        </w:rPr>
        <w:t>где    r</w:t>
      </w:r>
      <w:r>
        <w:rPr>
          <w:rFonts w:ascii="Times New Roman" w:hAnsi="Times New Roman"/>
          <w:sz w:val="28"/>
          <w:vertAlign w:val="subscript"/>
        </w:rPr>
        <w:t>1</w:t>
      </w:r>
      <w:r>
        <w:rPr>
          <w:rFonts w:ascii="Times New Roman" w:hAnsi="Times New Roman"/>
          <w:sz w:val="28"/>
        </w:rPr>
        <w:t xml:space="preserve"> — значение табулированного коэффициента дисконтирования,</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r>
        <w:rPr>
          <w:rFonts w:ascii="Times New Roman" w:hAnsi="Times New Roman"/>
          <w:sz w:val="28"/>
        </w:rPr>
        <w:t>при котором f(r</w:t>
      </w:r>
      <w:r>
        <w:rPr>
          <w:rFonts w:ascii="Times New Roman" w:hAnsi="Times New Roman"/>
          <w:sz w:val="28"/>
          <w:vertAlign w:val="subscript"/>
        </w:rPr>
        <w:t>1</w:t>
      </w:r>
      <w:r>
        <w:rPr>
          <w:rFonts w:ascii="Times New Roman" w:hAnsi="Times New Roman"/>
          <w:sz w:val="28"/>
        </w:rPr>
        <w:t>)&gt;0 (f(r</w:t>
      </w:r>
      <w:r>
        <w:rPr>
          <w:rFonts w:ascii="Times New Roman" w:hAnsi="Times New Roman"/>
          <w:sz w:val="28"/>
          <w:vertAlign w:val="subscript"/>
        </w:rPr>
        <w:t>1</w:t>
      </w:r>
      <w:r>
        <w:rPr>
          <w:rFonts w:ascii="Times New Roman" w:hAnsi="Times New Roman"/>
          <w:sz w:val="28"/>
        </w:rPr>
        <w:t>)&lt;0);</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rPr>
      </w:pPr>
      <w:r>
        <w:rPr>
          <w:rFonts w:ascii="Times New Roman" w:hAnsi="Times New Roman"/>
          <w:sz w:val="28"/>
        </w:rPr>
        <w:t>r</w:t>
      </w:r>
      <w:r>
        <w:rPr>
          <w:rFonts w:ascii="Times New Roman" w:hAnsi="Times New Roman"/>
          <w:sz w:val="28"/>
          <w:vertAlign w:val="subscript"/>
        </w:rPr>
        <w:t>2</w:t>
      </w:r>
      <w:r>
        <w:rPr>
          <w:rFonts w:ascii="Times New Roman" w:hAnsi="Times New Roman"/>
          <w:sz w:val="28"/>
        </w:rPr>
        <w:t xml:space="preserve"> — значение табулированного коэффициента дисконтирования, при</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r>
        <w:rPr>
          <w:rFonts w:ascii="Times New Roman" w:hAnsi="Times New Roman"/>
          <w:sz w:val="28"/>
        </w:rPr>
        <w:t>котором f(r</w:t>
      </w:r>
      <w:r>
        <w:rPr>
          <w:rFonts w:ascii="Times New Roman" w:hAnsi="Times New Roman"/>
          <w:sz w:val="28"/>
          <w:vertAlign w:val="subscript"/>
        </w:rPr>
        <w:t>2</w:t>
      </w:r>
      <w:r>
        <w:rPr>
          <w:rFonts w:ascii="Times New Roman" w:hAnsi="Times New Roman"/>
          <w:sz w:val="28"/>
        </w:rPr>
        <w:t>)&lt;О (f(r</w:t>
      </w:r>
      <w:r>
        <w:rPr>
          <w:rFonts w:ascii="Times New Roman" w:hAnsi="Times New Roman"/>
          <w:sz w:val="28"/>
          <w:vertAlign w:val="subscript"/>
        </w:rPr>
        <w:t>2</w:t>
      </w:r>
      <w:r>
        <w:rPr>
          <w:rFonts w:ascii="Times New Roman" w:hAnsi="Times New Roman"/>
          <w:sz w:val="28"/>
        </w:rPr>
        <w:t>)&gt;0).</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rPr>
      </w:pPr>
      <w:r>
        <w:rPr>
          <w:rFonts w:ascii="Times New Roman" w:hAnsi="Times New Roman"/>
          <w:sz w:val="28"/>
        </w:rPr>
        <w:t>Точность вычислений обратно пропорциональна длине интервала (r</w:t>
      </w:r>
      <w:r>
        <w:rPr>
          <w:rFonts w:ascii="Times New Roman" w:hAnsi="Times New Roman"/>
          <w:sz w:val="28"/>
          <w:vertAlign w:val="subscript"/>
        </w:rPr>
        <w:t>1</w:t>
      </w:r>
      <w:r>
        <w:rPr>
          <w:rFonts w:ascii="Times New Roman" w:hAnsi="Times New Roman"/>
          <w:sz w:val="28"/>
        </w:rPr>
        <w:t>,r</w:t>
      </w:r>
      <w:r>
        <w:rPr>
          <w:rFonts w:ascii="Times New Roman" w:hAnsi="Times New Roman"/>
          <w:sz w:val="28"/>
          <w:vertAlign w:val="subscript"/>
        </w:rPr>
        <w:t>2</w:t>
      </w:r>
      <w:r>
        <w:rPr>
          <w:rFonts w:ascii="Times New Roman" w:hAnsi="Times New Roman"/>
          <w:sz w:val="28"/>
        </w:rPr>
        <w:t>), а наилучшая аппроксимация с использованием табулированных значений</w:t>
      </w:r>
      <w:r>
        <w:rPr>
          <w:rFonts w:ascii="Times New Roman" w:hAnsi="Times New Roman"/>
          <w:sz w:val="28"/>
          <w:vertAlign w:val="subscript"/>
        </w:rPr>
        <w:t xml:space="preserve"> </w:t>
      </w:r>
      <w:r>
        <w:rPr>
          <w:rFonts w:ascii="Times New Roman" w:hAnsi="Times New Roman"/>
          <w:sz w:val="28"/>
        </w:rPr>
        <w:t>достигается в случае, когда длина интервала минимальна (равна 1%), т.е. r</w:t>
      </w:r>
      <w:r>
        <w:rPr>
          <w:rFonts w:ascii="Times New Roman" w:hAnsi="Times New Roman"/>
          <w:sz w:val="28"/>
          <w:vertAlign w:val="subscript"/>
        </w:rPr>
        <w:t>1</w:t>
      </w:r>
      <w:r>
        <w:rPr>
          <w:rFonts w:ascii="Times New Roman" w:hAnsi="Times New Roman"/>
          <w:sz w:val="28"/>
        </w:rPr>
        <w:t xml:space="preserve"> </w:t>
      </w:r>
      <w:r>
        <w:rPr>
          <w:rFonts w:ascii="Times New Roman" w:hAnsi="Times New Roman"/>
          <w:sz w:val="28"/>
          <w:vertAlign w:val="subscript"/>
        </w:rPr>
        <w:t xml:space="preserve"> </w:t>
      </w:r>
      <w:r>
        <w:rPr>
          <w:rFonts w:ascii="Times New Roman" w:hAnsi="Times New Roman"/>
          <w:sz w:val="28"/>
        </w:rPr>
        <w:t>и</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vertAlign w:val="subscript"/>
        </w:rPr>
      </w:pPr>
      <w:r>
        <w:rPr>
          <w:rFonts w:ascii="Times New Roman" w:hAnsi="Times New Roman"/>
          <w:sz w:val="28"/>
        </w:rPr>
        <w:t>r</w:t>
      </w:r>
      <w:r>
        <w:rPr>
          <w:rFonts w:ascii="Times New Roman" w:hAnsi="Times New Roman"/>
          <w:sz w:val="28"/>
          <w:vertAlign w:val="subscript"/>
        </w:rPr>
        <w:t>2</w:t>
      </w:r>
      <w:r>
        <w:rPr>
          <w:rFonts w:ascii="Times New Roman" w:hAnsi="Times New Roman"/>
          <w:sz w:val="28"/>
        </w:rPr>
        <w:t xml:space="preserve"> - ближайшие друг к другу значения коэффициента дисконтирования,</w:t>
      </w:r>
      <w:r>
        <w:rPr>
          <w:rFonts w:ascii="Times New Roman" w:hAnsi="Times New Roman"/>
          <w:sz w:val="28"/>
          <w:vertAlign w:val="subscript"/>
        </w:rPr>
        <w:t xml:space="preserve"> </w:t>
      </w:r>
      <w:r>
        <w:rPr>
          <w:rFonts w:ascii="Times New Roman" w:hAnsi="Times New Roman"/>
          <w:sz w:val="28"/>
        </w:rPr>
        <w:t>удовлетворяющие условиям (в случае изменения знака функции с "+" на "-"):</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rPr>
      </w:pPr>
      <w:r>
        <w:rPr>
          <w:rFonts w:ascii="Times New Roman" w:hAnsi="Times New Roman"/>
          <w:sz w:val="28"/>
        </w:rPr>
        <w:t>r</w:t>
      </w:r>
      <w:r>
        <w:rPr>
          <w:rFonts w:ascii="Times New Roman" w:hAnsi="Times New Roman"/>
          <w:sz w:val="28"/>
          <w:vertAlign w:val="subscript"/>
        </w:rPr>
        <w:t>1</w:t>
      </w:r>
      <w:r>
        <w:rPr>
          <w:rFonts w:ascii="Times New Roman" w:hAnsi="Times New Roman"/>
          <w:sz w:val="28"/>
        </w:rPr>
        <w:t xml:space="preserve"> — значение табулированного коэффициента дисконтирования, минимизирующее положительное значение показателя NPV, </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lang w:val="en-US"/>
        </w:rPr>
      </w:pPr>
      <w:r>
        <w:rPr>
          <w:rFonts w:ascii="Times New Roman" w:hAnsi="Times New Roman"/>
          <w:sz w:val="28"/>
        </w:rPr>
        <w:t>т</w:t>
      </w:r>
      <w:r>
        <w:rPr>
          <w:rFonts w:ascii="Times New Roman" w:hAnsi="Times New Roman"/>
          <w:sz w:val="28"/>
          <w:lang w:val="en-US"/>
        </w:rPr>
        <w:t>.</w:t>
      </w:r>
      <w:r>
        <w:rPr>
          <w:rFonts w:ascii="Times New Roman" w:hAnsi="Times New Roman"/>
          <w:sz w:val="28"/>
        </w:rPr>
        <w:t>е</w:t>
      </w:r>
      <w:r>
        <w:rPr>
          <w:rFonts w:ascii="Times New Roman" w:hAnsi="Times New Roman"/>
          <w:sz w:val="28"/>
          <w:lang w:val="en-US"/>
        </w:rPr>
        <w:t>. f(r</w:t>
      </w:r>
      <w:r>
        <w:rPr>
          <w:rFonts w:ascii="Times New Roman" w:hAnsi="Times New Roman"/>
          <w:sz w:val="28"/>
          <w:vertAlign w:val="subscript"/>
          <w:lang w:val="en-US"/>
        </w:rPr>
        <w:t>1</w:t>
      </w:r>
      <w:r>
        <w:rPr>
          <w:rFonts w:ascii="Times New Roman" w:hAnsi="Times New Roman"/>
          <w:sz w:val="28"/>
          <w:lang w:val="en-US"/>
        </w:rPr>
        <w:t xml:space="preserve">)=min </w:t>
      </w:r>
      <w:r>
        <w:rPr>
          <w:rFonts w:ascii="Times New Roman" w:hAnsi="Times New Roman"/>
          <w:sz w:val="28"/>
          <w:vertAlign w:val="subscript"/>
          <w:lang w:val="en-US"/>
        </w:rPr>
        <w:t>r</w:t>
      </w:r>
      <w:r>
        <w:rPr>
          <w:rFonts w:ascii="Times New Roman" w:hAnsi="Times New Roman"/>
          <w:sz w:val="28"/>
          <w:lang w:val="en-US"/>
        </w:rPr>
        <w:t>{f(r)&gt;0};</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rPr>
      </w:pPr>
      <w:r>
        <w:rPr>
          <w:rFonts w:ascii="Times New Roman" w:hAnsi="Times New Roman"/>
          <w:sz w:val="28"/>
        </w:rPr>
        <w:t>r</w:t>
      </w:r>
      <w:r>
        <w:rPr>
          <w:rFonts w:ascii="Times New Roman" w:hAnsi="Times New Roman"/>
          <w:sz w:val="28"/>
          <w:vertAlign w:val="subscript"/>
        </w:rPr>
        <w:t>2</w:t>
      </w:r>
      <w:r>
        <w:rPr>
          <w:rFonts w:ascii="Times New Roman" w:hAnsi="Times New Roman"/>
          <w:sz w:val="28"/>
        </w:rPr>
        <w:t xml:space="preserve"> — значение табулированного коэффициента дисконтирования, максимизирующее отрицательное значение показателя NPV, т.е. f(r</w:t>
      </w:r>
      <w:r>
        <w:rPr>
          <w:rFonts w:ascii="Times New Roman" w:hAnsi="Times New Roman"/>
          <w:sz w:val="28"/>
          <w:vertAlign w:val="subscript"/>
        </w:rPr>
        <w:t>2</w:t>
      </w:r>
      <w:r>
        <w:rPr>
          <w:rFonts w:ascii="Times New Roman" w:hAnsi="Times New Roman"/>
          <w:sz w:val="28"/>
        </w:rPr>
        <w:t>)=max</w:t>
      </w:r>
      <w:r>
        <w:rPr>
          <w:rFonts w:ascii="Times New Roman" w:hAnsi="Times New Roman"/>
          <w:sz w:val="28"/>
          <w:vertAlign w:val="subscript"/>
        </w:rPr>
        <w:t>r</w:t>
      </w:r>
      <w:r>
        <w:rPr>
          <w:rFonts w:ascii="Times New Roman" w:hAnsi="Times New Roman"/>
          <w:sz w:val="28"/>
        </w:rPr>
        <w:t>{f(r)&lt;0}.</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r>
        <w:rPr>
          <w:rFonts w:ascii="Times New Roman" w:hAnsi="Times New Roman"/>
          <w:sz w:val="28"/>
        </w:rPr>
        <w:t>Путем взаимной замены коэффициентов r</w:t>
      </w:r>
      <w:r>
        <w:rPr>
          <w:rFonts w:ascii="Times New Roman" w:hAnsi="Times New Roman"/>
          <w:sz w:val="28"/>
          <w:vertAlign w:val="subscript"/>
        </w:rPr>
        <w:t>1</w:t>
      </w:r>
      <w:r>
        <w:rPr>
          <w:rFonts w:ascii="Times New Roman" w:hAnsi="Times New Roman"/>
          <w:sz w:val="28"/>
        </w:rPr>
        <w:t xml:space="preserve"> и r</w:t>
      </w:r>
      <w:r>
        <w:rPr>
          <w:rFonts w:ascii="Times New Roman" w:hAnsi="Times New Roman"/>
          <w:sz w:val="28"/>
          <w:vertAlign w:val="subscript"/>
        </w:rPr>
        <w:t>2</w:t>
      </w:r>
      <w:r>
        <w:rPr>
          <w:rFonts w:ascii="Times New Roman" w:hAnsi="Times New Roman"/>
          <w:sz w:val="28"/>
        </w:rPr>
        <w:t xml:space="preserve"> аналогичные условия выписываются для ситуации, когда функция меняет знак с "-" на "+".</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color w:val="000000"/>
          <w:sz w:val="28"/>
        </w:rPr>
        <w:t xml:space="preserve">Индекс доходности инвестиций (PI) </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color w:val="000000"/>
          <w:sz w:val="28"/>
        </w:rPr>
        <w:t xml:space="preserve">Индекс рентабельности инвестиций. Profitability index </w:t>
      </w:r>
    </w:p>
    <w:p w:rsidR="00624D77" w:rsidRDefault="00624D77">
      <w:pPr>
        <w:pStyle w:val="a9"/>
        <w:spacing w:line="360" w:lineRule="auto"/>
        <w:ind w:firstLine="540"/>
        <w:jc w:val="both"/>
        <w:rPr>
          <w:rFonts w:ascii="Times New Roman" w:hAnsi="Times New Roman"/>
          <w:sz w:val="28"/>
        </w:rPr>
      </w:pPr>
      <w:r>
        <w:rPr>
          <w:rFonts w:ascii="Times New Roman" w:hAnsi="Times New Roman"/>
          <w:color w:val="000000"/>
          <w:sz w:val="28"/>
        </w:rPr>
        <w:t>Рассматриваемый показатель тесно связан с показателем чистой современной ценности инвестиций, но, в отличие от последнего, позволяет определить не абсолютную, а относительную характеристику эффективности инвестиций характеризуют (относительную) "отдачу проекта" на вложение в</w:t>
      </w:r>
      <w:r>
        <w:rPr>
          <w:rFonts w:ascii="Times New Roman" w:hAnsi="Times New Roman"/>
          <w:smallCaps/>
          <w:color w:val="000000"/>
          <w:sz w:val="28"/>
        </w:rPr>
        <w:t xml:space="preserve"> </w:t>
      </w:r>
      <w:r>
        <w:rPr>
          <w:rFonts w:ascii="Times New Roman" w:hAnsi="Times New Roman"/>
          <w:color w:val="000000"/>
          <w:sz w:val="28"/>
        </w:rPr>
        <w:t>него средства. Они могут рассчитываться как для дисконтированных, так и для не дисконтированных денежных потоков. Для определения величины указанного показателя используются те же потоки платежей, что и для критерия ЧДД, но он представляет собой не разницу доходов и затрат от реализации проекта , а их соотношение – доходы, деленные на затраты:</w:t>
      </w:r>
    </w:p>
    <w:p w:rsidR="00624D77" w:rsidRDefault="00624D77">
      <w:pPr>
        <w:pStyle w:val="af2"/>
      </w:pPr>
      <w:r>
        <w:t>Индекс доходности инвестиций (PI) рассчитывается по следующей формуле:</w:t>
      </w:r>
    </w:p>
    <w:p w:rsidR="00624D77" w:rsidRDefault="00624D77">
      <w:pPr>
        <w:pStyle w:val="af2"/>
      </w:pPr>
      <w:r>
        <w:t xml:space="preserve">ИД показывает, в какой мере возрастает доход инвестора в расчете на единицу инвестиций. </w:t>
      </w:r>
    </w:p>
    <w:p w:rsidR="00624D77" w:rsidRDefault="00624D77">
      <w:pPr>
        <w:pStyle w:val="af2"/>
      </w:pPr>
      <w:r>
        <w:t>Очевидно, что если:</w:t>
      </w:r>
      <w:r>
        <w:rPr>
          <w:lang w:val="en-US"/>
        </w:rPr>
        <w:t>   </w:t>
      </w:r>
      <w:r>
        <w:t xml:space="preserve"> Р</w:t>
      </w:r>
      <w:r>
        <w:rPr>
          <w:lang w:val="en-US"/>
        </w:rPr>
        <w:t>I</w:t>
      </w:r>
      <w:r>
        <w:t xml:space="preserve"> &gt; 1, то проект следует принять;</w:t>
      </w:r>
    </w:p>
    <w:p w:rsidR="00624D77" w:rsidRDefault="00624D77">
      <w:pPr>
        <w:spacing w:before="100" w:after="100" w:line="240" w:lineRule="auto"/>
        <w:jc w:val="both"/>
        <w:rPr>
          <w:rFonts w:ascii="Times New Roman" w:hAnsi="Times New Roman"/>
          <w:color w:val="000000"/>
          <w:sz w:val="28"/>
        </w:rPr>
      </w:pPr>
      <w:r>
        <w:rPr>
          <w:rFonts w:ascii="Times New Roman" w:hAnsi="Times New Roman"/>
          <w:color w:val="000000"/>
          <w:sz w:val="28"/>
          <w:lang w:val="en-US"/>
        </w:rPr>
        <w:t>                              </w:t>
      </w:r>
      <w:r>
        <w:rPr>
          <w:rFonts w:ascii="Times New Roman" w:hAnsi="Times New Roman"/>
          <w:color w:val="000000"/>
          <w:sz w:val="28"/>
        </w:rPr>
        <w:t xml:space="preserve">              РI&lt; 1, то проект следует отвергнуть;</w:t>
      </w:r>
    </w:p>
    <w:p w:rsidR="00624D77" w:rsidRDefault="00624D77">
      <w:pPr>
        <w:spacing w:before="100" w:after="100" w:line="240" w:lineRule="auto"/>
        <w:jc w:val="both"/>
        <w:rPr>
          <w:rFonts w:ascii="Times New Roman" w:hAnsi="Times New Roman"/>
          <w:color w:val="000000"/>
          <w:sz w:val="28"/>
        </w:rPr>
      </w:pPr>
      <w:r>
        <w:rPr>
          <w:rFonts w:ascii="Times New Roman" w:hAnsi="Times New Roman"/>
          <w:color w:val="000000"/>
          <w:sz w:val="28"/>
          <w:lang w:val="en-US"/>
        </w:rPr>
        <w:t>                              </w:t>
      </w:r>
      <w:r>
        <w:rPr>
          <w:rFonts w:ascii="Times New Roman" w:hAnsi="Times New Roman"/>
          <w:color w:val="000000"/>
          <w:sz w:val="28"/>
        </w:rPr>
        <w:t xml:space="preserve">              РI = 1, то проект ни прибыльный, ни убыточный.</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Очевидно, что если ЧДД положителен, то и ИД будет больше единицы, что будет свидетельствовать о приемлемости инвестиционного проекта Индекс доходности инвестиций (ИД) — отношение суммы элементов денежного потока от операционной деятельности к абсолютной величине суммы элементов денежного потока от инвестиционной деятельности. Он равен увеличенному на единицу отношению ЧД к накопленному объему инвестиций;</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Индекс доходности дисконтированных инвестиций (ИДД) — отношение суммы дисконтированных элементов денежного потока от операционной деятельности к абсолютной величине дисконтированной суммы элементов денежного потока от инвестиционной деятельности. ИДД равен увеличенному на единицу отношению ЧДД к накопленному дисконтированному объему инвестиций.</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color w:val="000000"/>
          <w:sz w:val="28"/>
        </w:rPr>
        <w:t>При расчете</w:t>
      </w:r>
      <w:r>
        <w:rPr>
          <w:rFonts w:ascii="Times New Roman" w:hAnsi="Times New Roman"/>
          <w:b/>
          <w:color w:val="000000"/>
          <w:sz w:val="28"/>
        </w:rPr>
        <w:t xml:space="preserve"> </w:t>
      </w:r>
      <w:r>
        <w:rPr>
          <w:rFonts w:ascii="Times New Roman" w:hAnsi="Times New Roman"/>
          <w:color w:val="000000"/>
          <w:sz w:val="28"/>
        </w:rPr>
        <w:t>ИД и</w:t>
      </w:r>
      <w:r>
        <w:rPr>
          <w:rFonts w:ascii="Times New Roman" w:hAnsi="Times New Roman"/>
          <w:b/>
          <w:color w:val="000000"/>
          <w:sz w:val="28"/>
        </w:rPr>
        <w:t xml:space="preserve"> </w:t>
      </w:r>
      <w:r>
        <w:rPr>
          <w:rFonts w:ascii="Times New Roman" w:hAnsi="Times New Roman"/>
          <w:color w:val="000000"/>
          <w:sz w:val="28"/>
        </w:rPr>
        <w:t xml:space="preserve">ИДД могут учитываться либо все капиталовложения за расчетный период, включая вложения в замещение выбывающих основных фондов, либо только первоначальные капиталовложения, осуществляемые до ввода предприятия в эксплуатацию (соответствующие показатели будут, конечно, иметь различные значения). </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color w:val="000000"/>
          <w:sz w:val="28"/>
        </w:rPr>
        <w:t>Индексы доходности затрат и инвестиций превышают 1, если и только если для этого потока ЧД положителен.</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color w:val="000000"/>
          <w:sz w:val="28"/>
        </w:rPr>
        <w:t>Индексы доходности дисконтированных затрат и инвестиций превышают 1, если и только если для этого потока</w:t>
      </w:r>
      <w:r>
        <w:rPr>
          <w:rFonts w:ascii="Times New Roman" w:hAnsi="Times New Roman"/>
          <w:b/>
          <w:color w:val="000000"/>
          <w:sz w:val="28"/>
        </w:rPr>
        <w:t xml:space="preserve"> </w:t>
      </w:r>
      <w:r>
        <w:rPr>
          <w:rFonts w:ascii="Times New Roman" w:hAnsi="Times New Roman"/>
          <w:color w:val="000000"/>
          <w:sz w:val="28"/>
        </w:rPr>
        <w:t>ЧДД положителен.</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color w:val="000000"/>
          <w:sz w:val="28"/>
        </w:rPr>
        <w:t>Индекс рентабельности инвестиций отвечает на вопрос: каков уровень генерируемых проектом доходов, получаемых на одну единицу капитальных вложений.</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color w:val="000000"/>
          <w:sz w:val="28"/>
        </w:rPr>
        <w:t>Показатель PI наиболее целесообразно использовать для ранжирования имеющихся вариантов вложения средств в условиях ограниченного объема инвестиционных ресурсов.</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color w:val="000000"/>
          <w:sz w:val="28"/>
        </w:rPr>
        <w:t>При оценке эффективности часто используются:</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color w:val="000000"/>
          <w:sz w:val="28"/>
        </w:rPr>
        <w:t>Индекс доходности затрат — отношение суммы денежных притоков (накопленных поступлений) к сумме денежных оттоков (накопленным платежам).</w:t>
      </w:r>
    </w:p>
    <w:p w:rsidR="00624D77" w:rsidRDefault="00624D77">
      <w:pPr>
        <w:pStyle w:val="a9"/>
        <w:spacing w:line="360" w:lineRule="auto"/>
        <w:ind w:firstLine="540"/>
        <w:jc w:val="both"/>
        <w:rPr>
          <w:rFonts w:ascii="Times New Roman" w:hAnsi="Times New Roman"/>
          <w:i/>
          <w:color w:val="000000"/>
          <w:sz w:val="28"/>
        </w:rPr>
      </w:pPr>
      <w:r>
        <w:rPr>
          <w:rFonts w:ascii="Times New Roman" w:hAnsi="Times New Roman"/>
          <w:color w:val="000000"/>
          <w:sz w:val="28"/>
        </w:rPr>
        <w:t>Индекс доходности дисконтированных затрат — отношение суммы дисконтированных денежных притоков к сумме дисконтированных денежных оттоков.</w:t>
      </w:r>
    </w:p>
    <w:p w:rsidR="00624D77" w:rsidRDefault="00624D77">
      <w:pPr>
        <w:pStyle w:val="a9"/>
        <w:spacing w:line="360" w:lineRule="auto"/>
        <w:ind w:firstLine="540"/>
        <w:jc w:val="both"/>
        <w:rPr>
          <w:rFonts w:ascii="Times New Roman" w:hAnsi="Times New Roman"/>
          <w:i/>
          <w:color w:val="000000"/>
          <w:sz w:val="28"/>
        </w:rPr>
      </w:pPr>
      <w:r>
        <w:rPr>
          <w:rFonts w:ascii="Times New Roman" w:hAnsi="Times New Roman"/>
          <w:sz w:val="28"/>
        </w:rPr>
        <w:t>Метод окупаемости предназначен для определения периода возврата инвестиций. Период возврата - это промежуток времени с момента начала инвестирования проекта до момента, когда дисконтированный чистый денежный поток полностью компенсирует начальные капиталовложения в проект. Можно считать, что с этого момента проект начинает приносить чистый доход. При этом, когда нарастающий итог показателя NPV становится положительным, и соответствует моменту полной окупаемости инвестиций.</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Следовательно, если период возврата превышает инвестиционный период, то проект не окупается и считается экономически невыгодным, а при сравнении нескольких проектов экономически привлекательным считается проект с наименьшим сроком возврата инвестиций.</w:t>
      </w:r>
    </w:p>
    <w:p w:rsidR="00624D77" w:rsidRDefault="00624D77">
      <w:pPr>
        <w:pStyle w:val="a9"/>
        <w:spacing w:line="360" w:lineRule="auto"/>
        <w:jc w:val="both"/>
        <w:rPr>
          <w:rFonts w:ascii="Times New Roman" w:hAnsi="Times New Roman"/>
          <w:sz w:val="28"/>
        </w:rPr>
      </w:pPr>
      <w:r>
        <w:rPr>
          <w:rFonts w:ascii="Times New Roman" w:hAnsi="Times New Roman"/>
          <w:sz w:val="28"/>
        </w:rPr>
        <w:t>Рассмотрим этот метод на конкретном примере анализа двух взаимоисключающих проектов.</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color w:val="000000"/>
          <w:sz w:val="28"/>
        </w:rPr>
        <w:t xml:space="preserve">Дисконтированный срок окупаемости инвестиций. </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color w:val="000000"/>
          <w:sz w:val="28"/>
        </w:rPr>
        <w:t>(Дисконтированный срок возврата капиталовложений) Discounted pay-back period.</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color w:val="000000"/>
          <w:sz w:val="28"/>
        </w:rPr>
        <w:t>Метод определения дисконтированного срока окупаемости инвестиций в целом аналогичен методу расчета простого срока окупаемости, однако, свободен от одного из недостатков последнего, а именно - от игнорирования факта неравноценности денежных потоков, возникающих в различные моменты времени.</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color w:val="000000"/>
          <w:sz w:val="28"/>
        </w:rPr>
        <w:t>Условие для определения дисконтированного срока окупаемости может быть сформулировано как нахождение момента времени, когда современная ценность доходов, получаемых при реализации проекта, сравняется с объемом инвестиционных затрат.</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color w:val="000000"/>
          <w:sz w:val="28"/>
        </w:rPr>
        <w:t>Сроком окупаемости с учетом дисконтирования называется продолжительность периода от начального момента до "момента окупаемости с учетом дисконтирования". Моментом окупаемости с учетом дисконтирования называется тот наиболее ранний момент времени в расчетном периоде, после которого текущий чистый дисконтированный ЧДД(</w:t>
      </w:r>
      <w:r>
        <w:rPr>
          <w:rFonts w:ascii="Times New Roman" w:hAnsi="Times New Roman"/>
          <w:color w:val="000000"/>
          <w:sz w:val="28"/>
          <w:lang w:val="en-US"/>
        </w:rPr>
        <w:t>k</w:t>
      </w:r>
      <w:r>
        <w:rPr>
          <w:rFonts w:ascii="Times New Roman" w:hAnsi="Times New Roman"/>
          <w:color w:val="000000"/>
          <w:sz w:val="28"/>
        </w:rPr>
        <w:t>) становится и в дальнейшем остается неотрицательным.</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color w:val="000000"/>
          <w:sz w:val="28"/>
        </w:rPr>
        <w:t>Главный недостаток простых методов оценки эффективности инвестиций заключается в игнорировании факта неравноценности одинаковых сумм поступлений или платежей, относящихся к разным периодам времени. Понимание и учет этого факта имеет чрезвычайно важное значение для корректной оценки проектов, связанных с долгосрочным вложением капитала.</w:t>
      </w:r>
    </w:p>
    <w:p w:rsidR="00624D77" w:rsidRDefault="00624D77">
      <w:pPr>
        <w:pStyle w:val="a9"/>
        <w:spacing w:line="360" w:lineRule="auto"/>
        <w:jc w:val="center"/>
        <w:rPr>
          <w:rFonts w:ascii="Times New Roman" w:hAnsi="Times New Roman"/>
          <w:color w:val="000000"/>
          <w:sz w:val="28"/>
        </w:rPr>
      </w:pPr>
      <w:r>
        <w:rPr>
          <w:rFonts w:ascii="Times New Roman" w:hAnsi="Times New Roman"/>
          <w:color w:val="000000"/>
          <w:sz w:val="28"/>
          <w:lang w:val="en-US"/>
        </w:rPr>
        <w:t>DPBP</w:t>
      </w:r>
      <w:r>
        <w:rPr>
          <w:rFonts w:ascii="Times New Roman" w:hAnsi="Times New Roman"/>
          <w:color w:val="000000"/>
          <w:sz w:val="28"/>
        </w:rPr>
        <w:t xml:space="preserve">= </w:t>
      </w:r>
      <w:r>
        <w:rPr>
          <w:rFonts w:ascii="Times New Roman" w:hAnsi="Times New Roman"/>
          <w:color w:val="000000"/>
          <w:sz w:val="28"/>
          <w:lang w:val="en-US"/>
        </w:rPr>
        <w:t>d</w:t>
      </w:r>
      <w:r>
        <w:rPr>
          <w:rFonts w:ascii="Times New Roman" w:hAnsi="Times New Roman"/>
          <w:color w:val="000000"/>
          <w:sz w:val="28"/>
        </w:rPr>
        <w:t>+</w:t>
      </w:r>
      <w:r>
        <w:rPr>
          <w:rFonts w:ascii="Times New Roman" w:hAnsi="Times New Roman"/>
          <w:color w:val="000000"/>
          <w:sz w:val="28"/>
          <w:lang w:val="en-US"/>
        </w:rPr>
        <w:t>j</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color w:val="000000"/>
          <w:sz w:val="28"/>
          <w:lang w:val="en-US"/>
        </w:rPr>
        <w:t>d</w:t>
      </w:r>
      <w:r>
        <w:rPr>
          <w:rFonts w:ascii="Times New Roman" w:hAnsi="Times New Roman"/>
          <w:color w:val="000000"/>
          <w:sz w:val="28"/>
        </w:rPr>
        <w:t xml:space="preserve">- дробное значение срока окупаемости, </w:t>
      </w:r>
      <w:r>
        <w:rPr>
          <w:rFonts w:ascii="Times New Roman" w:hAnsi="Times New Roman"/>
          <w:color w:val="000000"/>
          <w:sz w:val="28"/>
          <w:lang w:val="en-US"/>
        </w:rPr>
        <w:t>j</w:t>
      </w:r>
      <w:r>
        <w:rPr>
          <w:rFonts w:ascii="Times New Roman" w:hAnsi="Times New Roman"/>
          <w:color w:val="000000"/>
          <w:sz w:val="28"/>
        </w:rPr>
        <w:t>-  целое значение срока окупаемости</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color w:val="000000"/>
          <w:sz w:val="28"/>
          <w:lang w:val="en-US"/>
        </w:rPr>
        <w:t>j</w:t>
      </w:r>
      <w:r>
        <w:rPr>
          <w:rFonts w:ascii="Times New Roman" w:hAnsi="Times New Roman"/>
          <w:color w:val="000000"/>
          <w:sz w:val="28"/>
        </w:rPr>
        <w:t xml:space="preserve"> находится через (</w:t>
      </w:r>
      <w:r>
        <w:rPr>
          <w:rFonts w:ascii="Times New Roman" w:hAnsi="Times New Roman"/>
          <w:color w:val="000000"/>
          <w:sz w:val="28"/>
          <w:lang w:val="en-US"/>
        </w:rPr>
        <w:t>DCF</w:t>
      </w:r>
      <w:r>
        <w:rPr>
          <w:rFonts w:ascii="Times New Roman" w:hAnsi="Times New Roman"/>
          <w:color w:val="000000"/>
          <w:sz w:val="28"/>
          <w:vertAlign w:val="subscript"/>
        </w:rPr>
        <w:t>1</w:t>
      </w:r>
      <w:r>
        <w:rPr>
          <w:rFonts w:ascii="Times New Roman" w:hAnsi="Times New Roman"/>
          <w:color w:val="000000"/>
          <w:sz w:val="28"/>
        </w:rPr>
        <w:t>+</w:t>
      </w:r>
      <w:r>
        <w:rPr>
          <w:rFonts w:ascii="Times New Roman" w:hAnsi="Times New Roman"/>
          <w:color w:val="000000"/>
          <w:sz w:val="28"/>
          <w:lang w:val="en-US"/>
        </w:rPr>
        <w:t>DCF</w:t>
      </w:r>
      <w:r>
        <w:rPr>
          <w:rFonts w:ascii="Times New Roman" w:hAnsi="Times New Roman"/>
          <w:color w:val="000000"/>
          <w:sz w:val="28"/>
          <w:vertAlign w:val="subscript"/>
        </w:rPr>
        <w:t>2</w:t>
      </w:r>
      <w:r>
        <w:rPr>
          <w:rFonts w:ascii="Times New Roman" w:hAnsi="Times New Roman"/>
          <w:color w:val="000000"/>
          <w:sz w:val="28"/>
        </w:rPr>
        <w:t>+… +</w:t>
      </w:r>
      <w:r>
        <w:rPr>
          <w:rFonts w:ascii="Times New Roman" w:hAnsi="Times New Roman"/>
          <w:color w:val="000000"/>
          <w:sz w:val="28"/>
          <w:lang w:val="en-US"/>
        </w:rPr>
        <w:t>DCF</w:t>
      </w:r>
      <w:r>
        <w:rPr>
          <w:rFonts w:ascii="Times New Roman" w:hAnsi="Times New Roman"/>
          <w:color w:val="000000"/>
          <w:sz w:val="28"/>
          <w:vertAlign w:val="subscript"/>
          <w:lang w:val="en-US"/>
        </w:rPr>
        <w:t>j</w:t>
      </w:r>
      <w:r>
        <w:rPr>
          <w:rFonts w:ascii="Times New Roman" w:hAnsi="Times New Roman"/>
          <w:color w:val="000000"/>
          <w:sz w:val="28"/>
        </w:rPr>
        <w:t>)&lt;=</w:t>
      </w:r>
      <w:r>
        <w:rPr>
          <w:rFonts w:ascii="Times New Roman" w:hAnsi="Times New Roman"/>
          <w:color w:val="000000"/>
          <w:sz w:val="28"/>
          <w:lang w:val="en-US"/>
        </w:rPr>
        <w:t>I</w:t>
      </w:r>
      <w:r>
        <w:rPr>
          <w:rFonts w:ascii="Times New Roman" w:hAnsi="Times New Roman"/>
          <w:color w:val="000000"/>
          <w:sz w:val="28"/>
          <w:vertAlign w:val="subscript"/>
        </w:rPr>
        <w:t>0</w:t>
      </w:r>
      <w:r>
        <w:rPr>
          <w:rFonts w:ascii="Times New Roman" w:hAnsi="Times New Roman"/>
          <w:color w:val="000000"/>
          <w:sz w:val="28"/>
        </w:rPr>
        <w:t xml:space="preserve"> и 1</w:t>
      </w:r>
      <w:r>
        <w:rPr>
          <w:rFonts w:ascii="Times New Roman" w:hAnsi="Times New Roman"/>
          <w:color w:val="000000"/>
          <w:sz w:val="28"/>
        </w:rPr>
        <w:t></w:t>
      </w:r>
      <w:r>
        <w:rPr>
          <w:rFonts w:ascii="Times New Roman" w:hAnsi="Times New Roman"/>
          <w:color w:val="000000"/>
          <w:sz w:val="28"/>
          <w:lang w:val="en-US"/>
        </w:rPr>
        <w:t>j</w:t>
      </w:r>
      <w:r>
        <w:rPr>
          <w:rFonts w:ascii="Times New Roman" w:hAnsi="Times New Roman"/>
          <w:color w:val="000000"/>
          <w:sz w:val="28"/>
        </w:rPr>
        <w:t></w:t>
      </w:r>
      <w:r>
        <w:rPr>
          <w:rFonts w:ascii="Times New Roman" w:hAnsi="Times New Roman"/>
          <w:color w:val="000000"/>
          <w:sz w:val="28"/>
          <w:lang w:val="en-US"/>
        </w:rPr>
        <w:t>n</w:t>
      </w:r>
    </w:p>
    <w:p w:rsidR="00624D77" w:rsidRDefault="00624D77">
      <w:pPr>
        <w:spacing w:after="0" w:line="360" w:lineRule="auto"/>
        <w:ind w:left="1701"/>
        <w:jc w:val="both"/>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lang w:val="en-US"/>
        </w:rPr>
        <w:t>d</w:t>
      </w:r>
      <w:r>
        <w:rPr>
          <w:rFonts w:ascii="Times New Roman" w:hAnsi="Times New Roman"/>
          <w:color w:val="000000"/>
          <w:sz w:val="28"/>
        </w:rPr>
        <w:t xml:space="preserve"> = (</w:t>
      </w:r>
      <w:r>
        <w:rPr>
          <w:rFonts w:ascii="Times New Roman" w:hAnsi="Times New Roman"/>
          <w:color w:val="000000"/>
          <w:sz w:val="28"/>
          <w:lang w:val="en-US"/>
        </w:rPr>
        <w:t>I</w:t>
      </w:r>
      <w:r>
        <w:rPr>
          <w:rFonts w:ascii="Times New Roman" w:hAnsi="Times New Roman"/>
          <w:color w:val="000000"/>
          <w:sz w:val="28"/>
          <w:vertAlign w:val="subscript"/>
        </w:rPr>
        <w:t>0</w:t>
      </w:r>
      <w:r>
        <w:rPr>
          <w:rFonts w:ascii="Times New Roman" w:hAnsi="Times New Roman"/>
          <w:color w:val="000000"/>
          <w:sz w:val="28"/>
        </w:rPr>
        <w:t>+[</w:t>
      </w:r>
      <w:r>
        <w:rPr>
          <w:rFonts w:ascii="Times New Roman" w:hAnsi="Times New Roman"/>
          <w:color w:val="000000"/>
          <w:sz w:val="28"/>
          <w:lang w:val="en-US"/>
        </w:rPr>
        <w:t>DCF</w:t>
      </w:r>
      <w:r>
        <w:rPr>
          <w:rFonts w:ascii="Times New Roman" w:hAnsi="Times New Roman"/>
          <w:color w:val="000000"/>
          <w:sz w:val="28"/>
          <w:vertAlign w:val="subscript"/>
        </w:rPr>
        <w:t>1</w:t>
      </w:r>
      <w:r>
        <w:rPr>
          <w:rFonts w:ascii="Times New Roman" w:hAnsi="Times New Roman"/>
          <w:color w:val="000000"/>
          <w:sz w:val="28"/>
        </w:rPr>
        <w:t>+</w:t>
      </w:r>
      <w:r>
        <w:rPr>
          <w:rFonts w:ascii="Times New Roman" w:hAnsi="Times New Roman"/>
          <w:color w:val="000000"/>
          <w:sz w:val="28"/>
          <w:lang w:val="en-US"/>
        </w:rPr>
        <w:t>DCF</w:t>
      </w:r>
      <w:r>
        <w:rPr>
          <w:rFonts w:ascii="Times New Roman" w:hAnsi="Times New Roman"/>
          <w:color w:val="000000"/>
          <w:sz w:val="28"/>
          <w:vertAlign w:val="subscript"/>
        </w:rPr>
        <w:t>2</w:t>
      </w:r>
      <w:r>
        <w:rPr>
          <w:rFonts w:ascii="Times New Roman" w:hAnsi="Times New Roman"/>
          <w:color w:val="000000"/>
          <w:sz w:val="28"/>
        </w:rPr>
        <w:t>+… +</w:t>
      </w:r>
      <w:r>
        <w:rPr>
          <w:rFonts w:ascii="Times New Roman" w:hAnsi="Times New Roman"/>
          <w:color w:val="000000"/>
          <w:sz w:val="28"/>
          <w:lang w:val="en-US"/>
        </w:rPr>
        <w:t>DCF</w:t>
      </w:r>
      <w:r>
        <w:rPr>
          <w:rFonts w:ascii="Times New Roman" w:hAnsi="Times New Roman"/>
          <w:color w:val="000000"/>
          <w:sz w:val="28"/>
          <w:vertAlign w:val="subscript"/>
          <w:lang w:val="en-US"/>
        </w:rPr>
        <w:t>j</w:t>
      </w:r>
      <w:r>
        <w:rPr>
          <w:rFonts w:ascii="Times New Roman" w:hAnsi="Times New Roman"/>
          <w:color w:val="000000"/>
          <w:sz w:val="28"/>
        </w:rPr>
        <w:t xml:space="preserve">]/ </w:t>
      </w:r>
      <w:r>
        <w:rPr>
          <w:rFonts w:ascii="Times New Roman" w:hAnsi="Times New Roman"/>
          <w:color w:val="000000"/>
          <w:sz w:val="28"/>
          <w:lang w:val="en-US"/>
        </w:rPr>
        <w:t>CF</w:t>
      </w:r>
      <w:r>
        <w:rPr>
          <w:rFonts w:ascii="Times New Roman" w:hAnsi="Times New Roman"/>
          <w:color w:val="000000"/>
          <w:sz w:val="28"/>
          <w:vertAlign w:val="subscript"/>
          <w:lang w:val="en-US"/>
        </w:rPr>
        <w:t>j</w:t>
      </w:r>
      <w:r>
        <w:rPr>
          <w:rFonts w:ascii="Times New Roman" w:hAnsi="Times New Roman"/>
          <w:color w:val="000000"/>
          <w:sz w:val="28"/>
          <w:vertAlign w:val="subscript"/>
        </w:rPr>
        <w:t>+1</w:t>
      </w:r>
    </w:p>
    <w:p w:rsidR="00624D77" w:rsidRDefault="00624D77">
      <w:pPr>
        <w:spacing w:after="0" w:line="360" w:lineRule="auto"/>
        <w:rPr>
          <w:rFonts w:ascii="Times New Roman" w:hAnsi="Times New Roman"/>
          <w:i/>
          <w:color w:val="000000"/>
          <w:sz w:val="28"/>
        </w:rPr>
      </w:pPr>
    </w:p>
    <w:p w:rsidR="00624D77" w:rsidRDefault="00624D77">
      <w:pPr>
        <w:spacing w:after="0" w:line="360" w:lineRule="auto"/>
        <w:jc w:val="center"/>
        <w:rPr>
          <w:rFonts w:ascii="Times New Roman" w:hAnsi="Times New Roman"/>
          <w:color w:val="000000"/>
          <w:sz w:val="28"/>
        </w:rPr>
      </w:pPr>
      <w:r>
        <w:rPr>
          <w:rFonts w:ascii="Times New Roman" w:hAnsi="Times New Roman"/>
          <w:i/>
          <w:color w:val="000000"/>
          <w:sz w:val="28"/>
        </w:rPr>
        <w:t>DPBP</w:t>
      </w:r>
      <w:r>
        <w:rPr>
          <w:rFonts w:ascii="Times New Roman" w:hAnsi="Times New Roman"/>
          <w:color w:val="000000"/>
          <w:sz w:val="28"/>
        </w:rPr>
        <w:t xml:space="preserve"> =</w:t>
      </w:r>
      <w:r>
        <w:rPr>
          <w:rFonts w:ascii="Times New Roman" w:hAnsi="Times New Roman"/>
          <w:color w:val="000000"/>
          <w:sz w:val="28"/>
          <w:lang w:val="en-US"/>
        </w:rPr>
        <w:t>NCF</w:t>
      </w:r>
      <w:r>
        <w:rPr>
          <w:rFonts w:ascii="Times New Roman" w:hAnsi="Times New Roman"/>
          <w:color w:val="000000"/>
          <w:sz w:val="28"/>
        </w:rPr>
        <w:t>/</w:t>
      </w:r>
      <w:r>
        <w:rPr>
          <w:rFonts w:ascii="Times New Roman" w:hAnsi="Times New Roman"/>
          <w:color w:val="000000"/>
          <w:sz w:val="28"/>
          <w:lang w:val="en-US"/>
        </w:rPr>
        <w:t>I</w:t>
      </w:r>
      <w:r>
        <w:rPr>
          <w:rFonts w:ascii="Times New Roman" w:hAnsi="Times New Roman"/>
          <w:color w:val="000000"/>
          <w:sz w:val="28"/>
          <w:vertAlign w:val="subscript"/>
        </w:rPr>
        <w:t>0</w:t>
      </w:r>
    </w:p>
    <w:p w:rsidR="00624D77" w:rsidRDefault="00624D77">
      <w:pPr>
        <w:spacing w:after="0" w:line="360" w:lineRule="auto"/>
        <w:ind w:firstLine="540"/>
        <w:jc w:val="both"/>
        <w:rPr>
          <w:rFonts w:ascii="Times New Roman" w:hAnsi="Times New Roman"/>
          <w:color w:val="000000"/>
          <w:sz w:val="28"/>
        </w:rPr>
      </w:pPr>
      <w:r>
        <w:rPr>
          <w:rFonts w:ascii="Times New Roman" w:hAnsi="Times New Roman"/>
          <w:color w:val="000000"/>
          <w:sz w:val="28"/>
        </w:rPr>
        <w:t xml:space="preserve">NCFi - чистый эффективный денежный поток на </w:t>
      </w:r>
      <w:r>
        <w:rPr>
          <w:rFonts w:ascii="Times New Roman" w:hAnsi="Times New Roman"/>
          <w:i/>
          <w:color w:val="000000"/>
          <w:sz w:val="28"/>
        </w:rPr>
        <w:t>i</w:t>
      </w:r>
      <w:r>
        <w:rPr>
          <w:rFonts w:ascii="Times New Roman" w:hAnsi="Times New Roman"/>
          <w:color w:val="000000"/>
          <w:sz w:val="28"/>
        </w:rPr>
        <w:t>-ом интервале планирования,</w:t>
      </w:r>
    </w:p>
    <w:p w:rsidR="00624D77" w:rsidRDefault="00624D77">
      <w:pPr>
        <w:spacing w:after="0" w:line="360" w:lineRule="auto"/>
        <w:ind w:firstLine="540"/>
        <w:jc w:val="both"/>
        <w:rPr>
          <w:rFonts w:ascii="Times New Roman" w:hAnsi="Times New Roman"/>
          <w:color w:val="000000"/>
          <w:sz w:val="28"/>
        </w:rPr>
      </w:pPr>
      <w:r>
        <w:rPr>
          <w:rFonts w:ascii="Times New Roman" w:hAnsi="Times New Roman"/>
          <w:color w:val="000000"/>
          <w:sz w:val="28"/>
        </w:rPr>
        <w:t>RD - ставка дисконтирования (в десятичном выражении).</w:t>
      </w:r>
    </w:p>
    <w:p w:rsidR="00624D77" w:rsidRDefault="00624D77">
      <w:pPr>
        <w:spacing w:after="0" w:line="360" w:lineRule="auto"/>
        <w:ind w:firstLine="540"/>
        <w:jc w:val="both"/>
        <w:rPr>
          <w:rFonts w:ascii="Times New Roman" w:hAnsi="Times New Roman"/>
          <w:color w:val="000000"/>
          <w:sz w:val="28"/>
        </w:rPr>
      </w:pPr>
      <w:r>
        <w:rPr>
          <w:rFonts w:ascii="Times New Roman" w:hAnsi="Times New Roman"/>
          <w:color w:val="000000"/>
          <w:sz w:val="28"/>
        </w:rPr>
        <w:t>Важнейшим из возможных вариантов интерпретации расчетной величины дисконтированного срока окупаемости является его трактовка как минимального срока погашения инвестиционного кредита, взятого в объеме полных инвестиционных затрат проекта, причем процентная ставка кредита равна ставке дисконтирования.</w:t>
      </w:r>
    </w:p>
    <w:p w:rsidR="00624D77" w:rsidRDefault="00624D77">
      <w:pPr>
        <w:pStyle w:val="a9"/>
        <w:spacing w:after="200" w:line="276" w:lineRule="auto"/>
        <w:rPr>
          <w:sz w:val="4"/>
        </w:rPr>
      </w:pPr>
      <w:r>
        <w:br w:type="page"/>
      </w:r>
    </w:p>
    <w:p w:rsidR="00624D77" w:rsidRDefault="00624D77">
      <w:pPr>
        <w:pStyle w:val="1"/>
      </w:pPr>
      <w:bookmarkStart w:id="11" w:name="_Toc273708330"/>
      <w:r>
        <w:t>Глава II. Анализ инвестирования в рыночной экономике (на примере ОАО «Промтрактор»).</w:t>
      </w:r>
      <w:bookmarkEnd w:id="11"/>
    </w:p>
    <w:p w:rsidR="00624D77" w:rsidRDefault="00624D77">
      <w:pPr>
        <w:pStyle w:val="1"/>
        <w:rPr>
          <w:sz w:val="28"/>
        </w:rPr>
      </w:pPr>
      <w:bookmarkStart w:id="12" w:name="_Toc273708331"/>
      <w:r>
        <w:rPr>
          <w:sz w:val="28"/>
        </w:rPr>
        <w:t>2.1 Анализ финансово-хозяйственной деятельности предприятия.</w:t>
      </w:r>
      <w:bookmarkEnd w:id="12"/>
    </w:p>
    <w:p w:rsidR="00624D77" w:rsidRDefault="00624D77">
      <w:pPr>
        <w:pStyle w:val="a9"/>
        <w:spacing w:line="360" w:lineRule="auto"/>
        <w:jc w:val="both"/>
        <w:rPr>
          <w:rFonts w:ascii="Times New Roman" w:hAnsi="Times New Roman"/>
          <w:sz w:val="28"/>
        </w:rPr>
      </w:pP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Открытое  акционерное   общество «Чебоксарский завод промышленных тракторов» - крупное производственное предприятие СССР и современной России по производству промышленных тракторов, один из крупнейших тракторных заводов мира второй половины XX века. ЧЗПТ — производитель тяжелой бульдозерно-рыхлительной и трубоукладочной техники для топливно-энергетического комплекса, золотодобывающей, нефтегазовой, угольной, горнорудной отраслей, строительной индустрии и дорожного хозяйства. ОАО имеет самостоятельный баланс,  расчетный,  валютный  счета. Высшим органом акционерного общества является общее собрание акционеров.  Внутренняя среда предприятия стабильна и не создает никаких барьеров в достижении целей предприятия: организационная структура включает в себя  все необходимые отделы для успешной деятельности; на  заводе  освоены  передовые технологии;  высокая  инженерно-техническая  и   организационная   культура; наличие    материального     поощрения     работников;     квалифицированный управленческий персонал.</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Внешнюю  среду  предприятия,  как  и  у  других   предприятий,   из-за</w:t>
      </w:r>
    </w:p>
    <w:p w:rsidR="00624D77" w:rsidRDefault="00624D77">
      <w:pPr>
        <w:pStyle w:val="a9"/>
        <w:spacing w:line="360" w:lineRule="auto"/>
        <w:jc w:val="both"/>
        <w:rPr>
          <w:rFonts w:ascii="Times New Roman" w:hAnsi="Times New Roman"/>
          <w:sz w:val="28"/>
        </w:rPr>
      </w:pPr>
      <w:r>
        <w:rPr>
          <w:rFonts w:ascii="Times New Roman" w:hAnsi="Times New Roman"/>
          <w:sz w:val="28"/>
        </w:rPr>
        <w:t xml:space="preserve"> экономического  положения  в  стране  можно  считать   нестабильной.   Из-за  неплатежеспособности других предприятий-покупателей приходится  работать  на предоплате.  Часто  случается,  что  заключенные  договора  расторгаются  по инициативе покупателя по каким-либо причинам, подводят и  поставщики.  Любое предприятие, независимо от сферы его деятельности  должно  вести бухгалтерскую отчетность и проводить финансовый  анализ  результатов  своей деятельности за различные периоды времени. </w:t>
      </w:r>
    </w:p>
    <w:p w:rsidR="00624D77" w:rsidRDefault="00624D77">
      <w:pPr>
        <w:pStyle w:val="a9"/>
        <w:spacing w:line="360" w:lineRule="auto"/>
        <w:jc w:val="both"/>
        <w:rPr>
          <w:rFonts w:ascii="Times New Roman" w:hAnsi="Times New Roman"/>
          <w:sz w:val="28"/>
        </w:rPr>
      </w:pPr>
      <w:r>
        <w:rPr>
          <w:rFonts w:ascii="Times New Roman" w:hAnsi="Times New Roman"/>
          <w:sz w:val="28"/>
        </w:rPr>
        <w:t xml:space="preserve">Основными нормативными документами организации бухгалтерского и налогового   учета,   отчетности    и    определения    основных    фактических </w:t>
      </w:r>
    </w:p>
    <w:p w:rsidR="00624D77" w:rsidRDefault="00624D77">
      <w:pPr>
        <w:pStyle w:val="a9"/>
        <w:spacing w:line="360" w:lineRule="auto"/>
        <w:jc w:val="both"/>
        <w:rPr>
          <w:rFonts w:ascii="Times New Roman" w:hAnsi="Times New Roman"/>
          <w:sz w:val="28"/>
        </w:rPr>
      </w:pPr>
    </w:p>
    <w:p w:rsidR="00624D77" w:rsidRDefault="00624D77">
      <w:pPr>
        <w:pStyle w:val="a9"/>
        <w:spacing w:line="360" w:lineRule="auto"/>
        <w:jc w:val="both"/>
        <w:rPr>
          <w:rFonts w:ascii="Times New Roman" w:hAnsi="Times New Roman"/>
          <w:sz w:val="4"/>
        </w:rPr>
      </w:pPr>
    </w:p>
    <w:p w:rsidR="00624D77" w:rsidRDefault="00624D77">
      <w:pPr>
        <w:pStyle w:val="a9"/>
        <w:spacing w:line="360" w:lineRule="auto"/>
        <w:jc w:val="both"/>
        <w:rPr>
          <w:rFonts w:ascii="Times New Roman" w:hAnsi="Times New Roman"/>
          <w:sz w:val="28"/>
        </w:rPr>
      </w:pPr>
      <w:r>
        <w:rPr>
          <w:rFonts w:ascii="Times New Roman" w:hAnsi="Times New Roman"/>
          <w:sz w:val="28"/>
        </w:rPr>
        <w:t>показателей финансовой деятельности общества за отчетный период являются:</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Федеральный закон «О бухгалтерском учете» №129-ФЗ от 21.11.96 г.;</w:t>
      </w:r>
    </w:p>
    <w:p w:rsidR="00624D77" w:rsidRDefault="00624D77">
      <w:pPr>
        <w:pStyle w:val="a9"/>
        <w:spacing w:line="360" w:lineRule="auto"/>
        <w:jc w:val="both"/>
        <w:rPr>
          <w:rFonts w:ascii="Times New Roman" w:hAnsi="Times New Roman"/>
          <w:sz w:val="28"/>
        </w:rPr>
      </w:pPr>
      <w:r>
        <w:rPr>
          <w:rFonts w:ascii="Times New Roman" w:hAnsi="Times New Roman"/>
          <w:sz w:val="28"/>
        </w:rPr>
        <w:t>Положения по бухгалтерскому учету: ПБУ 1/2008; ПБУ 2/2008; ПБУ 3/2006; ПБУ 4/99; ПБУ 5/2001; ПБУ 6/2001; ПБУ 7/98; ПБУ 8/01; ПБУ 9/99; ПБУ 10/99; ПБУ 11/2008; ПБУ 12/2000; ПБУ 13/2000; ПБУ 14/2007; ПБУ 15/2008; ПБУ 16/02; ПБУ 17/02; ПБУ 18/02; ПБУ 19/02; ПБУ 20/03, ПБУ 21/2008;</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Рабочий план синтетических счетов бухгалтерского учета финансово-хозяйственной деятельности ОАО «Промтрактор»;</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Положение по ведению бухгалтерского учета и бухгалтерской отчетности в Российской Федерации утвержденное приказом Минфина РФ от 29.07.98 г. №34н;</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Налоговый кодекс РФ часть первая, принят Государственной Думой 16.07.98 г., № 146-ФЗ; часть вторая, принят Государственной Думой 05.08.2000 г. №117-ФЗ;</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Коллективный договор по ОАО «Промтрактор».</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Основными итогами за 2009 год является следующее:</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Годовой оборот составил 3 521,4 млн. руб., на 51,5% меньше чем в 2008 году.</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Получен маржинальный доход в размере 1375,6 млн. руб., что на 59,3% меньше, чем в 2008 году.</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Собственный капитал на 31.12.09 г. составил 2 025,0 млн. руб., снижение за год 37,7%.</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Получен чистый убыток в объеме -1201,6 млн. рублей, коэффициент отдачи акционерного капитала снизился за год в 3,2 раза и составил -1245 руб. на 1 акцию.</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Продано 328 машин. На экспорт было реализовано 149 ед. тракторной техники на сумму 1230 млн. руб., что на 12,3% больше чем в 2008 году.</w:t>
      </w:r>
    </w:p>
    <w:p w:rsidR="00624D77" w:rsidRDefault="00624D77">
      <w:pPr>
        <w:pStyle w:val="a9"/>
        <w:spacing w:line="360" w:lineRule="auto"/>
        <w:jc w:val="both"/>
        <w:rPr>
          <w:rFonts w:ascii="Times New Roman" w:hAnsi="Times New Roman"/>
          <w:sz w:val="28"/>
        </w:rPr>
      </w:pPr>
    </w:p>
    <w:p w:rsidR="00624D77" w:rsidRDefault="00624D77">
      <w:pPr>
        <w:pStyle w:val="a9"/>
        <w:spacing w:line="360" w:lineRule="auto"/>
        <w:jc w:val="both"/>
        <w:rPr>
          <w:rFonts w:ascii="Times New Roman" w:hAnsi="Times New Roman"/>
          <w:sz w:val="28"/>
        </w:rPr>
      </w:pP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Применены новые технологические решения, позволяющие существенно сократить трудоемкость и материалоемкость изготовления (годовая экономия 2,9 млн. руб.)</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 xml:space="preserve">Средневзвешенная процентная ставка по привлеченным кредитам в 2009 году составила 16,25%, что на 6,65 п.п. выше уровня 2008 года. </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Обеспечена занятость 6052 человек со средней заработной платой 8640,6 рублей (снижение за год на 26,2%),</w:t>
      </w:r>
      <w:r>
        <w:rPr>
          <w:rFonts w:ascii="Times New Roman" w:hAnsi="Times New Roman"/>
          <w:color w:val="FF0000"/>
          <w:sz w:val="28"/>
        </w:rPr>
        <w:t xml:space="preserve"> </w:t>
      </w:r>
      <w:r>
        <w:rPr>
          <w:rFonts w:ascii="Times New Roman" w:hAnsi="Times New Roman"/>
          <w:sz w:val="28"/>
        </w:rPr>
        <w:t>ежемесячная выработка на 1 работающего ППП составила 37 780 т.р.</w:t>
      </w:r>
      <w:r>
        <w:rPr>
          <w:rFonts w:ascii="Times New Roman" w:hAnsi="Times New Roman"/>
          <w:color w:val="FF0000"/>
          <w:sz w:val="28"/>
        </w:rPr>
        <w:t xml:space="preserve"> </w:t>
      </w:r>
      <w:r>
        <w:rPr>
          <w:rFonts w:ascii="Times New Roman" w:hAnsi="Times New Roman"/>
          <w:sz w:val="28"/>
        </w:rPr>
        <w:t>(снижение на 55%).</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Снизилась доля вспомогательных рабочих и РСиС в общей численности до уровня 58,8%, в 2008 году – 61,3%.</w:t>
      </w:r>
    </w:p>
    <w:p w:rsidR="00624D77" w:rsidRDefault="00624D77">
      <w:pPr>
        <w:pStyle w:val="a9"/>
        <w:spacing w:line="360" w:lineRule="auto"/>
        <w:ind w:firstLine="567"/>
        <w:jc w:val="both"/>
        <w:rPr>
          <w:rFonts w:ascii="Times New Roman" w:hAnsi="Times New Roman"/>
          <w:sz w:val="28"/>
        </w:rPr>
      </w:pPr>
      <w:r>
        <w:rPr>
          <w:rFonts w:ascii="Times New Roman" w:hAnsi="Times New Roman"/>
          <w:sz w:val="28"/>
        </w:rPr>
        <w:t>Оплачено налогов во все уровни бюджетов 217,8 млн. рублей, 190,3 млн. руб. оплачено во внебюджетные фонды, снижение по сравнению с 2008 годом составило 76,0% и 28,6% соответственно.</w:t>
      </w:r>
    </w:p>
    <w:p w:rsidR="00624D77" w:rsidRDefault="00624D77">
      <w:pPr>
        <w:pStyle w:val="a7"/>
      </w:pPr>
    </w:p>
    <w:p w:rsidR="00624D77" w:rsidRDefault="00624D77">
      <w:pPr>
        <w:pStyle w:val="a7"/>
      </w:pPr>
    </w:p>
    <w:p w:rsidR="00624D77" w:rsidRDefault="00624D77">
      <w:pPr>
        <w:pStyle w:val="a7"/>
      </w:pPr>
    </w:p>
    <w:p w:rsidR="00624D77" w:rsidRDefault="00624D77">
      <w:pPr>
        <w:pStyle w:val="1"/>
      </w:pPr>
    </w:p>
    <w:p w:rsidR="00624D77" w:rsidRDefault="00624D77">
      <w:pPr>
        <w:pStyle w:val="1"/>
      </w:pPr>
    </w:p>
    <w:p w:rsidR="00624D77" w:rsidRDefault="00624D77">
      <w:pPr>
        <w:pStyle w:val="1"/>
      </w:pPr>
    </w:p>
    <w:p w:rsidR="00624D77" w:rsidRDefault="00624D77">
      <w:pPr>
        <w:pStyle w:val="1"/>
      </w:pPr>
    </w:p>
    <w:p w:rsidR="00624D77" w:rsidRDefault="00624D77">
      <w:pPr>
        <w:pStyle w:val="1"/>
      </w:pPr>
    </w:p>
    <w:p w:rsidR="00624D77" w:rsidRDefault="00624D77">
      <w:pPr>
        <w:pStyle w:val="1"/>
      </w:pPr>
    </w:p>
    <w:p w:rsidR="00624D77" w:rsidRDefault="00624D77">
      <w:pPr>
        <w:pStyle w:val="1"/>
      </w:pPr>
    </w:p>
    <w:p w:rsidR="00624D77" w:rsidRDefault="00624D77">
      <w:pPr>
        <w:pStyle w:val="1"/>
      </w:pPr>
    </w:p>
    <w:p w:rsidR="00624D77" w:rsidRDefault="00624D77">
      <w:pPr>
        <w:pStyle w:val="1"/>
      </w:pPr>
    </w:p>
    <w:p w:rsidR="00624D77" w:rsidRDefault="00624D77">
      <w:pPr>
        <w:pStyle w:val="1"/>
      </w:pPr>
    </w:p>
    <w:p w:rsidR="00624D77" w:rsidRDefault="00624D77">
      <w:pPr>
        <w:pStyle w:val="1"/>
      </w:pPr>
    </w:p>
    <w:p w:rsidR="00624D77" w:rsidRDefault="00624D77">
      <w:pPr>
        <w:pStyle w:val="1"/>
      </w:pPr>
    </w:p>
    <w:p w:rsidR="00624D77" w:rsidRDefault="00624D77">
      <w:pPr>
        <w:pStyle w:val="1"/>
      </w:pPr>
    </w:p>
    <w:p w:rsidR="00624D77" w:rsidRDefault="00624D77">
      <w:pPr>
        <w:pStyle w:val="1"/>
        <w:rPr>
          <w:sz w:val="4"/>
        </w:rPr>
      </w:pPr>
    </w:p>
    <w:p w:rsidR="00624D77" w:rsidRDefault="00624D77">
      <w:pPr>
        <w:pStyle w:val="1"/>
        <w:rPr>
          <w:sz w:val="28"/>
        </w:rPr>
      </w:pPr>
      <w:bookmarkStart w:id="13" w:name="_Toc273708332"/>
      <w:r>
        <w:rPr>
          <w:sz w:val="28"/>
        </w:rPr>
        <w:t>2.2 Практическая часть.</w:t>
      </w:r>
      <w:bookmarkEnd w:id="13"/>
    </w:p>
    <w:p w:rsidR="00624D77" w:rsidRDefault="00624D77">
      <w:pPr>
        <w:pStyle w:val="1"/>
      </w:pPr>
    </w:p>
    <w:p w:rsidR="00624D77" w:rsidRDefault="00624D77">
      <w:pPr>
        <w:pStyle w:val="32"/>
      </w:pPr>
      <w:r>
        <w:t>Предприятие должно выбрать одну из двух станков, которые выполняют одни и те же операции, но имеют различный срок службы. Затраты на приобретение и эксплуатацию станков следующие:</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3544"/>
        <w:gridCol w:w="4217"/>
      </w:tblGrid>
      <w:tr w:rsidR="00624D77">
        <w:tc>
          <w:tcPr>
            <w:tcW w:w="1809" w:type="dxa"/>
          </w:tcPr>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r>
              <w:rPr>
                <w:rFonts w:ascii="Times New Roman" w:hAnsi="Times New Roman"/>
                <w:sz w:val="28"/>
              </w:rPr>
              <w:t>Год</w:t>
            </w:r>
          </w:p>
        </w:tc>
        <w:tc>
          <w:tcPr>
            <w:tcW w:w="3544" w:type="dxa"/>
          </w:tcPr>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r>
              <w:rPr>
                <w:rFonts w:ascii="Times New Roman" w:hAnsi="Times New Roman"/>
                <w:sz w:val="28"/>
              </w:rPr>
              <w:t>Машина А</w:t>
            </w:r>
          </w:p>
        </w:tc>
        <w:tc>
          <w:tcPr>
            <w:tcW w:w="4217" w:type="dxa"/>
          </w:tcPr>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r>
              <w:rPr>
                <w:rFonts w:ascii="Times New Roman" w:hAnsi="Times New Roman"/>
                <w:sz w:val="28"/>
              </w:rPr>
              <w:t>Машина Б</w:t>
            </w:r>
          </w:p>
        </w:tc>
      </w:tr>
      <w:tr w:rsidR="00624D77">
        <w:tc>
          <w:tcPr>
            <w:tcW w:w="1809" w:type="dxa"/>
          </w:tcPr>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r>
              <w:rPr>
                <w:rFonts w:ascii="Times New Roman" w:hAnsi="Times New Roman"/>
                <w:sz w:val="28"/>
              </w:rPr>
              <w:t>0</w:t>
            </w:r>
          </w:p>
        </w:tc>
        <w:tc>
          <w:tcPr>
            <w:tcW w:w="3544" w:type="dxa"/>
            <w:vAlign w:val="center"/>
          </w:tcPr>
          <w:p w:rsidR="00624D77" w:rsidRDefault="00624D77">
            <w:pPr>
              <w:spacing w:after="0" w:line="240" w:lineRule="auto"/>
              <w:jc w:val="center"/>
              <w:rPr>
                <w:rFonts w:ascii="Times New Roman" w:hAnsi="Times New Roman"/>
                <w:sz w:val="28"/>
              </w:rPr>
            </w:pPr>
            <w:r>
              <w:rPr>
                <w:rFonts w:ascii="Times New Roman" w:hAnsi="Times New Roman"/>
                <w:sz w:val="28"/>
              </w:rPr>
              <w:t>40 000</w:t>
            </w:r>
          </w:p>
        </w:tc>
        <w:tc>
          <w:tcPr>
            <w:tcW w:w="4217" w:type="dxa"/>
            <w:vAlign w:val="center"/>
          </w:tcPr>
          <w:p w:rsidR="00624D77" w:rsidRDefault="00624D77">
            <w:pPr>
              <w:spacing w:after="0" w:line="240" w:lineRule="auto"/>
              <w:jc w:val="center"/>
              <w:rPr>
                <w:rFonts w:ascii="Times New Roman" w:hAnsi="Times New Roman"/>
                <w:sz w:val="28"/>
              </w:rPr>
            </w:pPr>
            <w:r>
              <w:rPr>
                <w:rFonts w:ascii="Times New Roman" w:hAnsi="Times New Roman"/>
                <w:sz w:val="28"/>
              </w:rPr>
              <w:t>50 000</w:t>
            </w:r>
          </w:p>
        </w:tc>
      </w:tr>
      <w:tr w:rsidR="00624D77">
        <w:tc>
          <w:tcPr>
            <w:tcW w:w="1809" w:type="dxa"/>
          </w:tcPr>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r>
              <w:rPr>
                <w:rFonts w:ascii="Times New Roman" w:hAnsi="Times New Roman"/>
                <w:sz w:val="28"/>
              </w:rPr>
              <w:t>1</w:t>
            </w:r>
          </w:p>
        </w:tc>
        <w:tc>
          <w:tcPr>
            <w:tcW w:w="3544" w:type="dxa"/>
            <w:vAlign w:val="center"/>
          </w:tcPr>
          <w:p w:rsidR="00624D77" w:rsidRDefault="00624D77">
            <w:pPr>
              <w:spacing w:after="0" w:line="240" w:lineRule="auto"/>
              <w:jc w:val="center"/>
              <w:rPr>
                <w:rFonts w:ascii="Times New Roman" w:hAnsi="Times New Roman"/>
                <w:sz w:val="28"/>
              </w:rPr>
            </w:pPr>
            <w:r>
              <w:rPr>
                <w:rFonts w:ascii="Times New Roman" w:hAnsi="Times New Roman"/>
                <w:sz w:val="28"/>
              </w:rPr>
              <w:t>10 000</w:t>
            </w:r>
          </w:p>
        </w:tc>
        <w:tc>
          <w:tcPr>
            <w:tcW w:w="4217" w:type="dxa"/>
            <w:vAlign w:val="center"/>
          </w:tcPr>
          <w:p w:rsidR="00624D77" w:rsidRDefault="00624D77">
            <w:pPr>
              <w:spacing w:after="0" w:line="240" w:lineRule="auto"/>
              <w:jc w:val="center"/>
              <w:rPr>
                <w:rFonts w:ascii="Times New Roman" w:hAnsi="Times New Roman"/>
                <w:sz w:val="28"/>
              </w:rPr>
            </w:pPr>
            <w:r>
              <w:rPr>
                <w:rFonts w:ascii="Times New Roman" w:hAnsi="Times New Roman"/>
                <w:sz w:val="28"/>
              </w:rPr>
              <w:t>8 000</w:t>
            </w:r>
          </w:p>
        </w:tc>
      </w:tr>
      <w:tr w:rsidR="00624D77">
        <w:tc>
          <w:tcPr>
            <w:tcW w:w="1809" w:type="dxa"/>
          </w:tcPr>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r>
              <w:rPr>
                <w:rFonts w:ascii="Times New Roman" w:hAnsi="Times New Roman"/>
                <w:sz w:val="28"/>
              </w:rPr>
              <w:t>2</w:t>
            </w:r>
          </w:p>
        </w:tc>
        <w:tc>
          <w:tcPr>
            <w:tcW w:w="3544" w:type="dxa"/>
            <w:vAlign w:val="center"/>
          </w:tcPr>
          <w:p w:rsidR="00624D77" w:rsidRDefault="00624D77">
            <w:pPr>
              <w:spacing w:after="0" w:line="240" w:lineRule="auto"/>
              <w:jc w:val="center"/>
              <w:rPr>
                <w:rFonts w:ascii="Times New Roman" w:hAnsi="Times New Roman"/>
                <w:sz w:val="28"/>
              </w:rPr>
            </w:pPr>
            <w:r>
              <w:rPr>
                <w:rFonts w:ascii="Times New Roman" w:hAnsi="Times New Roman"/>
                <w:sz w:val="28"/>
              </w:rPr>
              <w:t>10 000</w:t>
            </w:r>
          </w:p>
        </w:tc>
        <w:tc>
          <w:tcPr>
            <w:tcW w:w="4217" w:type="dxa"/>
            <w:vAlign w:val="center"/>
          </w:tcPr>
          <w:p w:rsidR="00624D77" w:rsidRDefault="00624D77">
            <w:pPr>
              <w:spacing w:after="0" w:line="240" w:lineRule="auto"/>
              <w:jc w:val="center"/>
              <w:rPr>
                <w:rFonts w:ascii="Times New Roman" w:hAnsi="Times New Roman"/>
                <w:sz w:val="28"/>
              </w:rPr>
            </w:pPr>
            <w:r>
              <w:rPr>
                <w:rFonts w:ascii="Times New Roman" w:hAnsi="Times New Roman"/>
                <w:sz w:val="28"/>
              </w:rPr>
              <w:t>8 000</w:t>
            </w:r>
          </w:p>
        </w:tc>
      </w:tr>
      <w:tr w:rsidR="00624D77">
        <w:tc>
          <w:tcPr>
            <w:tcW w:w="1809" w:type="dxa"/>
          </w:tcPr>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r>
              <w:rPr>
                <w:rFonts w:ascii="Times New Roman" w:hAnsi="Times New Roman"/>
                <w:sz w:val="28"/>
              </w:rPr>
              <w:t>3</w:t>
            </w:r>
          </w:p>
        </w:tc>
        <w:tc>
          <w:tcPr>
            <w:tcW w:w="3544" w:type="dxa"/>
            <w:vAlign w:val="center"/>
          </w:tcPr>
          <w:p w:rsidR="00624D77" w:rsidRDefault="00624D77">
            <w:pPr>
              <w:spacing w:after="0" w:line="240" w:lineRule="auto"/>
              <w:jc w:val="center"/>
              <w:rPr>
                <w:rFonts w:ascii="Times New Roman" w:hAnsi="Times New Roman"/>
                <w:sz w:val="28"/>
              </w:rPr>
            </w:pPr>
            <w:r>
              <w:rPr>
                <w:rFonts w:ascii="Times New Roman" w:hAnsi="Times New Roman"/>
                <w:sz w:val="28"/>
              </w:rPr>
              <w:t>10 000 + замена</w:t>
            </w:r>
          </w:p>
        </w:tc>
        <w:tc>
          <w:tcPr>
            <w:tcW w:w="4217" w:type="dxa"/>
            <w:vAlign w:val="center"/>
          </w:tcPr>
          <w:p w:rsidR="00624D77" w:rsidRDefault="00624D77">
            <w:pPr>
              <w:spacing w:after="0" w:line="240" w:lineRule="auto"/>
              <w:jc w:val="center"/>
              <w:rPr>
                <w:rFonts w:ascii="Times New Roman" w:hAnsi="Times New Roman"/>
                <w:sz w:val="28"/>
              </w:rPr>
            </w:pPr>
            <w:r>
              <w:rPr>
                <w:rFonts w:ascii="Times New Roman" w:hAnsi="Times New Roman"/>
                <w:sz w:val="28"/>
              </w:rPr>
              <w:t>8 000</w:t>
            </w:r>
          </w:p>
        </w:tc>
      </w:tr>
      <w:tr w:rsidR="00624D77">
        <w:tc>
          <w:tcPr>
            <w:tcW w:w="1809" w:type="dxa"/>
          </w:tcPr>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r>
              <w:rPr>
                <w:rFonts w:ascii="Times New Roman" w:hAnsi="Times New Roman"/>
                <w:sz w:val="28"/>
              </w:rPr>
              <w:t>4</w:t>
            </w:r>
          </w:p>
        </w:tc>
        <w:tc>
          <w:tcPr>
            <w:tcW w:w="3544" w:type="dxa"/>
          </w:tcPr>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p>
        </w:tc>
        <w:tc>
          <w:tcPr>
            <w:tcW w:w="4217" w:type="dxa"/>
            <w:vAlign w:val="center"/>
          </w:tcPr>
          <w:p w:rsidR="00624D77" w:rsidRDefault="00624D77">
            <w:pPr>
              <w:spacing w:after="0" w:line="240" w:lineRule="auto"/>
              <w:jc w:val="center"/>
              <w:rPr>
                <w:rFonts w:ascii="Times New Roman" w:hAnsi="Times New Roman"/>
                <w:sz w:val="28"/>
              </w:rPr>
            </w:pPr>
            <w:r>
              <w:rPr>
                <w:rFonts w:ascii="Times New Roman" w:hAnsi="Times New Roman"/>
                <w:sz w:val="28"/>
              </w:rPr>
              <w:t>8 000 + замена</w:t>
            </w:r>
          </w:p>
        </w:tc>
      </w:tr>
    </w:tbl>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20"/>
        </w:rPr>
      </w:pP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Затраты приводятся в реальном выражении.</w:t>
      </w:r>
    </w:p>
    <w:p w:rsidR="00624D77" w:rsidRDefault="00624D77">
      <w:pPr>
        <w:pStyle w:val="a9"/>
        <w:numPr>
          <w:ilvl w:val="0"/>
          <w:numId w:val="11"/>
        </w:numPr>
        <w:tabs>
          <w:tab w:val="left" w:pos="851"/>
        </w:tabs>
        <w:spacing w:line="360" w:lineRule="auto"/>
        <w:ind w:left="0" w:firstLine="567"/>
        <w:jc w:val="both"/>
        <w:rPr>
          <w:rFonts w:ascii="Times New Roman" w:hAnsi="Times New Roman"/>
          <w:sz w:val="28"/>
        </w:rPr>
      </w:pPr>
      <w:r>
        <w:rPr>
          <w:rFonts w:ascii="Times New Roman" w:hAnsi="Times New Roman"/>
          <w:sz w:val="28"/>
        </w:rPr>
        <w:t>Предположим, что вы финансовый менеджер предприятия. Если вы приобрели тот или другой станок, затем отдали ее в аренду управляющему производством на весь срок службы станка, какую арендную плату вы можете назначить? Допустим, что ставка дисконта равна 6% и налоги не принимаются во внимание.</w:t>
      </w:r>
    </w:p>
    <w:p w:rsidR="00624D77" w:rsidRDefault="00624D77">
      <w:pPr>
        <w:pStyle w:val="a9"/>
        <w:tabs>
          <w:tab w:val="left" w:pos="851"/>
        </w:tabs>
        <w:spacing w:line="360" w:lineRule="auto"/>
        <w:ind w:firstLine="567"/>
        <w:jc w:val="both"/>
        <w:rPr>
          <w:rFonts w:ascii="Times New Roman" w:hAnsi="Times New Roman"/>
          <w:sz w:val="28"/>
        </w:rPr>
      </w:pPr>
      <w:r>
        <w:rPr>
          <w:rFonts w:ascii="Times New Roman" w:hAnsi="Times New Roman"/>
          <w:sz w:val="28"/>
        </w:rPr>
        <w:t>2. Какой станок следует купить предприятию?</w:t>
      </w:r>
    </w:p>
    <w:p w:rsidR="00624D77" w:rsidRDefault="00624D77">
      <w:pPr>
        <w:pStyle w:val="a9"/>
        <w:tabs>
          <w:tab w:val="left" w:pos="851"/>
        </w:tabs>
        <w:spacing w:line="360" w:lineRule="auto"/>
        <w:ind w:firstLine="567"/>
        <w:jc w:val="both"/>
        <w:rPr>
          <w:rFonts w:ascii="Times New Roman" w:hAnsi="Times New Roman"/>
          <w:sz w:val="28"/>
        </w:rPr>
      </w:pPr>
      <w:r>
        <w:rPr>
          <w:rFonts w:ascii="Times New Roman" w:hAnsi="Times New Roman"/>
          <w:sz w:val="28"/>
        </w:rPr>
        <w:t>3. Обычная арендная плата, устанавливается на основе расчета и интерпретации равномерных годовых затрат. Предположим, вы действительно купили один из станков и отдали ее в аренду управляющему производством. Какую ежегодную арендную плату вы можете устанавливать на будущее, если темп инфляции составляет 8% в год? (Замечание: арендная плата представляет собой реальные потоки денежных средств. Необходимо скорректировать величину арендной платы с учетом прогноза инфляции).</w:t>
      </w:r>
    </w:p>
    <w:p w:rsidR="00624D77" w:rsidRDefault="00624D77">
      <w:pPr>
        <w:jc w:val="both"/>
        <w:rPr>
          <w:rFonts w:ascii="Times New Roman" w:hAnsi="Times New Roman"/>
          <w:sz w:val="28"/>
        </w:rPr>
      </w:pPr>
      <w:r>
        <w:rPr>
          <w:rFonts w:ascii="Times New Roman" w:hAnsi="Times New Roman"/>
          <w:sz w:val="28"/>
        </w:rPr>
        <w:t>Решение:</w:t>
      </w:r>
    </w:p>
    <w:p w:rsidR="00624D77" w:rsidRDefault="00624D77">
      <w:pPr>
        <w:numPr>
          <w:ilvl w:val="0"/>
          <w:numId w:val="12"/>
        </w:numPr>
        <w:tabs>
          <w:tab w:val="left" w:pos="851"/>
        </w:tabs>
        <w:ind w:left="0" w:firstLine="567"/>
        <w:jc w:val="both"/>
        <w:rPr>
          <w:rFonts w:ascii="Times New Roman" w:hAnsi="Times New Roman"/>
          <w:sz w:val="28"/>
        </w:rPr>
      </w:pPr>
      <w:r>
        <w:rPr>
          <w:rFonts w:ascii="Times New Roman" w:hAnsi="Times New Roman"/>
          <w:sz w:val="28"/>
        </w:rPr>
        <w:t>Рассчитаем величину NPV для каждого из проектов:</w:t>
      </w:r>
    </w:p>
    <w:p w:rsidR="00624D77" w:rsidRDefault="00C81D7E">
      <w:pPr>
        <w:jc w:val="center"/>
        <w:rPr>
          <w:rFonts w:ascii="Times New Roman" w:hAnsi="Times New Roman"/>
          <w:sz w:val="28"/>
        </w:rPr>
      </w:pPr>
      <w:r>
        <w:rPr>
          <w:rFonts w:ascii="Times New Roman" w:hAnsi="Times New Roman"/>
          <w:sz w:val="28"/>
          <w:vertAlign w:val="subscript"/>
        </w:rPr>
        <w:pict>
          <v:shape id="_x0000_i1058" type="#_x0000_t75" style="width:111pt;height:35.25pt">
            <v:imagedata r:id="rId8" o:title=""/>
          </v:shape>
        </w:pict>
      </w:r>
      <w:r w:rsidR="00624D77">
        <w:rPr>
          <w:rFonts w:ascii="Times New Roman" w:hAnsi="Times New Roman"/>
          <w:sz w:val="28"/>
        </w:rPr>
        <w:t xml:space="preserve">       или     </w:t>
      </w:r>
      <w:r>
        <w:rPr>
          <w:rFonts w:ascii="Times New Roman" w:hAnsi="Times New Roman"/>
          <w:sz w:val="28"/>
          <w:vertAlign w:val="subscript"/>
        </w:rPr>
        <w:pict>
          <v:shape id="_x0000_i1061" type="#_x0000_t75" style="width:152.25pt;height:35.25pt">
            <v:imagedata r:id="rId13" o:title=""/>
          </v:shape>
        </w:pict>
      </w:r>
      <w:r w:rsidR="00624D77">
        <w:rPr>
          <w:rFonts w:ascii="Times New Roman" w:hAnsi="Times New Roman"/>
          <w:sz w:val="28"/>
        </w:rPr>
        <w:t>,</w:t>
      </w:r>
    </w:p>
    <w:p w:rsidR="00624D77" w:rsidRDefault="00624D77">
      <w:pPr>
        <w:pStyle w:val="32"/>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pPr>
      <w:r>
        <w:t>Необходимо, чтобы NPV была больше 0, следовательно, нужно, чтобы:</w:t>
      </w:r>
    </w:p>
    <w:p w:rsidR="00624D77" w:rsidRDefault="00C81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sz w:val="20"/>
        </w:rPr>
      </w:pPr>
      <w:r>
        <w:rPr>
          <w:rFonts w:ascii="Courier New" w:hAnsi="Courier New"/>
          <w:sz w:val="20"/>
          <w:vertAlign w:val="subscript"/>
        </w:rPr>
        <w:pict>
          <v:shape id="_x0000_i1064" type="#_x0000_t75" style="width:125.25pt;height:35.25pt">
            <v:imagedata r:id="rId14" o:title=""/>
          </v:shape>
        </w:pict>
      </w:r>
      <w:r w:rsidR="00624D77">
        <w:rPr>
          <w:rFonts w:ascii="Courier New" w:hAnsi="Courier New"/>
          <w:sz w:val="20"/>
        </w:rPr>
        <w:t>,</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8"/>
        </w:rPr>
      </w:pPr>
      <w:r>
        <w:rPr>
          <w:rFonts w:ascii="Times New Roman" w:hAnsi="Times New Roman"/>
          <w:sz w:val="28"/>
        </w:rPr>
        <w:t>для проекта А:</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p>
    <w:p w:rsidR="00624D77" w:rsidRDefault="00624D77">
      <w:pPr>
        <w:pStyle w:val="a9"/>
        <w:rPr>
          <w:rFonts w:ascii="Times New Roman" w:hAnsi="Times New Roman"/>
          <w:sz w:val="28"/>
        </w:rPr>
      </w:pPr>
      <w:r>
        <w:rPr>
          <w:rFonts w:ascii="Times New Roman" w:hAnsi="Times New Roman"/>
          <w:sz w:val="28"/>
        </w:rPr>
        <w:t xml:space="preserve">                10000          10000           10000         </w:t>
      </w:r>
    </w:p>
    <w:p w:rsidR="00624D77" w:rsidRDefault="00624D77">
      <w:pPr>
        <w:pStyle w:val="a9"/>
        <w:rPr>
          <w:rFonts w:ascii="Times New Roman" w:hAnsi="Times New Roman"/>
          <w:sz w:val="28"/>
        </w:rPr>
      </w:pPr>
      <w:r>
        <w:rPr>
          <w:rFonts w:ascii="Times New Roman" w:hAnsi="Times New Roman"/>
          <w:sz w:val="28"/>
        </w:rPr>
        <w:t xml:space="preserve">40000 + </w:t>
      </w:r>
      <w:r>
        <w:rPr>
          <w:rFonts w:ascii="Times New Roman" w:hAnsi="Times New Roman"/>
          <w:strike/>
          <w:sz w:val="28"/>
        </w:rPr>
        <w:t xml:space="preserve">               </w:t>
      </w:r>
      <w:r>
        <w:rPr>
          <w:rFonts w:ascii="Times New Roman" w:hAnsi="Times New Roman"/>
          <w:sz w:val="28"/>
        </w:rPr>
        <w:t xml:space="preserve"> +  </w:t>
      </w:r>
      <w:r>
        <w:rPr>
          <w:rFonts w:ascii="Times New Roman" w:hAnsi="Times New Roman"/>
          <w:strike/>
          <w:sz w:val="28"/>
        </w:rPr>
        <w:t xml:space="preserve">               </w:t>
      </w:r>
      <w:r>
        <w:rPr>
          <w:rFonts w:ascii="Times New Roman" w:hAnsi="Times New Roman"/>
          <w:sz w:val="28"/>
        </w:rPr>
        <w:t xml:space="preserve"> +   </w:t>
      </w:r>
      <w:r>
        <w:rPr>
          <w:rFonts w:ascii="Times New Roman" w:hAnsi="Times New Roman"/>
          <w:strike/>
          <w:sz w:val="28"/>
        </w:rPr>
        <w:t xml:space="preserve">                </w:t>
      </w:r>
      <w:r>
        <w:rPr>
          <w:rFonts w:ascii="Times New Roman" w:hAnsi="Times New Roman"/>
          <w:sz w:val="28"/>
        </w:rPr>
        <w:t xml:space="preserve"> = 40000+9433,96+8899,96+8396,2 =</w:t>
      </w:r>
    </w:p>
    <w:p w:rsidR="00624D77" w:rsidRDefault="00624D77">
      <w:pPr>
        <w:pStyle w:val="a9"/>
        <w:rPr>
          <w:rFonts w:ascii="Times New Roman" w:hAnsi="Times New Roman"/>
          <w:sz w:val="28"/>
        </w:rPr>
      </w:pPr>
      <w:r>
        <w:rPr>
          <w:rFonts w:ascii="Times New Roman" w:hAnsi="Times New Roman"/>
          <w:sz w:val="28"/>
        </w:rPr>
        <w:t xml:space="preserve">              (1+0,06)</w:t>
      </w:r>
      <w:r>
        <w:rPr>
          <w:rFonts w:ascii="Times New Roman" w:hAnsi="Times New Roman"/>
          <w:sz w:val="28"/>
          <w:vertAlign w:val="superscript"/>
        </w:rPr>
        <w:t>1</w:t>
      </w:r>
      <w:r>
        <w:rPr>
          <w:rFonts w:ascii="Times New Roman" w:hAnsi="Times New Roman"/>
          <w:sz w:val="28"/>
        </w:rPr>
        <w:t xml:space="preserve">     (1+0,06)</w:t>
      </w:r>
      <w:r>
        <w:rPr>
          <w:rFonts w:ascii="Times New Roman" w:hAnsi="Times New Roman"/>
          <w:sz w:val="28"/>
          <w:vertAlign w:val="superscript"/>
        </w:rPr>
        <w:t>2</w:t>
      </w:r>
      <w:r>
        <w:rPr>
          <w:rFonts w:ascii="Times New Roman" w:hAnsi="Times New Roman"/>
          <w:sz w:val="28"/>
        </w:rPr>
        <w:t xml:space="preserve">     (1+0,06)</w:t>
      </w:r>
      <w:r>
        <w:rPr>
          <w:rFonts w:ascii="Times New Roman" w:hAnsi="Times New Roman"/>
          <w:sz w:val="28"/>
          <w:vertAlign w:val="superscript"/>
        </w:rPr>
        <w:t>3</w:t>
      </w:r>
      <w:r>
        <w:rPr>
          <w:rFonts w:ascii="Times New Roman" w:hAnsi="Times New Roman"/>
          <w:sz w:val="28"/>
        </w:rPr>
        <w:t xml:space="preserve">     </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 xml:space="preserve">= 66730,12      </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 xml:space="preserve"> </w:t>
      </w:r>
    </w:p>
    <w:p w:rsidR="00624D77" w:rsidRDefault="00624D77">
      <w:pPr>
        <w:pStyle w:val="32"/>
      </w:pPr>
      <w:r>
        <w:t>Т.о. дисконтированная величина арендной платы для машины А должна быть больше, чем 66730,12 руб. за 3 года или 22243,37 руб. в год.</w:t>
      </w:r>
    </w:p>
    <w:p w:rsidR="00624D77" w:rsidRDefault="00624D77">
      <w:pPr>
        <w:pStyle w:val="32"/>
      </w:pPr>
      <w:r>
        <w:t>Для проекта Б:</w:t>
      </w:r>
    </w:p>
    <w:p w:rsidR="00624D77" w:rsidRDefault="00624D77">
      <w:pPr>
        <w:pStyle w:val="a9"/>
        <w:jc w:val="both"/>
        <w:rPr>
          <w:rFonts w:ascii="Times New Roman" w:hAnsi="Times New Roman"/>
          <w:sz w:val="28"/>
        </w:rPr>
      </w:pPr>
      <w:r>
        <w:rPr>
          <w:rFonts w:ascii="Times New Roman" w:hAnsi="Times New Roman"/>
          <w:sz w:val="28"/>
        </w:rPr>
        <w:t xml:space="preserve">                      8000         8000           8000            8000</w:t>
      </w:r>
    </w:p>
    <w:p w:rsidR="00624D77" w:rsidRDefault="00624D77">
      <w:pPr>
        <w:pStyle w:val="a9"/>
        <w:jc w:val="both"/>
        <w:rPr>
          <w:rFonts w:ascii="Times New Roman" w:hAnsi="Times New Roman"/>
          <w:sz w:val="28"/>
        </w:rPr>
      </w:pPr>
      <w:r>
        <w:rPr>
          <w:rFonts w:ascii="Times New Roman" w:hAnsi="Times New Roman"/>
          <w:sz w:val="28"/>
        </w:rPr>
        <w:t xml:space="preserve">     50000 +  </w:t>
      </w:r>
      <w:r>
        <w:rPr>
          <w:rFonts w:ascii="Times New Roman" w:hAnsi="Times New Roman"/>
          <w:strike/>
          <w:sz w:val="28"/>
        </w:rPr>
        <w:t xml:space="preserve">            </w:t>
      </w:r>
      <w:r>
        <w:rPr>
          <w:rFonts w:ascii="Times New Roman" w:hAnsi="Times New Roman"/>
          <w:sz w:val="28"/>
        </w:rPr>
        <w:t xml:space="preserve"> +  </w:t>
      </w:r>
      <w:r>
        <w:rPr>
          <w:rFonts w:ascii="Times New Roman" w:hAnsi="Times New Roman"/>
          <w:strike/>
          <w:sz w:val="28"/>
        </w:rPr>
        <w:t xml:space="preserve">              </w:t>
      </w:r>
      <w:r>
        <w:rPr>
          <w:rFonts w:ascii="Times New Roman" w:hAnsi="Times New Roman"/>
          <w:sz w:val="28"/>
        </w:rPr>
        <w:t xml:space="preserve">  + </w:t>
      </w:r>
      <w:r>
        <w:rPr>
          <w:rFonts w:ascii="Times New Roman" w:hAnsi="Times New Roman"/>
          <w:strike/>
          <w:sz w:val="28"/>
        </w:rPr>
        <w:t xml:space="preserve">               </w:t>
      </w:r>
      <w:r>
        <w:rPr>
          <w:rFonts w:ascii="Times New Roman" w:hAnsi="Times New Roman"/>
          <w:sz w:val="28"/>
        </w:rPr>
        <w:t xml:space="preserve">  +  </w:t>
      </w:r>
      <w:r>
        <w:rPr>
          <w:rFonts w:ascii="Times New Roman" w:hAnsi="Times New Roman"/>
          <w:strike/>
          <w:sz w:val="28"/>
        </w:rPr>
        <w:t xml:space="preserve">             </w:t>
      </w:r>
      <w:r>
        <w:rPr>
          <w:rFonts w:ascii="Times New Roman" w:hAnsi="Times New Roman"/>
          <w:sz w:val="28"/>
        </w:rPr>
        <w:t xml:space="preserve">   = 50000+7547,17+</w:t>
      </w:r>
    </w:p>
    <w:p w:rsidR="00624D77" w:rsidRDefault="00624D77">
      <w:pPr>
        <w:pStyle w:val="a9"/>
        <w:jc w:val="both"/>
        <w:rPr>
          <w:rFonts w:ascii="Times New Roman" w:hAnsi="Times New Roman"/>
          <w:sz w:val="28"/>
        </w:rPr>
      </w:pPr>
      <w:r>
        <w:rPr>
          <w:rFonts w:ascii="Times New Roman" w:hAnsi="Times New Roman"/>
          <w:sz w:val="28"/>
        </w:rPr>
        <w:t xml:space="preserve">                   (1+0,06)</w:t>
      </w:r>
      <w:r>
        <w:rPr>
          <w:rFonts w:ascii="Times New Roman" w:hAnsi="Times New Roman"/>
          <w:sz w:val="28"/>
          <w:vertAlign w:val="superscript"/>
        </w:rPr>
        <w:t>1</w:t>
      </w:r>
      <w:r>
        <w:rPr>
          <w:rFonts w:ascii="Times New Roman" w:hAnsi="Times New Roman"/>
          <w:sz w:val="28"/>
        </w:rPr>
        <w:t xml:space="preserve">  (1+0,06)</w:t>
      </w:r>
      <w:r>
        <w:rPr>
          <w:rFonts w:ascii="Times New Roman" w:hAnsi="Times New Roman"/>
          <w:sz w:val="28"/>
          <w:vertAlign w:val="superscript"/>
        </w:rPr>
        <w:t>2</w:t>
      </w:r>
      <w:r>
        <w:rPr>
          <w:rFonts w:ascii="Times New Roman" w:hAnsi="Times New Roman"/>
          <w:sz w:val="28"/>
        </w:rPr>
        <w:t xml:space="preserve">       (1+0,06)</w:t>
      </w:r>
      <w:r>
        <w:rPr>
          <w:rFonts w:ascii="Times New Roman" w:hAnsi="Times New Roman"/>
          <w:sz w:val="28"/>
          <w:vertAlign w:val="superscript"/>
        </w:rPr>
        <w:t>3</w:t>
      </w:r>
      <w:r>
        <w:rPr>
          <w:rFonts w:ascii="Times New Roman" w:hAnsi="Times New Roman"/>
          <w:sz w:val="28"/>
        </w:rPr>
        <w:t xml:space="preserve">     (1+0,06)</w:t>
      </w:r>
      <w:r>
        <w:rPr>
          <w:rFonts w:ascii="Times New Roman" w:hAnsi="Times New Roman"/>
          <w:sz w:val="28"/>
          <w:vertAlign w:val="superscript"/>
        </w:rPr>
        <w:t>4</w:t>
      </w:r>
      <w:r>
        <w:rPr>
          <w:rFonts w:ascii="Times New Roman" w:hAnsi="Times New Roman"/>
          <w:sz w:val="28"/>
        </w:rPr>
        <w:t xml:space="preserve">    </w:t>
      </w:r>
    </w:p>
    <w:p w:rsidR="00624D77" w:rsidRDefault="00624D77">
      <w:pPr>
        <w:pStyle w:val="a9"/>
        <w:jc w:val="both"/>
        <w:rPr>
          <w:rFonts w:ascii="Times New Roman" w:hAnsi="Times New Roman"/>
          <w:sz w:val="28"/>
        </w:rPr>
      </w:pPr>
    </w:p>
    <w:p w:rsidR="00624D77" w:rsidRDefault="00624D77">
      <w:pPr>
        <w:pStyle w:val="a9"/>
        <w:jc w:val="both"/>
        <w:rPr>
          <w:rFonts w:ascii="Times New Roman" w:hAnsi="Times New Roman"/>
          <w:sz w:val="28"/>
        </w:rPr>
      </w:pPr>
      <w:r>
        <w:rPr>
          <w:rFonts w:ascii="Times New Roman" w:hAnsi="Times New Roman"/>
          <w:sz w:val="28"/>
        </w:rPr>
        <w:t>7119,97+6716,95 + 6336,75 = 77720,84</w:t>
      </w:r>
    </w:p>
    <w:p w:rsidR="00624D77" w:rsidRDefault="00624D77">
      <w:pPr>
        <w:pStyle w:val="a9"/>
        <w:jc w:val="both"/>
        <w:rPr>
          <w:rFonts w:ascii="Times New Roman" w:hAnsi="Times New Roman"/>
          <w:sz w:val="28"/>
          <w:vertAlign w:val="subscript"/>
        </w:rPr>
      </w:pPr>
    </w:p>
    <w:p w:rsidR="00624D77" w:rsidRDefault="00624D77">
      <w:pPr>
        <w:pStyle w:val="a9"/>
        <w:spacing w:line="360" w:lineRule="auto"/>
        <w:ind w:firstLine="540"/>
        <w:jc w:val="both"/>
        <w:rPr>
          <w:rFonts w:ascii="Times New Roman" w:hAnsi="Times New Roman"/>
          <w:sz w:val="28"/>
        </w:rPr>
      </w:pPr>
      <w:r>
        <w:t xml:space="preserve"> </w:t>
      </w:r>
      <w:r>
        <w:rPr>
          <w:rFonts w:ascii="Times New Roman" w:hAnsi="Times New Roman"/>
          <w:sz w:val="28"/>
        </w:rPr>
        <w:t>Т.о. дисконтированная величина арендной платы для стонка Б должна быть больше, чем 77720,84 руб. за 4 года или 19430,21 руб. в год. Расчет NPV для проектов можно выполнить в ППП Exсel с помощью финансовой функции НПЗ(), которая позволяет определить современную стоимость потока; и из которой затем следует вычесть величину первоначальных затрат.</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 xml:space="preserve"> 2) Очевидно, что предприятию следует купить тот станок, затраты на приобретение и эксплуатацию которой будут наименьшими.</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Рассчитаем приведенные затраты по каждому проекту: PV =</w:t>
      </w:r>
    </w:p>
    <w:p w:rsidR="00624D77" w:rsidRDefault="00C81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sz w:val="20"/>
        </w:rPr>
      </w:pPr>
      <w:r>
        <w:rPr>
          <w:rFonts w:ascii="Courier New" w:hAnsi="Courier New"/>
          <w:sz w:val="20"/>
          <w:vertAlign w:val="subscript"/>
        </w:rPr>
        <w:pict>
          <v:shape id="_x0000_i1067" type="#_x0000_t75" style="width:246.75pt;height:41.25pt">
            <v:imagedata r:id="rId15" o:title=""/>
          </v:shape>
        </w:pict>
      </w:r>
    </w:p>
    <w:p w:rsidR="00624D77" w:rsidRDefault="00624D77">
      <w:pPr>
        <w:pStyle w:val="32"/>
        <w:spacing w:line="240" w:lineRule="auto"/>
      </w:pPr>
      <w:r>
        <w:t>а) Машина А:</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rPr>
      </w:pPr>
    </w:p>
    <w:p w:rsidR="00624D77" w:rsidRDefault="00624D77">
      <w:pPr>
        <w:pStyle w:val="a9"/>
        <w:rPr>
          <w:rFonts w:ascii="Times New Roman" w:hAnsi="Times New Roman"/>
          <w:sz w:val="28"/>
        </w:rPr>
      </w:pPr>
      <w:r>
        <w:rPr>
          <w:rFonts w:ascii="Times New Roman" w:hAnsi="Times New Roman"/>
          <w:sz w:val="28"/>
        </w:rPr>
        <w:t xml:space="preserve">                                     10000          10000           10000         </w:t>
      </w:r>
    </w:p>
    <w:p w:rsidR="00624D77" w:rsidRDefault="00624D77">
      <w:pPr>
        <w:pStyle w:val="a9"/>
        <w:rPr>
          <w:rFonts w:ascii="Times New Roman" w:hAnsi="Times New Roman"/>
          <w:sz w:val="28"/>
        </w:rPr>
      </w:pPr>
      <w:r>
        <w:rPr>
          <w:rFonts w:ascii="Times New Roman" w:hAnsi="Times New Roman"/>
          <w:sz w:val="28"/>
        </w:rPr>
        <w:t xml:space="preserve">       PV</w:t>
      </w:r>
      <w:r>
        <w:rPr>
          <w:rFonts w:ascii="Times New Roman" w:hAnsi="Times New Roman"/>
          <w:sz w:val="28"/>
          <w:vertAlign w:val="subscript"/>
        </w:rPr>
        <w:t xml:space="preserve">А </w:t>
      </w:r>
      <w:r>
        <w:rPr>
          <w:rFonts w:ascii="Times New Roman" w:hAnsi="Times New Roman"/>
          <w:sz w:val="28"/>
        </w:rPr>
        <w:t xml:space="preserve">   = 40000 + </w:t>
      </w:r>
      <w:r>
        <w:rPr>
          <w:rFonts w:ascii="Times New Roman" w:hAnsi="Times New Roman"/>
          <w:strike/>
          <w:sz w:val="28"/>
        </w:rPr>
        <w:t xml:space="preserve">               </w:t>
      </w:r>
      <w:r>
        <w:rPr>
          <w:rFonts w:ascii="Times New Roman" w:hAnsi="Times New Roman"/>
          <w:sz w:val="28"/>
        </w:rPr>
        <w:t xml:space="preserve"> +  </w:t>
      </w:r>
      <w:r>
        <w:rPr>
          <w:rFonts w:ascii="Times New Roman" w:hAnsi="Times New Roman"/>
          <w:strike/>
          <w:sz w:val="28"/>
        </w:rPr>
        <w:t xml:space="preserve">               </w:t>
      </w:r>
      <w:r>
        <w:rPr>
          <w:rFonts w:ascii="Times New Roman" w:hAnsi="Times New Roman"/>
          <w:sz w:val="28"/>
        </w:rPr>
        <w:t xml:space="preserve"> +   </w:t>
      </w:r>
      <w:r>
        <w:rPr>
          <w:rFonts w:ascii="Times New Roman" w:hAnsi="Times New Roman"/>
          <w:strike/>
          <w:sz w:val="28"/>
        </w:rPr>
        <w:t xml:space="preserve">                </w:t>
      </w:r>
      <w:r>
        <w:rPr>
          <w:rFonts w:ascii="Times New Roman" w:hAnsi="Times New Roman"/>
          <w:sz w:val="28"/>
        </w:rPr>
        <w:t xml:space="preserve"> = 66730,12      </w:t>
      </w:r>
    </w:p>
    <w:p w:rsidR="00624D77" w:rsidRDefault="00624D77">
      <w:pPr>
        <w:pStyle w:val="a9"/>
        <w:rPr>
          <w:rFonts w:ascii="Times New Roman" w:hAnsi="Times New Roman"/>
          <w:sz w:val="28"/>
        </w:rPr>
      </w:pPr>
      <w:r>
        <w:rPr>
          <w:rFonts w:ascii="Times New Roman" w:hAnsi="Times New Roman"/>
          <w:sz w:val="28"/>
        </w:rPr>
        <w:t xml:space="preserve">                                    (1+0,06)</w:t>
      </w:r>
      <w:r>
        <w:rPr>
          <w:rFonts w:ascii="Times New Roman" w:hAnsi="Times New Roman"/>
          <w:sz w:val="28"/>
          <w:vertAlign w:val="superscript"/>
        </w:rPr>
        <w:t>1</w:t>
      </w:r>
      <w:r>
        <w:rPr>
          <w:rFonts w:ascii="Times New Roman" w:hAnsi="Times New Roman"/>
          <w:sz w:val="28"/>
        </w:rPr>
        <w:t xml:space="preserve">     (1+0,06)</w:t>
      </w:r>
      <w:r>
        <w:rPr>
          <w:rFonts w:ascii="Times New Roman" w:hAnsi="Times New Roman"/>
          <w:sz w:val="28"/>
          <w:vertAlign w:val="superscript"/>
        </w:rPr>
        <w:t>2</w:t>
      </w:r>
      <w:r>
        <w:rPr>
          <w:rFonts w:ascii="Times New Roman" w:hAnsi="Times New Roman"/>
          <w:sz w:val="28"/>
        </w:rPr>
        <w:t xml:space="preserve">     (1+0,06)</w:t>
      </w:r>
      <w:r>
        <w:rPr>
          <w:rFonts w:ascii="Times New Roman" w:hAnsi="Times New Roman"/>
          <w:sz w:val="28"/>
          <w:vertAlign w:val="superscript"/>
        </w:rPr>
        <w:t>3</w:t>
      </w:r>
      <w:r>
        <w:rPr>
          <w:rFonts w:ascii="Times New Roman" w:hAnsi="Times New Roman"/>
          <w:sz w:val="28"/>
        </w:rPr>
        <w:t xml:space="preserve">     </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rPr>
      </w:pP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rPr>
      </w:pPr>
    </w:p>
    <w:p w:rsidR="00624D77" w:rsidRDefault="00624D77">
      <w:pPr>
        <w:pStyle w:val="32"/>
        <w:spacing w:line="240" w:lineRule="auto"/>
      </w:pPr>
      <w:r>
        <w:t>б) Машина Б:</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20"/>
        </w:rPr>
      </w:pPr>
      <w:r>
        <w:rPr>
          <w:rFonts w:ascii="Courier New" w:hAnsi="Courier New"/>
          <w:sz w:val="20"/>
        </w:rPr>
        <w:t xml:space="preserve">     </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vertAlign w:val="subscript"/>
        </w:rPr>
      </w:pPr>
      <w:r>
        <w:rPr>
          <w:rFonts w:ascii="Times New Roman" w:hAnsi="Times New Roman"/>
          <w:sz w:val="28"/>
        </w:rPr>
        <w:t xml:space="preserve">                              8000         8000             8000               8000</w:t>
      </w:r>
    </w:p>
    <w:p w:rsidR="00624D77" w:rsidRDefault="00624D77">
      <w:pPr>
        <w:pStyle w:val="a9"/>
        <w:jc w:val="both"/>
        <w:rPr>
          <w:rFonts w:ascii="Times New Roman" w:hAnsi="Times New Roman"/>
          <w:sz w:val="28"/>
        </w:rPr>
      </w:pPr>
      <w:r>
        <w:rPr>
          <w:rFonts w:ascii="Times New Roman" w:hAnsi="Times New Roman"/>
          <w:sz w:val="28"/>
        </w:rPr>
        <w:t>PV</w:t>
      </w:r>
      <w:r>
        <w:rPr>
          <w:rFonts w:ascii="Times New Roman" w:hAnsi="Times New Roman"/>
          <w:sz w:val="28"/>
          <w:vertAlign w:val="subscript"/>
        </w:rPr>
        <w:t>Б</w:t>
      </w:r>
      <w:r>
        <w:rPr>
          <w:rFonts w:ascii="Times New Roman" w:hAnsi="Times New Roman"/>
          <w:sz w:val="28"/>
        </w:rPr>
        <w:t xml:space="preserve"> = 50000 +  </w:t>
      </w:r>
      <w:r>
        <w:rPr>
          <w:rFonts w:ascii="Times New Roman" w:hAnsi="Times New Roman"/>
          <w:strike/>
          <w:sz w:val="28"/>
        </w:rPr>
        <w:t xml:space="preserve">            </w:t>
      </w:r>
      <w:r>
        <w:rPr>
          <w:rFonts w:ascii="Times New Roman" w:hAnsi="Times New Roman"/>
          <w:sz w:val="28"/>
        </w:rPr>
        <w:t xml:space="preserve"> +  </w:t>
      </w:r>
      <w:r>
        <w:rPr>
          <w:rFonts w:ascii="Times New Roman" w:hAnsi="Times New Roman"/>
          <w:strike/>
          <w:sz w:val="28"/>
        </w:rPr>
        <w:t xml:space="preserve">              </w:t>
      </w:r>
      <w:r>
        <w:rPr>
          <w:rFonts w:ascii="Times New Roman" w:hAnsi="Times New Roman"/>
          <w:sz w:val="28"/>
        </w:rPr>
        <w:t xml:space="preserve">  + </w:t>
      </w:r>
      <w:r>
        <w:rPr>
          <w:rFonts w:ascii="Times New Roman" w:hAnsi="Times New Roman"/>
          <w:strike/>
          <w:sz w:val="28"/>
        </w:rPr>
        <w:t xml:space="preserve">               </w:t>
      </w:r>
      <w:r>
        <w:rPr>
          <w:rFonts w:ascii="Times New Roman" w:hAnsi="Times New Roman"/>
          <w:sz w:val="28"/>
        </w:rPr>
        <w:t xml:space="preserve">  +  </w:t>
      </w:r>
      <w:r>
        <w:rPr>
          <w:rFonts w:ascii="Times New Roman" w:hAnsi="Times New Roman"/>
          <w:strike/>
          <w:sz w:val="28"/>
        </w:rPr>
        <w:t xml:space="preserve">             </w:t>
      </w:r>
      <w:r>
        <w:rPr>
          <w:rFonts w:ascii="Times New Roman" w:hAnsi="Times New Roman"/>
          <w:sz w:val="28"/>
        </w:rPr>
        <w:t xml:space="preserve">   =  77720,84</w:t>
      </w:r>
    </w:p>
    <w:p w:rsidR="00624D77" w:rsidRDefault="00624D77">
      <w:pPr>
        <w:pStyle w:val="a9"/>
        <w:jc w:val="both"/>
        <w:rPr>
          <w:rFonts w:ascii="Times New Roman" w:hAnsi="Times New Roman"/>
          <w:sz w:val="28"/>
        </w:rPr>
      </w:pPr>
      <w:r>
        <w:rPr>
          <w:rFonts w:ascii="Times New Roman" w:hAnsi="Times New Roman"/>
          <w:sz w:val="28"/>
        </w:rPr>
        <w:t xml:space="preserve">                        (1+0,06)</w:t>
      </w:r>
      <w:r>
        <w:rPr>
          <w:rFonts w:ascii="Times New Roman" w:hAnsi="Times New Roman"/>
          <w:sz w:val="28"/>
          <w:vertAlign w:val="superscript"/>
        </w:rPr>
        <w:t>1</w:t>
      </w:r>
      <w:r>
        <w:rPr>
          <w:rFonts w:ascii="Times New Roman" w:hAnsi="Times New Roman"/>
          <w:sz w:val="28"/>
        </w:rPr>
        <w:t xml:space="preserve">  (1+0,06)</w:t>
      </w:r>
      <w:r>
        <w:rPr>
          <w:rFonts w:ascii="Times New Roman" w:hAnsi="Times New Roman"/>
          <w:sz w:val="28"/>
          <w:vertAlign w:val="superscript"/>
        </w:rPr>
        <w:t>2</w:t>
      </w:r>
      <w:r>
        <w:rPr>
          <w:rFonts w:ascii="Times New Roman" w:hAnsi="Times New Roman"/>
          <w:sz w:val="28"/>
        </w:rPr>
        <w:t xml:space="preserve">       (1+0,06)</w:t>
      </w:r>
      <w:r>
        <w:rPr>
          <w:rFonts w:ascii="Times New Roman" w:hAnsi="Times New Roman"/>
          <w:sz w:val="28"/>
          <w:vertAlign w:val="superscript"/>
        </w:rPr>
        <w:t>3</w:t>
      </w:r>
      <w:r>
        <w:rPr>
          <w:rFonts w:ascii="Times New Roman" w:hAnsi="Times New Roman"/>
          <w:sz w:val="28"/>
        </w:rPr>
        <w:t xml:space="preserve">     (1+0,06)</w:t>
      </w:r>
      <w:r>
        <w:rPr>
          <w:rFonts w:ascii="Times New Roman" w:hAnsi="Times New Roman"/>
          <w:sz w:val="28"/>
          <w:vertAlign w:val="superscript"/>
        </w:rPr>
        <w:t>4</w:t>
      </w:r>
      <w:r>
        <w:rPr>
          <w:rFonts w:ascii="Times New Roman" w:hAnsi="Times New Roman"/>
          <w:sz w:val="28"/>
        </w:rPr>
        <w:t xml:space="preserve">    </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20"/>
        </w:rPr>
      </w:pPr>
      <w:r>
        <w:rPr>
          <w:rFonts w:ascii="Courier New" w:hAnsi="Courier New"/>
          <w:sz w:val="20"/>
          <w:vertAlign w:val="subscript"/>
        </w:rPr>
        <w:t xml:space="preserve">     </w:t>
      </w:r>
    </w:p>
    <w:p w:rsidR="00624D77" w:rsidRDefault="00624D77">
      <w:pPr>
        <w:pStyle w:val="32"/>
        <w:spacing w:line="240" w:lineRule="auto"/>
        <w:rPr>
          <w:vertAlign w:val="subscript"/>
        </w:rPr>
      </w:pPr>
      <w:r>
        <w:t xml:space="preserve">Суммарный PV :    </w:t>
      </w:r>
    </w:p>
    <w:p w:rsidR="00624D77" w:rsidRDefault="00C81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sz w:val="20"/>
          <w:vertAlign w:val="subscript"/>
        </w:rPr>
      </w:pPr>
      <w:r>
        <w:rPr>
          <w:rFonts w:ascii="Courier New" w:hAnsi="Courier New"/>
          <w:sz w:val="20"/>
          <w:vertAlign w:val="subscript"/>
        </w:rPr>
        <w:pict>
          <v:shape id="_x0000_i1070" type="#_x0000_t75" style="width:329.25pt;height:39pt">
            <v:imagedata r:id="rId16" o:title=""/>
          </v:shape>
        </w:pic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20"/>
        </w:rPr>
      </w:pPr>
      <w:r>
        <w:rPr>
          <w:rFonts w:ascii="Courier New" w:hAnsi="Courier New"/>
          <w:sz w:val="20"/>
          <w:vertAlign w:val="subscript"/>
        </w:rPr>
        <w:t xml:space="preserve">     </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rPr>
      </w:pPr>
      <w:r>
        <w:rPr>
          <w:rFonts w:ascii="Times New Roman" w:hAnsi="Times New Roman"/>
          <w:sz w:val="28"/>
        </w:rPr>
        <w:t>где    i – продолжительность данного (исходного) проекта</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rPr>
      </w:pPr>
      <w:r>
        <w:rPr>
          <w:rFonts w:ascii="Times New Roman" w:hAnsi="Times New Roman"/>
          <w:sz w:val="28"/>
        </w:rPr>
        <w:t xml:space="preserve">         N – наименьшее общее кратное,</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r>
        <w:rPr>
          <w:rFonts w:ascii="Times New Roman" w:hAnsi="Times New Roman"/>
          <w:sz w:val="28"/>
        </w:rPr>
        <w:t xml:space="preserve">                n – число повторений исходного проекта</w:t>
      </w:r>
    </w:p>
    <w:p w:rsidR="00624D77" w:rsidRDefault="00624D77">
      <w:pPr>
        <w:pStyle w:val="32"/>
      </w:pPr>
      <w:r>
        <w:t>а) Машина А:</w:t>
      </w:r>
    </w:p>
    <w:p w:rsidR="00624D77" w:rsidRDefault="00624D77">
      <w:pPr>
        <w:pStyle w:val="a9"/>
        <w:rPr>
          <w:rFonts w:ascii="Times New Roman" w:hAnsi="Times New Roman"/>
          <w:sz w:val="28"/>
        </w:rPr>
      </w:pPr>
      <w:r>
        <w:t xml:space="preserve">                                                        </w:t>
      </w:r>
      <w:r>
        <w:rPr>
          <w:rFonts w:ascii="Times New Roman" w:hAnsi="Times New Roman"/>
          <w:sz w:val="28"/>
        </w:rPr>
        <w:t>66730,12        66730,12       66730,12</w:t>
      </w:r>
    </w:p>
    <w:p w:rsidR="00624D77" w:rsidRDefault="00624D77">
      <w:pPr>
        <w:pStyle w:val="a9"/>
        <w:rPr>
          <w:rFonts w:ascii="Times New Roman" w:hAnsi="Times New Roman"/>
          <w:sz w:val="28"/>
        </w:rPr>
      </w:pPr>
      <w:r>
        <w:rPr>
          <w:rFonts w:ascii="Times New Roman" w:hAnsi="Times New Roman"/>
          <w:sz w:val="28"/>
        </w:rPr>
        <w:t>PV</w:t>
      </w:r>
      <w:r>
        <w:rPr>
          <w:rFonts w:ascii="Times New Roman" w:hAnsi="Times New Roman"/>
          <w:sz w:val="28"/>
          <w:vertAlign w:val="subscript"/>
        </w:rPr>
        <w:t>А</w:t>
      </w:r>
      <w:r>
        <w:rPr>
          <w:rFonts w:ascii="Times New Roman" w:hAnsi="Times New Roman"/>
          <w:sz w:val="28"/>
        </w:rPr>
        <w:t xml:space="preserve"> (3;4) = 66730,12 + </w:t>
      </w:r>
      <w:r>
        <w:rPr>
          <w:rFonts w:ascii="Times New Roman" w:hAnsi="Times New Roman"/>
          <w:strike/>
          <w:sz w:val="28"/>
        </w:rPr>
        <w:t xml:space="preserve">                 </w:t>
      </w:r>
      <w:r>
        <w:rPr>
          <w:rFonts w:ascii="Times New Roman" w:hAnsi="Times New Roman"/>
          <w:sz w:val="28"/>
        </w:rPr>
        <w:t xml:space="preserve">  +  </w:t>
      </w:r>
      <w:r>
        <w:rPr>
          <w:rFonts w:ascii="Times New Roman" w:hAnsi="Times New Roman"/>
          <w:strike/>
          <w:sz w:val="28"/>
        </w:rPr>
        <w:t xml:space="preserve">                 </w:t>
      </w:r>
      <w:r>
        <w:rPr>
          <w:rFonts w:ascii="Times New Roman" w:hAnsi="Times New Roman"/>
          <w:sz w:val="28"/>
        </w:rPr>
        <w:t xml:space="preserve">   + ------------  = 209297,48</w:t>
      </w:r>
    </w:p>
    <w:p w:rsidR="00624D77" w:rsidRDefault="00624D77">
      <w:pPr>
        <w:pStyle w:val="a9"/>
      </w:pPr>
      <w:r>
        <w:rPr>
          <w:rFonts w:ascii="Times New Roman" w:hAnsi="Times New Roman"/>
          <w:sz w:val="28"/>
        </w:rPr>
        <w:t xml:space="preserve">                                        (1+0,06)</w:t>
      </w:r>
      <w:r>
        <w:rPr>
          <w:rFonts w:ascii="Times New Roman" w:hAnsi="Times New Roman"/>
          <w:sz w:val="28"/>
          <w:vertAlign w:val="superscript"/>
        </w:rPr>
        <w:t>2</w:t>
      </w:r>
      <w:r>
        <w:rPr>
          <w:rFonts w:ascii="Times New Roman" w:hAnsi="Times New Roman"/>
          <w:sz w:val="28"/>
        </w:rPr>
        <w:t xml:space="preserve">       (1+0,06)</w:t>
      </w:r>
      <w:r>
        <w:rPr>
          <w:rFonts w:ascii="Times New Roman" w:hAnsi="Times New Roman"/>
          <w:sz w:val="28"/>
          <w:vertAlign w:val="superscript"/>
        </w:rPr>
        <w:t>2+3</w:t>
      </w:r>
      <w:r>
        <w:rPr>
          <w:rFonts w:ascii="Times New Roman" w:hAnsi="Times New Roman"/>
          <w:sz w:val="28"/>
        </w:rPr>
        <w:t xml:space="preserve">     (1+0,06)</w:t>
      </w:r>
      <w:r>
        <w:rPr>
          <w:rFonts w:ascii="Times New Roman" w:hAnsi="Times New Roman"/>
          <w:sz w:val="28"/>
          <w:vertAlign w:val="superscript"/>
        </w:rPr>
        <w:t>3+3</w:t>
      </w:r>
      <w:r>
        <w:rPr>
          <w:rFonts w:ascii="Times New Roman" w:hAnsi="Times New Roman"/>
          <w:sz w:val="28"/>
        </w:rPr>
        <w:t xml:space="preserve">       </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20"/>
          <w:vertAlign w:val="subscript"/>
        </w:rPr>
      </w:pP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20"/>
        </w:rPr>
      </w:pPr>
      <w:r>
        <w:rPr>
          <w:rFonts w:ascii="Courier New" w:hAnsi="Courier New"/>
          <w:sz w:val="20"/>
          <w:vertAlign w:val="subscript"/>
        </w:rPr>
        <w:t xml:space="preserve">     </w:t>
      </w:r>
    </w:p>
    <w:p w:rsidR="00624D77" w:rsidRDefault="00624D77">
      <w:pPr>
        <w:pStyle w:val="32"/>
        <w:spacing w:line="240" w:lineRule="auto"/>
      </w:pPr>
      <w:r>
        <w:t>б) Машина Б:</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rPr>
      </w:pP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vertAlign w:val="subscript"/>
        </w:rPr>
      </w:pPr>
      <w:r>
        <w:rPr>
          <w:rFonts w:ascii="Times New Roman" w:hAnsi="Times New Roman"/>
          <w:sz w:val="28"/>
        </w:rPr>
        <w:t xml:space="preserve">                                           77720,84          77720,84   </w:t>
      </w:r>
    </w:p>
    <w:p w:rsidR="00624D77" w:rsidRDefault="00624D77">
      <w:pPr>
        <w:pStyle w:val="a9"/>
        <w:jc w:val="both"/>
        <w:rPr>
          <w:rFonts w:ascii="Times New Roman" w:hAnsi="Times New Roman"/>
          <w:sz w:val="28"/>
        </w:rPr>
      </w:pPr>
      <w:r>
        <w:rPr>
          <w:rFonts w:ascii="Times New Roman" w:hAnsi="Times New Roman"/>
          <w:sz w:val="28"/>
        </w:rPr>
        <w:t>PV</w:t>
      </w:r>
      <w:r>
        <w:rPr>
          <w:rFonts w:ascii="Times New Roman" w:hAnsi="Times New Roman"/>
          <w:sz w:val="28"/>
          <w:vertAlign w:val="subscript"/>
        </w:rPr>
        <w:t>Б</w:t>
      </w:r>
      <w:r>
        <w:rPr>
          <w:rFonts w:ascii="Times New Roman" w:hAnsi="Times New Roman"/>
          <w:sz w:val="28"/>
        </w:rPr>
        <w:t xml:space="preserve"> (4;3) = 77720,84 +  </w:t>
      </w:r>
      <w:r>
        <w:rPr>
          <w:rFonts w:ascii="Times New Roman" w:hAnsi="Times New Roman"/>
          <w:strike/>
          <w:sz w:val="28"/>
        </w:rPr>
        <w:t xml:space="preserve">                 </w:t>
      </w:r>
      <w:r>
        <w:rPr>
          <w:rFonts w:ascii="Times New Roman" w:hAnsi="Times New Roman"/>
          <w:sz w:val="28"/>
        </w:rPr>
        <w:t xml:space="preserve">  +  </w:t>
      </w:r>
      <w:r>
        <w:rPr>
          <w:rFonts w:ascii="Times New Roman" w:hAnsi="Times New Roman"/>
          <w:strike/>
          <w:sz w:val="28"/>
        </w:rPr>
        <w:t xml:space="preserve">                 </w:t>
      </w:r>
      <w:r>
        <w:rPr>
          <w:rFonts w:ascii="Times New Roman" w:hAnsi="Times New Roman"/>
          <w:sz w:val="28"/>
        </w:rPr>
        <w:t xml:space="preserve">   =  188046,04</w:t>
      </w:r>
    </w:p>
    <w:p w:rsidR="00624D77" w:rsidRDefault="00624D77">
      <w:pPr>
        <w:pStyle w:val="a9"/>
        <w:jc w:val="both"/>
        <w:rPr>
          <w:rFonts w:ascii="Times New Roman" w:hAnsi="Times New Roman"/>
          <w:sz w:val="28"/>
        </w:rPr>
      </w:pPr>
      <w:r>
        <w:rPr>
          <w:rFonts w:ascii="Times New Roman" w:hAnsi="Times New Roman"/>
          <w:sz w:val="28"/>
        </w:rPr>
        <w:t xml:space="preserve">                                        (1+0,06)</w:t>
      </w:r>
      <w:r>
        <w:rPr>
          <w:rFonts w:ascii="Times New Roman" w:hAnsi="Times New Roman"/>
          <w:sz w:val="28"/>
          <w:vertAlign w:val="superscript"/>
        </w:rPr>
        <w:t>4</w:t>
      </w:r>
      <w:r>
        <w:rPr>
          <w:rFonts w:ascii="Times New Roman" w:hAnsi="Times New Roman"/>
          <w:sz w:val="28"/>
        </w:rPr>
        <w:t xml:space="preserve">        (1+0,06)</w:t>
      </w:r>
      <w:r>
        <w:rPr>
          <w:rFonts w:ascii="Times New Roman" w:hAnsi="Times New Roman"/>
          <w:sz w:val="28"/>
          <w:vertAlign w:val="superscript"/>
        </w:rPr>
        <w:t>2+4</w:t>
      </w:r>
      <w:r>
        <w:rPr>
          <w:rFonts w:ascii="Times New Roman" w:hAnsi="Times New Roman"/>
          <w:sz w:val="28"/>
        </w:rPr>
        <w:t xml:space="preserve">    </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rPr>
      </w:pP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20"/>
        </w:rPr>
      </w:pPr>
      <w:r>
        <w:rPr>
          <w:rFonts w:ascii="Courier New" w:hAnsi="Courier New"/>
          <w:sz w:val="20"/>
        </w:rPr>
        <w:t xml:space="preserve">     </w:t>
      </w:r>
    </w:p>
    <w:p w:rsidR="00624D77" w:rsidRDefault="00624D77">
      <w:pPr>
        <w:pStyle w:val="32"/>
      </w:pPr>
      <w:r>
        <w:t xml:space="preserve"> Т.о., предприятие следует приобрести оборудование Б, т.к. затраты на нее меньше затрат по машине А.</w:t>
      </w:r>
    </w:p>
    <w:p w:rsidR="00624D77" w:rsidRDefault="00624D77">
      <w:pPr>
        <w:pStyle w:val="32"/>
      </w:pPr>
      <w:r>
        <w:t>3)     Для учета инфляции необходимо откорректировать ставку дисконта на индекс инфляции:</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rPr>
      </w:pPr>
      <w:r>
        <w:rPr>
          <w:rFonts w:ascii="Times New Roman" w:hAnsi="Times New Roman"/>
          <w:sz w:val="28"/>
        </w:rPr>
        <w:t>1+p = (1+r) * (1+I</w:t>
      </w:r>
      <w:r>
        <w:rPr>
          <w:rFonts w:ascii="Times New Roman" w:hAnsi="Times New Roman"/>
          <w:sz w:val="28"/>
          <w:vertAlign w:val="subscript"/>
        </w:rPr>
        <w:t>pr</w:t>
      </w:r>
      <w:r>
        <w:rPr>
          <w:rFonts w:ascii="Times New Roman" w:hAnsi="Times New Roman"/>
          <w:sz w:val="28"/>
        </w:rPr>
        <w:t>)   Þ      1,06 * 1,08 = 1,1448</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rPr>
      </w:pPr>
    </w:p>
    <w:p w:rsidR="00624D77" w:rsidRDefault="00624D77">
      <w:pPr>
        <w:pStyle w:val="32"/>
        <w:spacing w:line="240" w:lineRule="auto"/>
      </w:pPr>
      <w:r>
        <w:t>Т.к. целесообразнее купить оборудование Б, то:</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rPr>
      </w:pPr>
    </w:p>
    <w:p w:rsidR="00624D77" w:rsidRDefault="00C81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rPr>
      </w:pPr>
      <w:r>
        <w:rPr>
          <w:noProof/>
          <w:vertAlign w:val="subscript"/>
        </w:rPr>
        <w:pict>
          <v:shape id="Рисунок 72" o:spid="_x0000_i1036" type="#_x0000_t75" alt="http://works.tarefer.ru/55/100785/pics/image082.gif" style="width:119.25pt;height:35.25pt;visibility:visible" fillcolor="window">
            <v:imagedata r:id="rId17" o:title="image082"/>
          </v:shape>
        </w:pic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rPr>
      </w:pP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sz w:val="20"/>
          <w:lang w:val="en-US"/>
        </w:rPr>
      </w:pPr>
      <w:r>
        <w:rPr>
          <w:rFonts w:ascii="Times New Roman" w:hAnsi="Times New Roman"/>
          <w:sz w:val="28"/>
        </w:rPr>
        <w:t>тогда:</w:t>
      </w:r>
      <w:r>
        <w:rPr>
          <w:rFonts w:ascii="Courier New" w:hAnsi="Courier New"/>
          <w:sz w:val="20"/>
        </w:rPr>
        <w:t xml:space="preserve">    </w:t>
      </w:r>
    </w:p>
    <w:p w:rsidR="00624D77" w:rsidRDefault="00624D77">
      <w:pPr>
        <w:pStyle w:val="a9"/>
        <w:jc w:val="both"/>
        <w:rPr>
          <w:rFonts w:ascii="Times New Roman" w:hAnsi="Times New Roman"/>
          <w:sz w:val="4"/>
          <w:lang w:val="en-US"/>
        </w:rPr>
      </w:pPr>
      <w:r>
        <w:rPr>
          <w:rFonts w:ascii="Times New Roman" w:hAnsi="Times New Roman"/>
          <w:sz w:val="4"/>
          <w:lang w:val="en-US"/>
        </w:rPr>
        <w:t xml:space="preserve">                                                                                                               </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6"/>
          <w:lang w:val="en-US"/>
        </w:rPr>
      </w:pP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4"/>
          <w:lang w:val="en-US"/>
        </w:rPr>
      </w:pPr>
    </w:p>
    <w:p w:rsidR="00624D77" w:rsidRDefault="00C81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sz w:val="20"/>
          <w:vertAlign w:val="subscript"/>
        </w:rPr>
      </w:pPr>
      <w:r>
        <w:rPr>
          <w:rFonts w:ascii="Courier New" w:hAnsi="Courier New"/>
          <w:sz w:val="20"/>
          <w:vertAlign w:val="subscript"/>
        </w:rPr>
        <w:pict>
          <v:shape id="_x0000_i1073" type="#_x0000_t75" style="width:274.5pt;height:35.25pt">
            <v:imagedata r:id="rId18" o:title=""/>
          </v:shape>
        </w:pic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sz w:val="20"/>
          <w:vertAlign w:val="subscript"/>
        </w:rPr>
      </w:pP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20"/>
        </w:rPr>
      </w:pP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rPr>
      </w:pPr>
      <w:r>
        <w:rPr>
          <w:rFonts w:ascii="Times New Roman" w:hAnsi="Times New Roman"/>
          <w:sz w:val="28"/>
        </w:rPr>
        <w:t>Пусть CF</w:t>
      </w:r>
      <w:r>
        <w:rPr>
          <w:rFonts w:ascii="Times New Roman" w:hAnsi="Times New Roman"/>
          <w:sz w:val="28"/>
          <w:vertAlign w:val="subscript"/>
        </w:rPr>
        <w:t>1</w:t>
      </w:r>
      <w:r>
        <w:rPr>
          <w:rFonts w:ascii="Times New Roman" w:hAnsi="Times New Roman"/>
          <w:sz w:val="28"/>
        </w:rPr>
        <w:t xml:space="preserve"> = CF</w:t>
      </w:r>
      <w:r>
        <w:rPr>
          <w:rFonts w:ascii="Times New Roman" w:hAnsi="Times New Roman"/>
          <w:sz w:val="28"/>
          <w:vertAlign w:val="subscript"/>
        </w:rPr>
        <w:t>2</w:t>
      </w:r>
      <w:r>
        <w:rPr>
          <w:rFonts w:ascii="Times New Roman" w:hAnsi="Times New Roman"/>
          <w:sz w:val="28"/>
        </w:rPr>
        <w:t xml:space="preserve"> = CF</w:t>
      </w:r>
      <w:r>
        <w:rPr>
          <w:rFonts w:ascii="Times New Roman" w:hAnsi="Times New Roman"/>
          <w:sz w:val="28"/>
          <w:vertAlign w:val="subscript"/>
        </w:rPr>
        <w:t>3</w:t>
      </w:r>
      <w:r>
        <w:rPr>
          <w:rFonts w:ascii="Times New Roman" w:hAnsi="Times New Roman"/>
          <w:sz w:val="28"/>
        </w:rPr>
        <w:t xml:space="preserve"> =CF</w:t>
      </w:r>
      <w:r>
        <w:rPr>
          <w:rFonts w:ascii="Times New Roman" w:hAnsi="Times New Roman"/>
          <w:sz w:val="28"/>
          <w:vertAlign w:val="subscript"/>
        </w:rPr>
        <w:t>4</w:t>
      </w:r>
      <w:r>
        <w:rPr>
          <w:rFonts w:ascii="Times New Roman" w:hAnsi="Times New Roman"/>
          <w:sz w:val="28"/>
        </w:rPr>
        <w:t>, т.е.</w:t>
      </w:r>
    </w:p>
    <w:p w:rsidR="00624D77" w:rsidRDefault="00624D77">
      <w:pPr>
        <w:pStyle w:val="32"/>
      </w:pPr>
      <w:r>
        <w:t>сумма арендной платы в год установлена на весь срок аренды и не подлежит изменению.</w: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20"/>
          <w:vertAlign w:val="subscript"/>
        </w:rPr>
      </w:pPr>
      <w:r>
        <w:rPr>
          <w:rFonts w:ascii="Courier New" w:hAnsi="Courier New"/>
          <w:sz w:val="20"/>
        </w:rPr>
        <w:t xml:space="preserve">     </w:t>
      </w:r>
    </w:p>
    <w:p w:rsidR="00624D77" w:rsidRDefault="00C81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sz w:val="20"/>
          <w:vertAlign w:val="subscript"/>
        </w:rPr>
      </w:pPr>
      <w:r>
        <w:rPr>
          <w:rFonts w:ascii="Courier New" w:hAnsi="Courier New"/>
          <w:sz w:val="20"/>
          <w:vertAlign w:val="subscript"/>
        </w:rPr>
        <w:pict>
          <v:shape id="_x0000_i1076" type="#_x0000_t75" style="width:305.25pt;height:33pt">
            <v:imagedata r:id="rId19" o:title=""/>
          </v:shape>
        </w:pict>
      </w: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sz w:val="20"/>
          <w:vertAlign w:val="subscript"/>
        </w:rPr>
      </w:pPr>
    </w:p>
    <w:p w:rsidR="00624D77" w:rsidRDefault="0062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20"/>
        </w:rPr>
      </w:pPr>
      <w:r>
        <w:rPr>
          <w:rFonts w:ascii="Courier New" w:hAnsi="Courier New"/>
          <w:sz w:val="20"/>
          <w:vertAlign w:val="subscript"/>
        </w:rPr>
        <w:t xml:space="preserve">     </w:t>
      </w:r>
    </w:p>
    <w:p w:rsidR="00624D77" w:rsidRDefault="00624D77">
      <w:pPr>
        <w:pStyle w:val="5"/>
      </w:pPr>
      <w:bookmarkStart w:id="14" w:name="_Toc273708333"/>
      <w:r>
        <w:t>CF*(0,873515 + 0,75725 + 0,666517 + 0,58212) &gt; 77720,84</w:t>
      </w:r>
      <w:bookmarkEnd w:id="14"/>
    </w:p>
    <w:p w:rsidR="00624D77" w:rsidRDefault="00624D77">
      <w:pPr>
        <w:pStyle w:val="5"/>
      </w:pPr>
      <w:bookmarkStart w:id="15" w:name="_Toc273708334"/>
      <w:r>
        <w:t>CF * 2,879402 &gt; 77720,84</w:t>
      </w:r>
      <w:bookmarkEnd w:id="15"/>
    </w:p>
    <w:p w:rsidR="00624D77" w:rsidRDefault="00624D77">
      <w:pPr>
        <w:pStyle w:val="5"/>
      </w:pPr>
      <w:bookmarkStart w:id="16" w:name="_Toc273708335"/>
      <w:r>
        <w:t>CF &gt; 26992,01</w:t>
      </w:r>
      <w:bookmarkEnd w:id="16"/>
    </w:p>
    <w:p w:rsidR="00624D77" w:rsidRDefault="00624D77">
      <w:pPr>
        <w:pStyle w:val="5"/>
      </w:pPr>
      <w:bookmarkStart w:id="17" w:name="_Toc273708336"/>
      <w:r>
        <w:t>Т.о., ежегодная арендная плата с учетом инфляции должна быть установлена в сумме превышающей 26992б01 руб.</w:t>
      </w:r>
      <w:bookmarkEnd w:id="17"/>
    </w:p>
    <w:p w:rsidR="00624D77" w:rsidRDefault="00624D77">
      <w:pPr>
        <w:pStyle w:val="ad"/>
      </w:pPr>
    </w:p>
    <w:p w:rsidR="00624D77" w:rsidRDefault="00624D77"/>
    <w:p w:rsidR="00624D77" w:rsidRDefault="00624D77">
      <w:pPr>
        <w:pStyle w:val="1"/>
      </w:pPr>
    </w:p>
    <w:p w:rsidR="00624D77" w:rsidRDefault="00624D77">
      <w:pPr>
        <w:pStyle w:val="1"/>
      </w:pPr>
    </w:p>
    <w:p w:rsidR="00624D77" w:rsidRDefault="00624D77">
      <w:pPr>
        <w:pStyle w:val="1"/>
      </w:pPr>
    </w:p>
    <w:p w:rsidR="00624D77" w:rsidRDefault="00624D77">
      <w:pPr>
        <w:pStyle w:val="1"/>
      </w:pPr>
    </w:p>
    <w:p w:rsidR="00624D77" w:rsidRDefault="00624D77">
      <w:pPr>
        <w:pStyle w:val="1"/>
      </w:pPr>
    </w:p>
    <w:p w:rsidR="00624D77" w:rsidRDefault="00624D77">
      <w:pPr>
        <w:pStyle w:val="1"/>
      </w:pPr>
    </w:p>
    <w:p w:rsidR="00624D77" w:rsidRDefault="00624D77">
      <w:pPr>
        <w:pStyle w:val="1"/>
      </w:pPr>
    </w:p>
    <w:p w:rsidR="00624D77" w:rsidRDefault="00624D77">
      <w:pPr>
        <w:pStyle w:val="1"/>
      </w:pPr>
    </w:p>
    <w:p w:rsidR="00624D77" w:rsidRDefault="00624D77">
      <w:pPr>
        <w:pStyle w:val="1"/>
      </w:pPr>
    </w:p>
    <w:p w:rsidR="00624D77" w:rsidRDefault="00624D77">
      <w:pPr>
        <w:pStyle w:val="1"/>
      </w:pPr>
    </w:p>
    <w:p w:rsidR="00624D77" w:rsidRDefault="00624D77">
      <w:pPr>
        <w:pStyle w:val="1"/>
      </w:pPr>
    </w:p>
    <w:p w:rsidR="00624D77" w:rsidRDefault="00624D77">
      <w:pPr>
        <w:pStyle w:val="1"/>
        <w:jc w:val="left"/>
      </w:pPr>
    </w:p>
    <w:p w:rsidR="00624D77" w:rsidRDefault="00624D77">
      <w:pPr>
        <w:pStyle w:val="1"/>
        <w:jc w:val="left"/>
      </w:pPr>
    </w:p>
    <w:p w:rsidR="00624D77" w:rsidRDefault="00624D77">
      <w:pPr>
        <w:pStyle w:val="a9"/>
        <w:rPr>
          <w:sz w:val="4"/>
        </w:rPr>
      </w:pPr>
    </w:p>
    <w:p w:rsidR="00624D77" w:rsidRDefault="00624D77">
      <w:pPr>
        <w:pStyle w:val="1"/>
      </w:pPr>
      <w:bookmarkStart w:id="18" w:name="_Toc273708337"/>
      <w:r>
        <w:t>Заключение.</w:t>
      </w:r>
      <w:bookmarkEnd w:id="18"/>
    </w:p>
    <w:p w:rsidR="00624D77" w:rsidRDefault="00624D77">
      <w:pPr>
        <w:pStyle w:val="1"/>
      </w:pP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Инвестиционный процесс играет основополагающую роль в формировании структуры производства, в этой связи основные изменения, которые должны произойти в отечественной экономике при переходе к рыночным отношениям, в первую очередь касаются процесса принятия инвестиционных решений. На смену народнохозяйственному подходу, характерному для плановой экономики, приходит механизм принятия решений на уровне предприятий, как полноценных субъектов рыночных отношений, самостоятельно проводящих свою инвестиционную политику и несущих за её результаты финансовую ответственность.</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В настоящее время предприятие должно сделать свой выбор из многочисленных направлений развития, многообразия технических решений. Так как инвестиционный процесс на микроэкономическом уровне складывается из множества инвестиционных решений, принимаемых отдельными предприятиями, правильность выбора становится важным вопросом для каждого из них. Это позволяет рассматривать создание механизма формирования инвестиционного процесса на предприятии как центральную проблему, стоящую перед экономической наукой и практикой.</w:t>
      </w:r>
    </w:p>
    <w:p w:rsidR="00624D77" w:rsidRDefault="00624D77">
      <w:pPr>
        <w:pStyle w:val="a9"/>
        <w:spacing w:line="360" w:lineRule="auto"/>
        <w:jc w:val="both"/>
        <w:rPr>
          <w:rFonts w:ascii="Times New Roman" w:hAnsi="Times New Roman"/>
          <w:sz w:val="28"/>
        </w:rPr>
      </w:pPr>
      <w:r>
        <w:rPr>
          <w:rFonts w:ascii="Times New Roman" w:hAnsi="Times New Roman"/>
          <w:sz w:val="28"/>
        </w:rPr>
        <w:t>Говоря о самих инвестициях необходимо отметить, что чаще всего встречаются инвестиции, носящие долгосрочный характер, а краткосрочные инвестиции осуществляются в финансовой сфере. Инвестиционная деятельность и инвестиционные решения оказывают воздействие на все стороны предпринимательской деятельности и социально-экономическую ситуацию в регионе в целом.</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Как уже отмечалось, существует различные виды инвестиций, которые применяются в зависимости от целей и задач, стоящих перед конкретным предприятием. Каждые из этих инвестиций имеют свою структуру и определённые функции.</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 xml:space="preserve">Каждое предприятие должно стремиться к эффективному развитию, и тут невозможно обойтись без капиталовложений, которые оно может привлечь как со стороны инвесторов, в том числе и иностранных, так и воспользовавшись своими собственными. Данные инвестиционные ресурсы могут быть направлены на различные цели, как, например, расширение производственных мощностей, техническое перевооружение или реконструкция предприятия, а также освоение новых видов продукции. Безусловно, предприятие может осуществлять и внешнюю инвестиционную деятельность, покупая ценные бумаги других предприятий или же становиться головным предприятием, приобретая контрольный пакет акций какого-либо другого хозяйствующего субъекта. Осуществляя данный вид финансовых инвестиций, предприятие-инвестор выбирает наиболее подходящий для себя вариант, соотнося будущую прибыль и риск, с которым связаны все инвестиционные процессы. </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Решения об инвестициях принимают на основе инвестиционных расчётов, в которых отражается полная картина планируемого проекта и определяется рентабельность капитальных вложений.</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Существует несколько различных методов оценки экономической эффективности проектов, в которых использованы разнообразные критерии. Современные фирмы используют сразу несколько методов, для того, чтобы выявить наиболее надёжный и выгодный вариант инвестирования.</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Обобщая всё вышесказанное, можно сделать главный вывод, состоящий в том, что инвестиционная деятельность на предприятии всегда направлена на повышение эффективности его работы, что в конечном итоге выражается в получении, а затем и увеличении прибыли.</w:t>
      </w:r>
    </w:p>
    <w:p w:rsidR="00624D77" w:rsidRDefault="00624D77">
      <w:pPr>
        <w:pStyle w:val="a9"/>
        <w:jc w:val="both"/>
        <w:rPr>
          <w:sz w:val="28"/>
        </w:rPr>
      </w:pPr>
    </w:p>
    <w:p w:rsidR="00624D77" w:rsidRDefault="00624D77">
      <w:pPr>
        <w:jc w:val="both"/>
        <w:rPr>
          <w:sz w:val="4"/>
        </w:rPr>
      </w:pPr>
      <w:r>
        <w:br w:type="page"/>
      </w:r>
    </w:p>
    <w:p w:rsidR="00624D77" w:rsidRDefault="00624D77">
      <w:pPr>
        <w:pStyle w:val="1"/>
      </w:pPr>
      <w:bookmarkStart w:id="19" w:name="_Toc273708338"/>
      <w:r>
        <w:t>Список литературы.</w:t>
      </w:r>
      <w:bookmarkEnd w:id="19"/>
    </w:p>
    <w:p w:rsidR="00624D77" w:rsidRDefault="00624D77">
      <w:pPr>
        <w:pStyle w:val="1"/>
        <w:jc w:val="both"/>
        <w:rPr>
          <w:sz w:val="24"/>
        </w:rPr>
      </w:pP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1. Анализ финансовых операций (методы, модели, техника вычислений): Учебное пособие для вузов. Лукасевич И.Я. – М.: «Финансы», Издательское объединение «ЮНИТИ», 2007. - 400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2. Анализ финансовой отчетности : Учебеное пособие / Донцова Л. В, Никифорова Н. А. -2-е изд. – М. : издательство Дело и Сервис, 2004. – 336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3. Асаул А.Н., Песоцкая Е.В., Томилов В.В. Оценка эффективности предпринимательской деятельности/ Гуманитарные науки, СПб, № 2, 2003.</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4. Батрак А.В.  Критерии эффективности деятельности корпоративной структуры/Экономика строительства, № 11, 2005.</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5. Бизнес - планирование : Уч-к  / Рос. экон. акад. им. Г. В. Плеханова, под ред. В. М. Попова, С. И. Ляпунова. – М. : Финансы и статистика, 2002. –  672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6. Бизнес-план. Методические материалы. Под редакцией профессора Р. Г. Маниловского. - М. : Финансы и статистика, 2005. - 156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7. Введение в финансовый менеджмент : учеб. пособие / Ковалев В. В. — М. : Финансы и статистика, 2006. – 768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 xml:space="preserve">8. Дасковский В. Б. Кисилев В. Б. Об эффективности инвестиций / Экономист М. : 2007. №3 с. 35 – 48. </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 xml:space="preserve">9. Долгосрочная и краткосрочная финансовая политика предприятия: Учеб.пособие/Под ред. И.Я.Лукасевича. - М.: Вузовский учебник, 2007. – </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 xml:space="preserve">10. Долгосрочная финансовая политика : Учебное пособие / Кривелевич М. Е. – Владивосток : ТИДОТ ДВГУ, 2005. - 136 с. </w:t>
      </w:r>
    </w:p>
    <w:p w:rsidR="00624D77" w:rsidRDefault="00624D77">
      <w:pPr>
        <w:pStyle w:val="a9"/>
        <w:spacing w:line="360" w:lineRule="auto"/>
        <w:ind w:firstLine="540"/>
        <w:jc w:val="both"/>
        <w:rPr>
          <w:rFonts w:ascii="Times New Roman" w:hAnsi="Times New Roman"/>
          <w:sz w:val="28"/>
        </w:rPr>
      </w:pPr>
      <w:r>
        <w:rPr>
          <w:rFonts w:ascii="Times New Roman" w:hAnsi="Times New Roman"/>
          <w:kern w:val="36"/>
          <w:sz w:val="28"/>
        </w:rPr>
        <w:t>11. Долгосрочная и краткосрочная финансовая политика предприятия</w:t>
      </w:r>
      <w:r>
        <w:rPr>
          <w:rFonts w:ascii="Times New Roman" w:hAnsi="Times New Roman"/>
          <w:sz w:val="28"/>
        </w:rPr>
        <w:t xml:space="preserve"> : учебник для Вузов / </w:t>
      </w:r>
      <w:hyperlink r:id="rId20" w:anchor="persons" w:tooltip="О. Н. Лихачева, С. А. Щуров" w:history="1">
        <w:r>
          <w:rPr>
            <w:rStyle w:val="a3"/>
            <w:rFonts w:ascii="Times New Roman" w:hAnsi="Times New Roman"/>
            <w:color w:val="auto"/>
            <w:sz w:val="28"/>
            <w:u w:val="none"/>
          </w:rPr>
          <w:t>О. Н. Лихачева, С. А. Щуров</w:t>
        </w:r>
      </w:hyperlink>
      <w:r>
        <w:rPr>
          <w:rFonts w:ascii="Times New Roman" w:hAnsi="Times New Roman"/>
          <w:sz w:val="28"/>
        </w:rPr>
        <w:t xml:space="preserve"> Издательство : </w:t>
      </w:r>
      <w:hyperlink r:id="rId21" w:tooltip="Издательство" w:history="1">
        <w:r>
          <w:rPr>
            <w:rStyle w:val="a3"/>
            <w:rFonts w:ascii="Times New Roman" w:hAnsi="Times New Roman"/>
            <w:color w:val="auto"/>
            <w:sz w:val="28"/>
            <w:u w:val="none"/>
          </w:rPr>
          <w:t>Вузовский учебник</w:t>
        </w:r>
      </w:hyperlink>
      <w:r>
        <w:rPr>
          <w:rFonts w:ascii="Times New Roman" w:hAnsi="Times New Roman"/>
          <w:sz w:val="28"/>
        </w:rPr>
        <w:t>, 2009. – 288 с.</w:t>
      </w:r>
    </w:p>
    <w:p w:rsidR="00624D77" w:rsidRDefault="00624D77">
      <w:pPr>
        <w:pStyle w:val="a9"/>
        <w:spacing w:line="360" w:lineRule="auto"/>
        <w:ind w:firstLine="540"/>
        <w:jc w:val="both"/>
        <w:rPr>
          <w:rFonts w:ascii="Times New Roman" w:hAnsi="Times New Roman"/>
          <w:sz w:val="28"/>
        </w:rPr>
      </w:pPr>
      <w:bookmarkStart w:id="20" w:name="_Toc273619874"/>
      <w:r>
        <w:rPr>
          <w:rFonts w:ascii="Times New Roman" w:hAnsi="Times New Roman"/>
          <w:sz w:val="28"/>
        </w:rPr>
        <w:t>12. Инвестиции : учеб. пособие / Под. ред. Л. Л. Игонина, -  М. : Экономист, 2006.</w:t>
      </w:r>
      <w:bookmarkEnd w:id="20"/>
      <w:r>
        <w:rPr>
          <w:rFonts w:ascii="Times New Roman" w:hAnsi="Times New Roman"/>
          <w:sz w:val="28"/>
        </w:rPr>
        <w:t xml:space="preserve"> – 480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 xml:space="preserve">13. Инвестиции : учебное пособие / Шарп У., Александер Г., Бейли Дж.  -  пер. с англ. – 10-е изд. пер. с англ. СПб : Питер, 2007. – 1024 с. </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14. Иностранные инвестиции : Учебное пособие / Зубченко Л. А. – М. : Книгодел, 2008. – 160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15. Инвестиционный проект : методы подготовки и анализа : учебное пособие / Липсиц И. В., Косов В. В.  – М. : изд. БЕК, 2004. –  294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 xml:space="preserve">16. Краткосрочная и долгосрочная финансовая политика : учебное пособие / </w:t>
      </w:r>
      <w:hyperlink r:id="rId22" w:history="1">
        <w:r>
          <w:rPr>
            <w:rStyle w:val="a3"/>
            <w:rFonts w:ascii="Times New Roman" w:hAnsi="Times New Roman"/>
            <w:color w:val="auto"/>
            <w:sz w:val="28"/>
            <w:u w:val="none"/>
          </w:rPr>
          <w:t>Когденко В. Г, Мельник М. В, Быковников</w:t>
        </w:r>
      </w:hyperlink>
      <w:r>
        <w:rPr>
          <w:rFonts w:ascii="Times New Roman" w:hAnsi="Times New Roman"/>
          <w:sz w:val="28"/>
          <w:lang w:val="en"/>
        </w:rPr>
        <w:t xml:space="preserve"> И. Л.</w:t>
      </w:r>
      <w:r>
        <w:rPr>
          <w:rFonts w:ascii="Times New Roman" w:hAnsi="Times New Roman"/>
          <w:sz w:val="28"/>
        </w:rPr>
        <w:t xml:space="preserve">  - М. : </w:t>
      </w:r>
      <w:hyperlink r:id="rId23" w:history="1">
        <w:r>
          <w:rPr>
            <w:rStyle w:val="a3"/>
            <w:rFonts w:ascii="Times New Roman" w:hAnsi="Times New Roman"/>
            <w:color w:val="auto"/>
            <w:sz w:val="28"/>
            <w:u w:val="none"/>
          </w:rPr>
          <w:t>ЮНИТИ</w:t>
        </w:r>
      </w:hyperlink>
      <w:r>
        <w:rPr>
          <w:rFonts w:ascii="Times New Roman" w:hAnsi="Times New Roman"/>
          <w:sz w:val="28"/>
        </w:rPr>
        <w:t>, 2010. – 471 с.</w:t>
      </w:r>
    </w:p>
    <w:p w:rsidR="00624D77" w:rsidRDefault="00624D77">
      <w:pPr>
        <w:pStyle w:val="a9"/>
        <w:spacing w:line="360" w:lineRule="auto"/>
        <w:ind w:firstLine="540"/>
        <w:jc w:val="both"/>
        <w:rPr>
          <w:rFonts w:ascii="Times New Roman" w:hAnsi="Times New Roman"/>
          <w:sz w:val="28"/>
        </w:rPr>
      </w:pPr>
      <w:r>
        <w:rPr>
          <w:rFonts w:ascii="Times New Roman" w:hAnsi="Times New Roman"/>
          <w:color w:val="000000"/>
          <w:sz w:val="28"/>
        </w:rPr>
        <w:t xml:space="preserve">17. Коммерческая </w:t>
      </w:r>
      <w:r>
        <w:rPr>
          <w:rStyle w:val="a6"/>
          <w:rFonts w:ascii="Times New Roman" w:hAnsi="Times New Roman"/>
          <w:b w:val="0"/>
          <w:color w:val="000000"/>
          <w:sz w:val="28"/>
        </w:rPr>
        <w:t>оценка</w:t>
      </w:r>
      <w:r>
        <w:rPr>
          <w:rFonts w:ascii="Times New Roman" w:hAnsi="Times New Roman"/>
          <w:b/>
          <w:color w:val="000000"/>
          <w:sz w:val="28"/>
        </w:rPr>
        <w:t xml:space="preserve"> </w:t>
      </w:r>
      <w:r>
        <w:rPr>
          <w:rStyle w:val="a6"/>
          <w:rFonts w:ascii="Times New Roman" w:hAnsi="Times New Roman"/>
          <w:b w:val="0"/>
          <w:color w:val="000000"/>
          <w:sz w:val="28"/>
        </w:rPr>
        <w:t>инвестиций</w:t>
      </w:r>
      <w:r>
        <w:rPr>
          <w:rFonts w:ascii="Times New Roman" w:hAnsi="Times New Roman"/>
          <w:color w:val="000000"/>
          <w:sz w:val="28"/>
        </w:rPr>
        <w:t xml:space="preserve"> :  </w:t>
      </w:r>
      <w:r>
        <w:rPr>
          <w:rStyle w:val="a6"/>
          <w:rFonts w:ascii="Times New Roman" w:hAnsi="Times New Roman"/>
          <w:b w:val="0"/>
          <w:color w:val="000000"/>
          <w:sz w:val="28"/>
        </w:rPr>
        <w:t>учебное</w:t>
      </w:r>
      <w:r>
        <w:rPr>
          <w:rFonts w:ascii="Times New Roman" w:hAnsi="Times New Roman"/>
          <w:b/>
          <w:color w:val="000000"/>
          <w:sz w:val="28"/>
        </w:rPr>
        <w:t xml:space="preserve"> </w:t>
      </w:r>
      <w:r>
        <w:rPr>
          <w:rStyle w:val="a6"/>
          <w:rFonts w:ascii="Times New Roman" w:hAnsi="Times New Roman"/>
          <w:b w:val="0"/>
          <w:color w:val="000000"/>
          <w:sz w:val="28"/>
        </w:rPr>
        <w:t>пособие</w:t>
      </w:r>
      <w:r>
        <w:rPr>
          <w:rFonts w:ascii="Times New Roman" w:hAnsi="Times New Roman"/>
          <w:color w:val="000000"/>
          <w:sz w:val="28"/>
        </w:rPr>
        <w:t xml:space="preserve"> для ВУЗов /  </w:t>
      </w:r>
      <w:hyperlink r:id="rId24" w:history="1">
        <w:r>
          <w:rPr>
            <w:rStyle w:val="a3"/>
            <w:rFonts w:ascii="Times New Roman" w:hAnsi="Times New Roman"/>
            <w:color w:val="auto"/>
            <w:sz w:val="28"/>
            <w:u w:val="none"/>
          </w:rPr>
          <w:t>Маховикова</w:t>
        </w:r>
      </w:hyperlink>
      <w:r>
        <w:rPr>
          <w:rFonts w:ascii="Times New Roman" w:hAnsi="Times New Roman"/>
          <w:sz w:val="28"/>
        </w:rPr>
        <w:t xml:space="preserve"> Г. А.  Есипов В. Е. Касьяненко Е. Г. – Издательство : </w:t>
      </w:r>
      <w:hyperlink r:id="rId25" w:history="1">
        <w:r>
          <w:rPr>
            <w:rStyle w:val="a3"/>
            <w:rFonts w:ascii="Times New Roman" w:hAnsi="Times New Roman"/>
            <w:color w:val="auto"/>
            <w:sz w:val="28"/>
            <w:u w:val="none"/>
          </w:rPr>
          <w:t>Кнорус</w:t>
        </w:r>
      </w:hyperlink>
      <w:r>
        <w:rPr>
          <w:rFonts w:ascii="Times New Roman" w:hAnsi="Times New Roman"/>
          <w:sz w:val="28"/>
        </w:rPr>
        <w:t>, 2009. – 704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18. Куксов А. Планирование деятельности предприятия // Экономист. М., 1996, № 6. 61-67 с.</w:t>
      </w:r>
      <w:r>
        <w:rPr>
          <w:rFonts w:ascii="Times New Roman" w:hAnsi="Times New Roman"/>
          <w:vanish/>
          <w:sz w:val="28"/>
        </w:rPr>
        <w:t xml:space="preserve">, </w:t>
      </w:r>
      <w:hyperlink r:id="rId26" w:history="1">
        <w:r>
          <w:rPr>
            <w:rStyle w:val="a3"/>
            <w:rFonts w:ascii="Times New Roman" w:hAnsi="Times New Roman"/>
            <w:vanish/>
            <w:sz w:val="28"/>
          </w:rPr>
          <w:t>Мирзажанов Сардор Кулмаматович</w:t>
        </w:r>
      </w:hyperlink>
      <w:r>
        <w:rPr>
          <w:rFonts w:ascii="Times New Roman" w:hAnsi="Times New Roman"/>
          <w:vanish/>
          <w:sz w:val="28"/>
        </w:rPr>
        <w:t> </w:t>
      </w:r>
      <w:r>
        <w:rPr>
          <w:rStyle w:val="self"/>
          <w:rFonts w:ascii="Times New Roman" w:hAnsi="Times New Roman"/>
          <w:vanish/>
          <w:sz w:val="28"/>
        </w:rPr>
        <w:t xml:space="preserve"> скрыть</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19. Методика разработки плана маркетинга : учебное пособие / Аникеев С. А. - Сер. практика маркетинга – М. : Форум, Информ - Студио, 2005. – 128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20. Организация и финансирование инвестиций : учебное пособие / Сергеев И. В, Вертенникова И. И., Яновский В. В. -  М. : Финансы и статистика, 2003. – 349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21. Основы финансового менеджмента : учебное пособие / Балабанов И. Т.  – М. : Финансы и статистика, 2004. -  512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22. Основы инвестирования : учебное пособие / Гитман Л. Дж., Джонк М. Д. - пер. с англ. - М. : Дело, 2003. - 1008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23. Основы инвестиционной деятельности : учебное пособие / Пересада А. А.  - К. : Либра, 2006. - 408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24. Основы инвестиционного менеджмента : учебное пособие / Бланк И. А. -  М. :  Ника-Центр, 2001. – 351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25. Основы финансового менеджмента. Как управлять капиталом : учебное пособие / Балабанов И. Т. – М. : Финансы и статистика, 2005. – 384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26. Оценка экономической эффективности инвестиций : учебное пособие / В. В. Царев,  - Издательства : Питер, 2004. – 460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 xml:space="preserve">27. </w:t>
      </w:r>
      <w:r>
        <w:rPr>
          <w:rFonts w:ascii="Times New Roman" w:hAnsi="Times New Roman"/>
          <w:color w:val="000000"/>
          <w:sz w:val="28"/>
        </w:rPr>
        <w:t>Планирование и анализ эффективности инвестиций : учебное пособие / Идрисов</w:t>
      </w:r>
      <w:r>
        <w:rPr>
          <w:rFonts w:ascii="Times New Roman" w:hAnsi="Times New Roman"/>
          <w:color w:val="000000"/>
          <w:sz w:val="28"/>
          <w:lang w:val="en-US"/>
        </w:rPr>
        <w:t xml:space="preserve"> </w:t>
      </w:r>
      <w:r>
        <w:rPr>
          <w:rFonts w:ascii="Times New Roman" w:hAnsi="Times New Roman"/>
          <w:color w:val="000000"/>
          <w:sz w:val="28"/>
        </w:rPr>
        <w:t>А</w:t>
      </w:r>
      <w:r>
        <w:rPr>
          <w:rFonts w:ascii="Times New Roman" w:hAnsi="Times New Roman"/>
          <w:color w:val="000000"/>
          <w:sz w:val="28"/>
          <w:lang w:val="en-US"/>
        </w:rPr>
        <w:t xml:space="preserve">. </w:t>
      </w:r>
      <w:r>
        <w:rPr>
          <w:rFonts w:ascii="Times New Roman" w:hAnsi="Times New Roman"/>
          <w:color w:val="000000"/>
          <w:sz w:val="28"/>
        </w:rPr>
        <w:t>Б</w:t>
      </w:r>
      <w:r>
        <w:rPr>
          <w:rFonts w:ascii="Times New Roman" w:hAnsi="Times New Roman"/>
          <w:color w:val="000000"/>
          <w:sz w:val="28"/>
          <w:lang w:val="en-US"/>
        </w:rPr>
        <w:t xml:space="preserve">.  — </w:t>
      </w:r>
      <w:r>
        <w:rPr>
          <w:rFonts w:ascii="Times New Roman" w:hAnsi="Times New Roman"/>
          <w:color w:val="000000"/>
          <w:sz w:val="28"/>
        </w:rPr>
        <w:t>М</w:t>
      </w:r>
      <w:r>
        <w:rPr>
          <w:rFonts w:ascii="Times New Roman" w:hAnsi="Times New Roman"/>
          <w:color w:val="000000"/>
          <w:sz w:val="28"/>
          <w:lang w:val="en-US"/>
        </w:rPr>
        <w:t xml:space="preserve">. : Pro - Invest Consulting , </w:t>
      </w:r>
      <w:r>
        <w:rPr>
          <w:rFonts w:ascii="Times New Roman" w:hAnsi="Times New Roman"/>
          <w:sz w:val="28"/>
          <w:lang w:val="en-US"/>
        </w:rPr>
        <w:t xml:space="preserve">2003. - 227 </w:t>
      </w:r>
      <w:r>
        <w:rPr>
          <w:rFonts w:ascii="Times New Roman" w:hAnsi="Times New Roman"/>
          <w:sz w:val="28"/>
        </w:rPr>
        <w:t>с</w:t>
      </w:r>
      <w:r>
        <w:rPr>
          <w:rFonts w:ascii="Times New Roman" w:hAnsi="Times New Roman"/>
          <w:sz w:val="28"/>
          <w:lang w:val="en-US"/>
        </w:rPr>
        <w:t>.</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 xml:space="preserve">28. Принятие инвестиционных решений : учебное пособие / Д Норткотт.- М. : ЮНИТИ, 2003. - 247 с. </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29. Приванов А., Ивантер А., Гурова Т. Привлечение инвестиций / А. Приванов // Экономист. – 2005 . - №35. – С 15-16.</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30. Проектный анализ : финансовый аспект : учебное пособие / Волков И. М, Грачева М. В, -  М. : Теис, 2004. -  423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31. Пумпянский Л. М. Инвестиционная деятельность предприятия / Л. М. Пумпянский // Эксперт. – 2004. - №37.- С.39-41.</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32. Руководство по оценке эффективности инвестиций : учебное пособие /  Хавранек П. М, Бекренс В. - М. : Инфра-М, 2006. – 120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33. Стратегическое планирование и анализ эффективности инвестиций : учебное пособие  / А. Б. Идрисов. – М. : Юнити, 2005. -  434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 xml:space="preserve">34. Стратегия развития предприятия : учебное пособие /  Горемыкин В. А, Нестерова Н. В. - М. : Дашков, 2004. – 594 с. </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35. Теории инвестиций : учебное пособие / Татаренко Н. О, Поручник А. М. - К. : КНЭУ, 2004. - 317 с.</w:t>
      </w:r>
    </w:p>
    <w:p w:rsidR="00624D77" w:rsidRDefault="00624D77">
      <w:pPr>
        <w:pStyle w:val="a9"/>
        <w:spacing w:line="360" w:lineRule="auto"/>
        <w:ind w:firstLine="540"/>
        <w:jc w:val="both"/>
        <w:rPr>
          <w:rFonts w:ascii="Times New Roman" w:hAnsi="Times New Roman"/>
          <w:sz w:val="28"/>
        </w:rPr>
      </w:pPr>
      <w:r>
        <w:rPr>
          <w:rFonts w:ascii="Times New Roman" w:hAnsi="Times New Roman"/>
          <w:sz w:val="28"/>
        </w:rPr>
        <w:t>36. Управление финансами предприятий : учебник  / Гончарук О. В. Кныш М. И. Шопенко Д. В. СПб. : Дмитрий Буланин, 2006. – 264 с.</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sz w:val="28"/>
        </w:rPr>
        <w:t xml:space="preserve">37. </w:t>
      </w:r>
      <w:r>
        <w:rPr>
          <w:rFonts w:ascii="Times New Roman" w:hAnsi="Times New Roman"/>
          <w:color w:val="000000"/>
          <w:sz w:val="28"/>
        </w:rPr>
        <w:t xml:space="preserve">Управление </w:t>
      </w:r>
      <w:r>
        <w:rPr>
          <w:rStyle w:val="a6"/>
          <w:rFonts w:ascii="Times New Roman" w:hAnsi="Times New Roman"/>
          <w:b w:val="0"/>
          <w:color w:val="000000"/>
          <w:sz w:val="28"/>
        </w:rPr>
        <w:t>инвестициями</w:t>
      </w:r>
      <w:r>
        <w:rPr>
          <w:rFonts w:ascii="Times New Roman" w:hAnsi="Times New Roman"/>
          <w:color w:val="000000"/>
          <w:sz w:val="28"/>
        </w:rPr>
        <w:t xml:space="preserve">: </w:t>
      </w:r>
      <w:r>
        <w:rPr>
          <w:rStyle w:val="a6"/>
          <w:rFonts w:ascii="Times New Roman" w:hAnsi="Times New Roman"/>
          <w:b w:val="0"/>
          <w:color w:val="000000"/>
          <w:sz w:val="28"/>
        </w:rPr>
        <w:t>учебное</w:t>
      </w:r>
      <w:r>
        <w:rPr>
          <w:rFonts w:ascii="Times New Roman" w:hAnsi="Times New Roman"/>
          <w:b/>
          <w:color w:val="000000"/>
          <w:sz w:val="28"/>
        </w:rPr>
        <w:t xml:space="preserve"> </w:t>
      </w:r>
      <w:r>
        <w:rPr>
          <w:rStyle w:val="a6"/>
          <w:rFonts w:ascii="Times New Roman" w:hAnsi="Times New Roman"/>
          <w:b w:val="0"/>
          <w:color w:val="000000"/>
          <w:sz w:val="28"/>
        </w:rPr>
        <w:t>пособие</w:t>
      </w:r>
      <w:r>
        <w:rPr>
          <w:rFonts w:ascii="Times New Roman" w:hAnsi="Times New Roman"/>
          <w:color w:val="000000"/>
          <w:sz w:val="28"/>
        </w:rPr>
        <w:t xml:space="preserve"> / Кузнецов Б. Т. – М. : Благовест- В,  2004. - 200 с. </w:t>
      </w:r>
    </w:p>
    <w:p w:rsidR="00624D77" w:rsidRDefault="00624D77">
      <w:pPr>
        <w:pStyle w:val="a9"/>
        <w:spacing w:line="360" w:lineRule="auto"/>
        <w:ind w:firstLine="540"/>
        <w:jc w:val="both"/>
        <w:rPr>
          <w:rFonts w:ascii="Times New Roman" w:hAnsi="Times New Roman"/>
          <w:color w:val="000000"/>
          <w:sz w:val="28"/>
        </w:rPr>
      </w:pPr>
      <w:r>
        <w:rPr>
          <w:rFonts w:ascii="Times New Roman" w:hAnsi="Times New Roman"/>
          <w:color w:val="000000"/>
          <w:sz w:val="28"/>
        </w:rPr>
        <w:t>38. Финансы : учебное пособие / Под ред. проф. А. М. Ковалевой. — М. : Финансы и статистика, 2005. – 384 с.</w:t>
      </w:r>
    </w:p>
    <w:p w:rsidR="00624D77" w:rsidRDefault="00624D77">
      <w:pPr>
        <w:pStyle w:val="a9"/>
        <w:spacing w:line="360" w:lineRule="auto"/>
        <w:ind w:firstLine="540"/>
        <w:jc w:val="both"/>
        <w:rPr>
          <w:rFonts w:ascii="Times New Roman" w:hAnsi="Times New Roman"/>
          <w:sz w:val="28"/>
        </w:rPr>
      </w:pPr>
      <w:r>
        <w:rPr>
          <w:rFonts w:ascii="Times New Roman" w:hAnsi="Times New Roman"/>
          <w:color w:val="000000"/>
          <w:sz w:val="28"/>
        </w:rPr>
        <w:t xml:space="preserve">39. </w:t>
      </w:r>
      <w:r>
        <w:rPr>
          <w:rFonts w:ascii="Times New Roman" w:hAnsi="Times New Roman"/>
          <w:sz w:val="28"/>
        </w:rPr>
        <w:t>Финансовый менеджмент : учебник / кол. авторов ; под ред. проф. Е. И. Шохина. – 2-е изд., стер. – М. : КНОРУС, 2010. – 480 с.</w:t>
      </w:r>
    </w:p>
    <w:p w:rsidR="00624D77" w:rsidRDefault="00624D77">
      <w:pPr>
        <w:pStyle w:val="31"/>
        <w:spacing w:after="0"/>
        <w:ind w:firstLine="540"/>
      </w:pPr>
      <w:r>
        <w:t>40. Финансы предприятий (организаций) : учебное пособие / под ред. Колчиной Н. В. - Изд. 3-е, перераб., доп. - М. : ЮНИТИ-ДАНА, 2007. 447 с.</w:t>
      </w:r>
    </w:p>
    <w:p w:rsidR="00624D77" w:rsidRDefault="00624D77">
      <w:pPr>
        <w:pStyle w:val="31"/>
        <w:spacing w:after="0"/>
        <w:ind w:firstLine="540"/>
      </w:pPr>
      <w:r>
        <w:t xml:space="preserve">41. </w:t>
      </w:r>
      <w:r>
        <w:rPr>
          <w:kern w:val="36"/>
        </w:rPr>
        <w:t xml:space="preserve">Финансовое планирование на предприятии : учебно-практическое пособие / </w:t>
      </w:r>
      <w:hyperlink r:id="rId27" w:anchor="persons" w:tooltip="О. Н. Лихачева" w:history="1">
        <w:r>
          <w:rPr>
            <w:rStyle w:val="a3"/>
            <w:color w:val="auto"/>
            <w:u w:val="none"/>
          </w:rPr>
          <w:t>О. Н. Лихачева</w:t>
        </w:r>
      </w:hyperlink>
      <w:r>
        <w:t xml:space="preserve">, -  Издательство : </w:t>
      </w:r>
      <w:hyperlink r:id="rId28" w:tooltip="Издательство" w:history="1">
        <w:r>
          <w:rPr>
            <w:rStyle w:val="a3"/>
            <w:color w:val="auto"/>
            <w:u w:val="none"/>
          </w:rPr>
          <w:t>ТК Велби</w:t>
        </w:r>
      </w:hyperlink>
      <w:r>
        <w:t>, 2005. - 264 с.</w:t>
      </w:r>
    </w:p>
    <w:p w:rsidR="00624D77" w:rsidRDefault="00624D77">
      <w:pPr>
        <w:pStyle w:val="31"/>
        <w:spacing w:after="0"/>
        <w:ind w:firstLine="540"/>
      </w:pPr>
      <w:r>
        <w:t>42. Финансовый менеджмент : теория и практика : учебное пособие / под ред. чл.-корр. АМИР  Е. С. Стояновой. – М. : Перспектива, 2003. - 506 с.</w:t>
      </w:r>
    </w:p>
    <w:p w:rsidR="00624D77" w:rsidRDefault="00624D77">
      <w:pPr>
        <w:pStyle w:val="31"/>
        <w:spacing w:after="0"/>
        <w:ind w:firstLine="540"/>
      </w:pPr>
      <w:r>
        <w:t>43. Финансовый менеджмент : учебник для вузов /  под ред. Г. Б. Поляка. – М. : Финансы, Издательское объединение : ЮНИТИ, 2005. - 518 с.</w:t>
      </w:r>
    </w:p>
    <w:p w:rsidR="00624D77" w:rsidRDefault="00624D77">
      <w:pPr>
        <w:pStyle w:val="31"/>
        <w:spacing w:after="0"/>
        <w:ind w:firstLine="540"/>
      </w:pPr>
      <w:r>
        <w:t>44. Финансовый анализ производственных инвестиций : учеб. пособие / Четыркин Е. М. - М. : Дело, 2002. -  256 стр.</w:t>
      </w:r>
    </w:p>
    <w:p w:rsidR="00624D77" w:rsidRDefault="00624D77">
      <w:pPr>
        <w:pStyle w:val="31"/>
        <w:spacing w:after="0"/>
        <w:ind w:firstLine="540"/>
      </w:pPr>
      <w:r>
        <w:t>45. Экономический анализ инвестиционных проектов : учебное пособие / Бирман Г., Шмидт С. пер. с англ. под ред. Л.П. Белых. – М. : Банки и биржи, ЮНИТИ, 2003. – 345 с.</w:t>
      </w:r>
    </w:p>
    <w:p w:rsidR="00624D77" w:rsidRDefault="00624D77">
      <w:pPr>
        <w:pStyle w:val="31"/>
        <w:spacing w:after="0"/>
        <w:ind w:firstLine="540"/>
      </w:pPr>
      <w:r>
        <w:t xml:space="preserve">46. Экономическая стратегия предприятия : учебное пособие / </w:t>
      </w:r>
      <w:hyperlink r:id="rId29" w:history="1">
        <w:r>
          <w:rPr>
            <w:rStyle w:val="a3"/>
            <w:color w:val="auto"/>
            <w:u w:val="none"/>
          </w:rPr>
          <w:t>Горемыкин В. А</w:t>
        </w:r>
      </w:hyperlink>
      <w:r>
        <w:t xml:space="preserve">, </w:t>
      </w:r>
      <w:hyperlink r:id="rId30" w:history="1">
        <w:r>
          <w:rPr>
            <w:rStyle w:val="a3"/>
            <w:color w:val="auto"/>
            <w:u w:val="none"/>
          </w:rPr>
          <w:t>Нестерова Н.</w:t>
        </w:r>
      </w:hyperlink>
      <w:r>
        <w:t xml:space="preserve"> Г. – М. : </w:t>
      </w:r>
      <w:hyperlink r:id="rId31" w:history="1">
        <w:r>
          <w:rPr>
            <w:rStyle w:val="a3"/>
            <w:color w:val="auto"/>
            <w:u w:val="none"/>
          </w:rPr>
          <w:t>Альфа-пресс</w:t>
        </w:r>
      </w:hyperlink>
      <w:r>
        <w:t>, 2007. – 540 с.</w:t>
      </w:r>
    </w:p>
    <w:p w:rsidR="00624D77" w:rsidRDefault="00624D77">
      <w:pPr>
        <w:pStyle w:val="31"/>
        <w:spacing w:after="0"/>
        <w:ind w:firstLine="540"/>
      </w:pPr>
      <w:r>
        <w:t>47. Экономика предприятия : учебное пособие  / Семёнов В. М. Баев И. А. Терехова С. А. - Центр экономики и маркетинга, изд. 4-е, перераб., доп. – М. : 2004. – 363 с.</w:t>
      </w:r>
    </w:p>
    <w:p w:rsidR="00624D77" w:rsidRDefault="00624D77">
      <w:pPr>
        <w:pStyle w:val="31"/>
        <w:spacing w:after="0"/>
        <w:ind w:firstLine="540"/>
      </w:pPr>
      <w:r>
        <w:t xml:space="preserve">48. Экономическая </w:t>
      </w:r>
      <w:r>
        <w:rPr>
          <w:rStyle w:val="a6"/>
          <w:b w:val="0"/>
          <w:color w:val="000000"/>
        </w:rPr>
        <w:t>оценка</w:t>
      </w:r>
      <w:r>
        <w:rPr>
          <w:b/>
        </w:rPr>
        <w:t xml:space="preserve"> </w:t>
      </w:r>
      <w:r>
        <w:rPr>
          <w:rStyle w:val="a6"/>
          <w:b w:val="0"/>
          <w:color w:val="000000"/>
        </w:rPr>
        <w:t>инвестиций</w:t>
      </w:r>
      <w:r>
        <w:t xml:space="preserve"> : </w:t>
      </w:r>
      <w:r>
        <w:rPr>
          <w:rStyle w:val="a6"/>
          <w:b w:val="0"/>
          <w:color w:val="000000"/>
        </w:rPr>
        <w:t>учебное</w:t>
      </w:r>
      <w:r>
        <w:rPr>
          <w:b/>
        </w:rPr>
        <w:t xml:space="preserve"> </w:t>
      </w:r>
      <w:r>
        <w:rPr>
          <w:rStyle w:val="a6"/>
          <w:b w:val="0"/>
          <w:color w:val="000000"/>
        </w:rPr>
        <w:t>пособие</w:t>
      </w:r>
      <w:r>
        <w:t xml:space="preserve"> / Ю. А.  Несветаев. –  Излательство :  МГИУ, 2005. – 163 с. </w:t>
      </w:r>
    </w:p>
    <w:p w:rsidR="00624D77" w:rsidRDefault="00624D77">
      <w:pPr>
        <w:pStyle w:val="31"/>
        <w:spacing w:after="0"/>
        <w:ind w:firstLine="540"/>
      </w:pPr>
      <w:r>
        <w:t xml:space="preserve">49. Энциклопедия финансового менеджмента : учеб. пособие / Бригхэм Юджин Ф. Майкл С. Эрхардт пер. с англ. 5-е изд. – М. : РАГС, ЭКОНОМИКА, 2007. -  960 с. </w:t>
      </w:r>
    </w:p>
    <w:p w:rsidR="00624D77" w:rsidRDefault="00624D77">
      <w:pPr>
        <w:pStyle w:val="31"/>
        <w:spacing w:after="0"/>
        <w:ind w:firstLine="540"/>
      </w:pPr>
      <w:r>
        <w:t>50. Экономика : учебник / под. Ред. к. э. н. доцента А. С. Булатова. - М. : Юристъ, 2005. – 247 с.</w:t>
      </w:r>
    </w:p>
    <w:p w:rsidR="00624D77" w:rsidRDefault="00624D77">
      <w:pPr>
        <w:pStyle w:val="1"/>
        <w:jc w:val="both"/>
        <w:rPr>
          <w:sz w:val="28"/>
        </w:rPr>
      </w:pPr>
    </w:p>
    <w:p w:rsidR="00624D77" w:rsidRDefault="00624D77">
      <w:pPr>
        <w:pStyle w:val="1"/>
        <w:jc w:val="both"/>
        <w:rPr>
          <w:sz w:val="28"/>
        </w:rPr>
      </w:pPr>
    </w:p>
    <w:p w:rsidR="00624D77" w:rsidRDefault="00624D77">
      <w:pPr>
        <w:pStyle w:val="1"/>
        <w:jc w:val="both"/>
        <w:rPr>
          <w:sz w:val="28"/>
        </w:rPr>
      </w:pPr>
    </w:p>
    <w:p w:rsidR="00624D77" w:rsidRDefault="00624D77">
      <w:pPr>
        <w:rPr>
          <w:rFonts w:ascii="Times New Roman" w:hAnsi="Times New Roman"/>
          <w:vanish/>
          <w:sz w:val="28"/>
        </w:rPr>
      </w:pPr>
      <w:r>
        <w:rPr>
          <w:rFonts w:ascii="Times New Roman" w:hAnsi="Times New Roman"/>
          <w:vanish/>
          <w:sz w:val="28"/>
        </w:rPr>
        <w:br/>
      </w:r>
    </w:p>
    <w:p w:rsidR="00624D77" w:rsidRDefault="00624D77">
      <w:pPr>
        <w:pStyle w:val="1"/>
        <w:jc w:val="both"/>
        <w:rPr>
          <w:sz w:val="28"/>
        </w:rPr>
      </w:pPr>
    </w:p>
    <w:p w:rsidR="00624D77" w:rsidRDefault="00624D77">
      <w:pPr>
        <w:pStyle w:val="2"/>
        <w:jc w:val="right"/>
        <w:rPr>
          <w:rFonts w:ascii="Times New Roman" w:hAnsi="Times New Roman"/>
          <w:b w:val="0"/>
          <w:i w:val="0"/>
          <w:sz w:val="24"/>
        </w:rPr>
      </w:pPr>
      <w:bookmarkStart w:id="21" w:name="_Toc273708339"/>
      <w:r>
        <w:rPr>
          <w:rFonts w:ascii="Times New Roman" w:hAnsi="Times New Roman"/>
          <w:b w:val="0"/>
          <w:i w:val="0"/>
          <w:sz w:val="24"/>
        </w:rPr>
        <w:t>Приложение 1.</w:t>
      </w:r>
      <w:bookmarkEnd w:id="21"/>
    </w:p>
    <w:p w:rsidR="00624D77" w:rsidRDefault="00624D77">
      <w:pPr>
        <w:jc w:val="center"/>
        <w:rPr>
          <w:b/>
        </w:rPr>
      </w:pPr>
      <w:r>
        <w:rPr>
          <w:b/>
        </w:rPr>
        <w:t>Бухгалтерский баланс</w:t>
      </w:r>
      <w:r>
        <w:rPr>
          <w:b/>
        </w:rPr>
        <w:br/>
        <w:t>на 31 декабря 2009 г.</w:t>
      </w:r>
    </w:p>
    <w:tbl>
      <w:tblPr>
        <w:tblW w:w="0" w:type="auto"/>
        <w:tblInd w:w="-72" w:type="dxa"/>
        <w:tblLayout w:type="fixed"/>
        <w:tblCellMar>
          <w:left w:w="72" w:type="dxa"/>
          <w:right w:w="72" w:type="dxa"/>
        </w:tblCellMar>
        <w:tblLook w:val="0000" w:firstRow="0" w:lastRow="0" w:firstColumn="0" w:lastColumn="0" w:noHBand="0" w:noVBand="0"/>
      </w:tblPr>
      <w:tblGrid>
        <w:gridCol w:w="6112"/>
        <w:gridCol w:w="1560"/>
        <w:gridCol w:w="1580"/>
      </w:tblGrid>
      <w:tr w:rsidR="00624D77">
        <w:tc>
          <w:tcPr>
            <w:tcW w:w="6112" w:type="dxa"/>
          </w:tcPr>
          <w:p w:rsidR="00624D77" w:rsidRDefault="00624D77"/>
        </w:tc>
        <w:tc>
          <w:tcPr>
            <w:tcW w:w="1560" w:type="dxa"/>
          </w:tcPr>
          <w:p w:rsidR="00624D77" w:rsidRDefault="00624D77"/>
        </w:tc>
        <w:tc>
          <w:tcPr>
            <w:tcW w:w="1580" w:type="dxa"/>
            <w:tcBorders>
              <w:top w:val="single" w:sz="6" w:space="0" w:color="auto"/>
              <w:left w:val="single" w:sz="6" w:space="0" w:color="auto"/>
              <w:bottom w:val="single" w:sz="6" w:space="0" w:color="auto"/>
              <w:right w:val="single" w:sz="6" w:space="0" w:color="auto"/>
            </w:tcBorders>
          </w:tcPr>
          <w:p w:rsidR="00624D77" w:rsidRDefault="00624D77">
            <w:pPr>
              <w:jc w:val="center"/>
            </w:pPr>
            <w:r>
              <w:t>Коды</w:t>
            </w:r>
          </w:p>
        </w:tc>
      </w:tr>
      <w:tr w:rsidR="00624D77">
        <w:tc>
          <w:tcPr>
            <w:tcW w:w="7672" w:type="dxa"/>
            <w:gridSpan w:val="2"/>
          </w:tcPr>
          <w:p w:rsidR="00624D77" w:rsidRDefault="00624D77">
            <w:pPr>
              <w:jc w:val="right"/>
            </w:pPr>
            <w:r>
              <w:t>Форма № 1 по ОКУД</w:t>
            </w:r>
          </w:p>
        </w:tc>
        <w:tc>
          <w:tcPr>
            <w:tcW w:w="1580" w:type="dxa"/>
            <w:tcBorders>
              <w:top w:val="single" w:sz="6" w:space="0" w:color="auto"/>
              <w:left w:val="single" w:sz="6" w:space="0" w:color="auto"/>
              <w:bottom w:val="single" w:sz="6" w:space="0" w:color="auto"/>
              <w:right w:val="single" w:sz="6" w:space="0" w:color="auto"/>
            </w:tcBorders>
          </w:tcPr>
          <w:p w:rsidR="00624D77" w:rsidRDefault="00624D77">
            <w:pPr>
              <w:jc w:val="center"/>
              <w:rPr>
                <w:b/>
              </w:rPr>
            </w:pPr>
            <w:r>
              <w:rPr>
                <w:b/>
              </w:rPr>
              <w:t>0710001</w:t>
            </w:r>
          </w:p>
        </w:tc>
      </w:tr>
      <w:tr w:rsidR="00624D77">
        <w:tc>
          <w:tcPr>
            <w:tcW w:w="6112" w:type="dxa"/>
          </w:tcPr>
          <w:p w:rsidR="00624D77" w:rsidRDefault="00624D77"/>
        </w:tc>
        <w:tc>
          <w:tcPr>
            <w:tcW w:w="1560" w:type="dxa"/>
          </w:tcPr>
          <w:p w:rsidR="00624D77" w:rsidRDefault="00624D77">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624D77" w:rsidRDefault="00624D77">
            <w:pPr>
              <w:jc w:val="center"/>
              <w:rPr>
                <w:b/>
              </w:rPr>
            </w:pPr>
            <w:r>
              <w:rPr>
                <w:b/>
              </w:rPr>
              <w:t>31.12.2009</w:t>
            </w:r>
          </w:p>
        </w:tc>
      </w:tr>
      <w:tr w:rsidR="00624D77">
        <w:tc>
          <w:tcPr>
            <w:tcW w:w="6112" w:type="dxa"/>
          </w:tcPr>
          <w:p w:rsidR="00624D77" w:rsidRDefault="00624D77">
            <w:pPr>
              <w:rPr>
                <w:b/>
              </w:rPr>
            </w:pPr>
            <w:r>
              <w:t>Организация:</w:t>
            </w:r>
            <w:r>
              <w:rPr>
                <w:b/>
              </w:rPr>
              <w:t xml:space="preserve"> Открытое акционерное общество "Чебоксарский завод промышленных тракторов"</w:t>
            </w:r>
          </w:p>
        </w:tc>
        <w:tc>
          <w:tcPr>
            <w:tcW w:w="1560" w:type="dxa"/>
          </w:tcPr>
          <w:p w:rsidR="00624D77" w:rsidRDefault="00624D77">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624D77" w:rsidRDefault="00624D77">
            <w:pPr>
              <w:jc w:val="center"/>
              <w:rPr>
                <w:b/>
              </w:rPr>
            </w:pPr>
            <w:r>
              <w:rPr>
                <w:b/>
              </w:rPr>
              <w:t>05797121</w:t>
            </w:r>
          </w:p>
        </w:tc>
      </w:tr>
      <w:tr w:rsidR="00624D77">
        <w:tc>
          <w:tcPr>
            <w:tcW w:w="6112" w:type="dxa"/>
          </w:tcPr>
          <w:p w:rsidR="00624D77" w:rsidRDefault="00624D77">
            <w:r>
              <w:t>Идентификационный номер налогоплательщика</w:t>
            </w:r>
          </w:p>
        </w:tc>
        <w:tc>
          <w:tcPr>
            <w:tcW w:w="1560" w:type="dxa"/>
          </w:tcPr>
          <w:p w:rsidR="00624D77" w:rsidRDefault="00624D77">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624D77" w:rsidRDefault="00624D77">
            <w:pPr>
              <w:jc w:val="center"/>
              <w:rPr>
                <w:b/>
              </w:rPr>
            </w:pPr>
            <w:r>
              <w:rPr>
                <w:b/>
              </w:rPr>
              <w:t>2126003074</w:t>
            </w:r>
          </w:p>
        </w:tc>
      </w:tr>
      <w:tr w:rsidR="00624D77">
        <w:tc>
          <w:tcPr>
            <w:tcW w:w="6112" w:type="dxa"/>
          </w:tcPr>
          <w:p w:rsidR="00624D77" w:rsidRDefault="00624D77">
            <w:r>
              <w:t>Вид деятельности</w:t>
            </w:r>
          </w:p>
        </w:tc>
        <w:tc>
          <w:tcPr>
            <w:tcW w:w="1560" w:type="dxa"/>
          </w:tcPr>
          <w:p w:rsidR="00624D77" w:rsidRDefault="00624D77">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624D77" w:rsidRDefault="00624D77">
            <w:pPr>
              <w:jc w:val="center"/>
              <w:rPr>
                <w:b/>
              </w:rPr>
            </w:pPr>
            <w:r>
              <w:rPr>
                <w:b/>
              </w:rPr>
              <w:t>29.52</w:t>
            </w:r>
          </w:p>
        </w:tc>
      </w:tr>
      <w:tr w:rsidR="00624D77">
        <w:tc>
          <w:tcPr>
            <w:tcW w:w="6112" w:type="dxa"/>
          </w:tcPr>
          <w:p w:rsidR="00624D77" w:rsidRDefault="00624D77">
            <w:pPr>
              <w:rPr>
                <w:b/>
              </w:rPr>
            </w:pPr>
            <w:r>
              <w:t>Организационно-правовая форма / форма собственности:</w:t>
            </w:r>
            <w:r>
              <w:rPr>
                <w:b/>
              </w:rPr>
              <w:t xml:space="preserve"> открытое акционерное общество</w:t>
            </w:r>
          </w:p>
        </w:tc>
        <w:tc>
          <w:tcPr>
            <w:tcW w:w="1560" w:type="dxa"/>
          </w:tcPr>
          <w:p w:rsidR="00624D77" w:rsidRDefault="00624D77">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624D77" w:rsidRDefault="00624D77"/>
        </w:tc>
      </w:tr>
      <w:tr w:rsidR="00624D77">
        <w:tc>
          <w:tcPr>
            <w:tcW w:w="6112" w:type="dxa"/>
          </w:tcPr>
          <w:p w:rsidR="00624D77" w:rsidRDefault="00624D77">
            <w:pPr>
              <w:rPr>
                <w:b/>
              </w:rPr>
            </w:pPr>
            <w:r>
              <w:t>Единица измерения:</w:t>
            </w:r>
            <w:r>
              <w:rPr>
                <w:b/>
              </w:rPr>
              <w:t xml:space="preserve"> тыс. руб.</w:t>
            </w:r>
          </w:p>
        </w:tc>
        <w:tc>
          <w:tcPr>
            <w:tcW w:w="1560" w:type="dxa"/>
          </w:tcPr>
          <w:p w:rsidR="00624D77" w:rsidRDefault="00624D77">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624D77" w:rsidRDefault="00624D77">
            <w:pPr>
              <w:jc w:val="center"/>
              <w:rPr>
                <w:b/>
              </w:rPr>
            </w:pPr>
            <w:r>
              <w:rPr>
                <w:b/>
              </w:rPr>
              <w:t>384</w:t>
            </w:r>
          </w:p>
        </w:tc>
      </w:tr>
      <w:tr w:rsidR="00624D77">
        <w:tc>
          <w:tcPr>
            <w:tcW w:w="6112" w:type="dxa"/>
          </w:tcPr>
          <w:p w:rsidR="00624D77" w:rsidRDefault="00624D77">
            <w:pPr>
              <w:rPr>
                <w:b/>
              </w:rPr>
            </w:pPr>
            <w:r>
              <w:t>Местонахождение (адрес):</w:t>
            </w:r>
            <w:r>
              <w:rPr>
                <w:b/>
              </w:rPr>
              <w:t xml:space="preserve"> 428027 Россия, г.Чебоксары, Хузангая 26 корп. Б</w:t>
            </w:r>
          </w:p>
        </w:tc>
        <w:tc>
          <w:tcPr>
            <w:tcW w:w="1560" w:type="dxa"/>
          </w:tcPr>
          <w:p w:rsidR="00624D77" w:rsidRDefault="00624D77"/>
        </w:tc>
        <w:tc>
          <w:tcPr>
            <w:tcW w:w="1580" w:type="dxa"/>
          </w:tcPr>
          <w:p w:rsidR="00624D77" w:rsidRDefault="00624D77"/>
        </w:tc>
      </w:tr>
    </w:tbl>
    <w:p w:rsidR="00624D77" w:rsidRDefault="00624D77">
      <w:pPr>
        <w:pStyle w:val="ThinDelim"/>
      </w:pPr>
    </w:p>
    <w:tbl>
      <w:tblPr>
        <w:tblW w:w="0" w:type="auto"/>
        <w:tblInd w:w="-95" w:type="dxa"/>
        <w:tblLayout w:type="fixed"/>
        <w:tblCellMar>
          <w:left w:w="72" w:type="dxa"/>
          <w:right w:w="72" w:type="dxa"/>
        </w:tblCellMar>
        <w:tblLook w:val="0000" w:firstRow="0" w:lastRow="0" w:firstColumn="0" w:lastColumn="0" w:noHBand="0" w:noVBand="0"/>
      </w:tblPr>
      <w:tblGrid>
        <w:gridCol w:w="5392"/>
        <w:gridCol w:w="720"/>
        <w:gridCol w:w="1560"/>
        <w:gridCol w:w="1580"/>
      </w:tblGrid>
      <w:tr w:rsidR="00624D77">
        <w:tc>
          <w:tcPr>
            <w:tcW w:w="5392" w:type="dxa"/>
            <w:tcBorders>
              <w:top w:val="double" w:sz="6" w:space="0" w:color="auto"/>
              <w:left w:val="double" w:sz="6" w:space="0" w:color="auto"/>
              <w:bottom w:val="single" w:sz="6" w:space="0" w:color="auto"/>
              <w:right w:val="single" w:sz="6" w:space="0" w:color="auto"/>
            </w:tcBorders>
          </w:tcPr>
          <w:p w:rsidR="00624D77" w:rsidRDefault="00624D77">
            <w:pPr>
              <w:jc w:val="center"/>
            </w:pPr>
            <w:r>
              <w:t>АКТИВ</w:t>
            </w:r>
          </w:p>
        </w:tc>
        <w:tc>
          <w:tcPr>
            <w:tcW w:w="720" w:type="dxa"/>
            <w:tcBorders>
              <w:top w:val="double" w:sz="6" w:space="0" w:color="auto"/>
              <w:left w:val="single" w:sz="6" w:space="0" w:color="auto"/>
              <w:bottom w:val="single" w:sz="6" w:space="0" w:color="auto"/>
              <w:right w:val="single" w:sz="6" w:space="0" w:color="auto"/>
            </w:tcBorders>
          </w:tcPr>
          <w:p w:rsidR="00624D77" w:rsidRDefault="00624D77">
            <w:pPr>
              <w:jc w:val="center"/>
            </w:pPr>
            <w:r>
              <w:t>Код строки</w:t>
            </w:r>
          </w:p>
        </w:tc>
        <w:tc>
          <w:tcPr>
            <w:tcW w:w="1560" w:type="dxa"/>
            <w:tcBorders>
              <w:top w:val="double" w:sz="6" w:space="0" w:color="auto"/>
              <w:left w:val="single" w:sz="6" w:space="0" w:color="auto"/>
              <w:bottom w:val="single" w:sz="6" w:space="0" w:color="auto"/>
              <w:right w:val="single" w:sz="6" w:space="0" w:color="auto"/>
            </w:tcBorders>
          </w:tcPr>
          <w:p w:rsidR="00624D77" w:rsidRDefault="00624D77">
            <w:pPr>
              <w:jc w:val="center"/>
            </w:pPr>
            <w:r>
              <w:t>На начало отчетного года</w:t>
            </w:r>
          </w:p>
        </w:tc>
        <w:tc>
          <w:tcPr>
            <w:tcW w:w="1580" w:type="dxa"/>
            <w:tcBorders>
              <w:top w:val="double" w:sz="6" w:space="0" w:color="auto"/>
              <w:left w:val="single" w:sz="6" w:space="0" w:color="auto"/>
              <w:bottom w:val="single" w:sz="6" w:space="0" w:color="auto"/>
              <w:right w:val="double" w:sz="6" w:space="0" w:color="auto"/>
            </w:tcBorders>
          </w:tcPr>
          <w:p w:rsidR="00624D77" w:rsidRDefault="00624D77">
            <w:pPr>
              <w:jc w:val="center"/>
            </w:pPr>
            <w:r>
              <w:t>На конец отчетного периода</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pPr>
              <w:jc w:val="center"/>
            </w:pPr>
            <w:r>
              <w:t>1</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center"/>
            </w:pPr>
            <w:r>
              <w:t>3</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center"/>
            </w:pPr>
            <w:r>
              <w:t>4</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110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3 102</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161</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120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1 933 376</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2 031 729</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Незавершенное строительство</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130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120 802</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290 314</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135</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Долгосрочные 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140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457 196</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489 790</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прочие долгосрочные 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145</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148</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7 658</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239 536</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Прочие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150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ИТОГО по разделу I</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190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2 522 134</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3 051 530</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II.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Запасы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210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2 067 082</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1 143 162</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сырье, материалы и другие аналогичные ценности</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211</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1 222 925</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647 279</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животные на выращивании и откорме</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212</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затраты в незавершенном производстве (издержках обращения)</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213</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300 872</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222 685</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готовая продукция и товары для перепродажи</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214</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407 198</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258 120</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товары отгруженные</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215</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118 623</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5 593</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расходы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216</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17 464</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9 485</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прочие запасы и затраты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217</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220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95 823</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94 601</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Дебиторская задолженность (платежи по которой ожидаются более чем через 12 месяцев после отчетной даты)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230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915</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148 657</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покупатели и заказчики (62, 76, 82)</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231</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Дебиторская задолженность (платежи по которой ожидаются в течение 12 месяцев после отчетной даты)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240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3 160 346</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4 055 539</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покупатели и заказчики (62, 76, 82)</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241</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940 596</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775 621</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Краткосрочные финансовые вложения (56,58,82)</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250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4 625 694</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4 545 997</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займы, предоставленные организациям на срок менее 12 месяцев</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251</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252</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прочие краткосрочные 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253</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Денежные средства</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260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3 022</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1 475</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270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ИТОГО по разделу II</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290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9 952 882</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9 989 431</w:t>
            </w:r>
          </w:p>
        </w:tc>
      </w:tr>
      <w:tr w:rsidR="00624D77">
        <w:tc>
          <w:tcPr>
            <w:tcW w:w="5392" w:type="dxa"/>
            <w:tcBorders>
              <w:top w:val="single" w:sz="6" w:space="0" w:color="auto"/>
              <w:left w:val="double" w:sz="6" w:space="0" w:color="auto"/>
              <w:bottom w:val="double" w:sz="6" w:space="0" w:color="auto"/>
              <w:right w:val="single" w:sz="6" w:space="0" w:color="auto"/>
            </w:tcBorders>
          </w:tcPr>
          <w:p w:rsidR="00624D77" w:rsidRDefault="00624D77">
            <w:r>
              <w:t>БАЛАНС (сумма строк 190 + 290)</w:t>
            </w:r>
          </w:p>
        </w:tc>
        <w:tc>
          <w:tcPr>
            <w:tcW w:w="720" w:type="dxa"/>
            <w:tcBorders>
              <w:top w:val="single" w:sz="6" w:space="0" w:color="auto"/>
              <w:left w:val="single" w:sz="6" w:space="0" w:color="auto"/>
              <w:bottom w:val="double" w:sz="6" w:space="0" w:color="auto"/>
              <w:right w:val="single" w:sz="6" w:space="0" w:color="auto"/>
            </w:tcBorders>
          </w:tcPr>
          <w:p w:rsidR="00624D77" w:rsidRDefault="00624D77">
            <w:pPr>
              <w:jc w:val="center"/>
            </w:pPr>
            <w:r>
              <w:t>300</w:t>
            </w:r>
          </w:p>
        </w:tc>
        <w:tc>
          <w:tcPr>
            <w:tcW w:w="1560" w:type="dxa"/>
            <w:tcBorders>
              <w:top w:val="single" w:sz="6" w:space="0" w:color="auto"/>
              <w:left w:val="single" w:sz="6" w:space="0" w:color="auto"/>
              <w:bottom w:val="double" w:sz="6" w:space="0" w:color="auto"/>
              <w:right w:val="single" w:sz="6" w:space="0" w:color="auto"/>
            </w:tcBorders>
          </w:tcPr>
          <w:p w:rsidR="00624D77" w:rsidRDefault="00624D77">
            <w:pPr>
              <w:jc w:val="right"/>
            </w:pPr>
            <w:r>
              <w:t>12 475 016</w:t>
            </w:r>
          </w:p>
        </w:tc>
        <w:tc>
          <w:tcPr>
            <w:tcW w:w="1580" w:type="dxa"/>
            <w:tcBorders>
              <w:top w:val="single" w:sz="6" w:space="0" w:color="auto"/>
              <w:left w:val="single" w:sz="6" w:space="0" w:color="auto"/>
              <w:bottom w:val="double" w:sz="6" w:space="0" w:color="auto"/>
              <w:right w:val="double" w:sz="6" w:space="0" w:color="auto"/>
            </w:tcBorders>
          </w:tcPr>
          <w:p w:rsidR="00624D77" w:rsidRDefault="00624D77">
            <w:pPr>
              <w:jc w:val="right"/>
            </w:pPr>
            <w:r>
              <w:t>13 040 961</w:t>
            </w:r>
          </w:p>
        </w:tc>
      </w:tr>
    </w:tbl>
    <w:p w:rsidR="00624D77" w:rsidRDefault="00624D77"/>
    <w:p w:rsidR="00624D77" w:rsidRDefault="00624D77">
      <w:pPr>
        <w:pStyle w:val="ThinDelim"/>
      </w:pPr>
    </w:p>
    <w:tbl>
      <w:tblPr>
        <w:tblW w:w="0" w:type="auto"/>
        <w:tblInd w:w="-95" w:type="dxa"/>
        <w:tblLayout w:type="fixed"/>
        <w:tblCellMar>
          <w:left w:w="72" w:type="dxa"/>
          <w:right w:w="72" w:type="dxa"/>
        </w:tblCellMar>
        <w:tblLook w:val="0000" w:firstRow="0" w:lastRow="0" w:firstColumn="0" w:lastColumn="0" w:noHBand="0" w:noVBand="0"/>
      </w:tblPr>
      <w:tblGrid>
        <w:gridCol w:w="5392"/>
        <w:gridCol w:w="720"/>
        <w:gridCol w:w="1560"/>
        <w:gridCol w:w="1580"/>
      </w:tblGrid>
      <w:tr w:rsidR="00624D77">
        <w:tc>
          <w:tcPr>
            <w:tcW w:w="5392" w:type="dxa"/>
            <w:tcBorders>
              <w:top w:val="double" w:sz="6" w:space="0" w:color="auto"/>
              <w:left w:val="double" w:sz="6" w:space="0" w:color="auto"/>
              <w:bottom w:val="single" w:sz="6" w:space="0" w:color="auto"/>
              <w:right w:val="single" w:sz="6" w:space="0" w:color="auto"/>
            </w:tcBorders>
          </w:tcPr>
          <w:p w:rsidR="00624D77" w:rsidRDefault="00624D77">
            <w:pPr>
              <w:jc w:val="center"/>
            </w:pPr>
            <w:r>
              <w:t>ПАССИВ</w:t>
            </w:r>
          </w:p>
        </w:tc>
        <w:tc>
          <w:tcPr>
            <w:tcW w:w="720" w:type="dxa"/>
            <w:tcBorders>
              <w:top w:val="double" w:sz="6" w:space="0" w:color="auto"/>
              <w:left w:val="single" w:sz="6" w:space="0" w:color="auto"/>
              <w:bottom w:val="single" w:sz="6" w:space="0" w:color="auto"/>
              <w:right w:val="single" w:sz="6" w:space="0" w:color="auto"/>
            </w:tcBorders>
          </w:tcPr>
          <w:p w:rsidR="00624D77" w:rsidRDefault="00624D77">
            <w:pPr>
              <w:jc w:val="center"/>
            </w:pPr>
            <w:r>
              <w:t>Код строки</w:t>
            </w:r>
          </w:p>
        </w:tc>
        <w:tc>
          <w:tcPr>
            <w:tcW w:w="1560" w:type="dxa"/>
            <w:tcBorders>
              <w:top w:val="double" w:sz="6" w:space="0" w:color="auto"/>
              <w:left w:val="single" w:sz="6" w:space="0" w:color="auto"/>
              <w:bottom w:val="single" w:sz="6" w:space="0" w:color="auto"/>
              <w:right w:val="single" w:sz="6" w:space="0" w:color="auto"/>
            </w:tcBorders>
          </w:tcPr>
          <w:p w:rsidR="00624D77" w:rsidRDefault="00624D77">
            <w:pPr>
              <w:jc w:val="center"/>
            </w:pPr>
            <w:r>
              <w:t>На начало отчетного года</w:t>
            </w:r>
          </w:p>
        </w:tc>
        <w:tc>
          <w:tcPr>
            <w:tcW w:w="1580" w:type="dxa"/>
            <w:tcBorders>
              <w:top w:val="double" w:sz="6" w:space="0" w:color="auto"/>
              <w:left w:val="single" w:sz="6" w:space="0" w:color="auto"/>
              <w:bottom w:val="single" w:sz="6" w:space="0" w:color="auto"/>
              <w:right w:val="double" w:sz="6" w:space="0" w:color="auto"/>
            </w:tcBorders>
          </w:tcPr>
          <w:p w:rsidR="00624D77" w:rsidRDefault="00624D77">
            <w:pPr>
              <w:jc w:val="center"/>
            </w:pPr>
            <w:r>
              <w:t>На конец отчетного периода</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pPr>
              <w:jc w:val="center"/>
            </w:pPr>
            <w:r>
              <w:t>1</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center"/>
            </w:pPr>
            <w:r>
              <w:t>3</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center"/>
            </w:pPr>
            <w:r>
              <w:t>4</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Уставный капитал</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410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96 497</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96 497</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411</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Добавочный капитал</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420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887 096</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868 070</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Резервный капитал</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430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39 269</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39 269</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резервы, образованные в соответствии с законодательством</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431</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19 233</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19 233</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резервы, образованные в соответствии с учредительными документами</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432</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20 036</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20 036</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470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2 203 700</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1 021 138</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ИТОГО по разделу III</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490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3 226 562</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2 024 974</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624D77" w:rsidRDefault="00624D77"/>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Займы и кредиты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510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2 734 616</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561 781</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515</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21 209</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33 219</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Прочие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520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454 098</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306 794</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ИТОГО по разделу IV</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590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3 209 923</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901 794</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624D77" w:rsidRDefault="00624D77"/>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Займы и кредиты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610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4 935 396</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7 528 823</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620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1 103 135</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2 551 860</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поставщики и подрядчики</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621</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838 565</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774 277</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задолженность перед персоналом организации</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622</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21 991</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32 925</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задолженность перед государственными внебюджетными фондами</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623</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43 693</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16 843</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задолженность по налогам и сборам</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624</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63 229</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40 653</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прочие кредиторы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625</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135 657</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1 687 162</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Задолженность перед участниками (учредителями) по выплате доходов</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630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640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476</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Резервы предстоящих расходов</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650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21 164</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Прочие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660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11 870</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ИТОГО по разделу V</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690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6 038 531</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10 114 193</w:t>
            </w:r>
          </w:p>
        </w:tc>
      </w:tr>
      <w:tr w:rsidR="00624D77">
        <w:tc>
          <w:tcPr>
            <w:tcW w:w="5392" w:type="dxa"/>
            <w:tcBorders>
              <w:top w:val="single" w:sz="6" w:space="0" w:color="auto"/>
              <w:left w:val="double" w:sz="6" w:space="0" w:color="auto"/>
              <w:bottom w:val="double" w:sz="6" w:space="0" w:color="auto"/>
              <w:right w:val="single" w:sz="6" w:space="0" w:color="auto"/>
            </w:tcBorders>
          </w:tcPr>
          <w:p w:rsidR="00624D77" w:rsidRDefault="00624D77">
            <w:r>
              <w:t>БАЛАНС (сумма строк 490 + 590 + 690)</w:t>
            </w:r>
          </w:p>
        </w:tc>
        <w:tc>
          <w:tcPr>
            <w:tcW w:w="720" w:type="dxa"/>
            <w:tcBorders>
              <w:top w:val="single" w:sz="6" w:space="0" w:color="auto"/>
              <w:left w:val="single" w:sz="6" w:space="0" w:color="auto"/>
              <w:bottom w:val="double" w:sz="6" w:space="0" w:color="auto"/>
              <w:right w:val="single" w:sz="6" w:space="0" w:color="auto"/>
            </w:tcBorders>
          </w:tcPr>
          <w:p w:rsidR="00624D77" w:rsidRDefault="00624D77">
            <w:pPr>
              <w:jc w:val="center"/>
            </w:pPr>
            <w:r>
              <w:t>700</w:t>
            </w:r>
          </w:p>
        </w:tc>
        <w:tc>
          <w:tcPr>
            <w:tcW w:w="1560" w:type="dxa"/>
            <w:tcBorders>
              <w:top w:val="single" w:sz="6" w:space="0" w:color="auto"/>
              <w:left w:val="single" w:sz="6" w:space="0" w:color="auto"/>
              <w:bottom w:val="double" w:sz="6" w:space="0" w:color="auto"/>
              <w:right w:val="single" w:sz="6" w:space="0" w:color="auto"/>
            </w:tcBorders>
          </w:tcPr>
          <w:p w:rsidR="00624D77" w:rsidRDefault="00624D77">
            <w:pPr>
              <w:jc w:val="right"/>
            </w:pPr>
            <w:r>
              <w:t>12 475 016</w:t>
            </w:r>
          </w:p>
        </w:tc>
        <w:tc>
          <w:tcPr>
            <w:tcW w:w="1580" w:type="dxa"/>
            <w:tcBorders>
              <w:top w:val="single" w:sz="6" w:space="0" w:color="auto"/>
              <w:left w:val="single" w:sz="6" w:space="0" w:color="auto"/>
              <w:bottom w:val="double" w:sz="6" w:space="0" w:color="auto"/>
              <w:right w:val="double" w:sz="6" w:space="0" w:color="auto"/>
            </w:tcBorders>
          </w:tcPr>
          <w:p w:rsidR="00624D77" w:rsidRDefault="00624D77">
            <w:pPr>
              <w:jc w:val="right"/>
            </w:pPr>
            <w:r>
              <w:t>13 040 961</w:t>
            </w:r>
          </w:p>
        </w:tc>
      </w:tr>
    </w:tbl>
    <w:p w:rsidR="00624D77" w:rsidRDefault="00624D77"/>
    <w:p w:rsidR="00624D77" w:rsidRDefault="00624D77">
      <w:pPr>
        <w:pStyle w:val="ThinDelim"/>
      </w:pPr>
    </w:p>
    <w:tbl>
      <w:tblPr>
        <w:tblW w:w="0" w:type="auto"/>
        <w:tblInd w:w="-95" w:type="dxa"/>
        <w:tblLayout w:type="fixed"/>
        <w:tblCellMar>
          <w:left w:w="72" w:type="dxa"/>
          <w:right w:w="72" w:type="dxa"/>
        </w:tblCellMar>
        <w:tblLook w:val="0000" w:firstRow="0" w:lastRow="0" w:firstColumn="0" w:lastColumn="0" w:noHBand="0" w:noVBand="0"/>
      </w:tblPr>
      <w:tblGrid>
        <w:gridCol w:w="5392"/>
        <w:gridCol w:w="720"/>
        <w:gridCol w:w="1560"/>
        <w:gridCol w:w="1580"/>
      </w:tblGrid>
      <w:tr w:rsidR="00624D77">
        <w:tc>
          <w:tcPr>
            <w:tcW w:w="9252" w:type="dxa"/>
            <w:gridSpan w:val="4"/>
            <w:tcBorders>
              <w:top w:val="double" w:sz="6" w:space="0" w:color="auto"/>
              <w:left w:val="double" w:sz="6" w:space="0" w:color="auto"/>
              <w:bottom w:val="single" w:sz="6" w:space="0" w:color="auto"/>
              <w:right w:val="double" w:sz="6" w:space="0" w:color="auto"/>
            </w:tcBorders>
          </w:tcPr>
          <w:p w:rsidR="00624D77" w:rsidRDefault="00624D77">
            <w:pPr>
              <w:jc w:val="center"/>
            </w:pPr>
            <w:r>
              <w:t>СПРАВКА О НАЛИЧИИ ЦЕННОСТЕЙ, УЧИТЫВАЕМЫХ НА ЗАБАЛАНСОВЫХ СЧЕТАХ</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pPr>
              <w:jc w:val="center"/>
            </w:pPr>
            <w:r>
              <w:t>Наименование показателя</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Код строки</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center"/>
            </w:pPr>
            <w:r>
              <w:t>На начало отчетного года</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center"/>
            </w:pPr>
            <w:r>
              <w:t>На конец отчетного периода</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pPr>
              <w:jc w:val="center"/>
            </w:pPr>
            <w:r>
              <w:t>1</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center"/>
            </w:pPr>
            <w:r>
              <w:t>3</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center"/>
            </w:pPr>
            <w:r>
              <w:t>4</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Арендованные 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910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556 187</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559 898</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в том числе по лизингу</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911</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470 819</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427 981</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Товарно-материальные ценности, принятые на ответственное хранение</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920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438 304</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92 308</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Товары, принятые на комиссию</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930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Списанная в убыток задолженность неплатежеспособных дебиторов</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940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52 359</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53 910</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Обеспечения обязательств и платежей полученные</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950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Обеспечения обязательств и платежей выданные</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960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8 070 514</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12 232 473</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Износ жилищного фонда</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970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Износ объектов внешнего благоустройства и других аналогичных объектов</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980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Нематериальные активы, полученные в пользование</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990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Инвентарь и хоз.принадлежности в эксплуатации</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995</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11 137</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29 590</w:t>
            </w:r>
          </w:p>
        </w:tc>
      </w:tr>
      <w:tr w:rsidR="00624D77">
        <w:tc>
          <w:tcPr>
            <w:tcW w:w="5392" w:type="dxa"/>
            <w:tcBorders>
              <w:top w:val="single" w:sz="6" w:space="0" w:color="auto"/>
              <w:left w:val="double" w:sz="6" w:space="0" w:color="auto"/>
              <w:bottom w:val="double" w:sz="6" w:space="0" w:color="auto"/>
              <w:right w:val="single" w:sz="6" w:space="0" w:color="auto"/>
            </w:tcBorders>
          </w:tcPr>
          <w:p w:rsidR="00624D77" w:rsidRDefault="00624D77">
            <w:r>
              <w:t>Материалы, принятые на переработку</w:t>
            </w:r>
          </w:p>
        </w:tc>
        <w:tc>
          <w:tcPr>
            <w:tcW w:w="720" w:type="dxa"/>
            <w:tcBorders>
              <w:top w:val="single" w:sz="6" w:space="0" w:color="auto"/>
              <w:left w:val="single" w:sz="6" w:space="0" w:color="auto"/>
              <w:bottom w:val="double" w:sz="6" w:space="0" w:color="auto"/>
              <w:right w:val="single" w:sz="6" w:space="0" w:color="auto"/>
            </w:tcBorders>
          </w:tcPr>
          <w:p w:rsidR="00624D77" w:rsidRDefault="00624D77">
            <w:pPr>
              <w:jc w:val="center"/>
            </w:pPr>
            <w:r>
              <w:t>996</w:t>
            </w:r>
          </w:p>
        </w:tc>
        <w:tc>
          <w:tcPr>
            <w:tcW w:w="1560" w:type="dxa"/>
            <w:tcBorders>
              <w:top w:val="single" w:sz="6" w:space="0" w:color="auto"/>
              <w:left w:val="single" w:sz="6" w:space="0" w:color="auto"/>
              <w:bottom w:val="double" w:sz="6" w:space="0" w:color="auto"/>
              <w:right w:val="single" w:sz="6" w:space="0" w:color="auto"/>
            </w:tcBorders>
          </w:tcPr>
          <w:p w:rsidR="00624D77" w:rsidRDefault="00624D77">
            <w:pPr>
              <w:jc w:val="right"/>
            </w:pPr>
            <w:r>
              <w:t>216</w:t>
            </w:r>
          </w:p>
        </w:tc>
        <w:tc>
          <w:tcPr>
            <w:tcW w:w="1580" w:type="dxa"/>
            <w:tcBorders>
              <w:top w:val="single" w:sz="6" w:space="0" w:color="auto"/>
              <w:left w:val="single" w:sz="6" w:space="0" w:color="auto"/>
              <w:bottom w:val="double" w:sz="6" w:space="0" w:color="auto"/>
              <w:right w:val="double" w:sz="6" w:space="0" w:color="auto"/>
            </w:tcBorders>
          </w:tcPr>
          <w:p w:rsidR="00624D77" w:rsidRDefault="00624D77">
            <w:pPr>
              <w:jc w:val="right"/>
            </w:pPr>
            <w:r>
              <w:t>3 115</w:t>
            </w:r>
          </w:p>
        </w:tc>
      </w:tr>
    </w:tbl>
    <w:p w:rsidR="00624D77" w:rsidRDefault="00624D77"/>
    <w:p w:rsidR="00624D77" w:rsidRDefault="00624D77">
      <w:pPr>
        <w:pStyle w:val="a4"/>
        <w:spacing w:after="200" w:line="276" w:lineRule="auto"/>
        <w:rPr>
          <w:rFonts w:ascii="Calibri" w:hAnsi="Calibri"/>
        </w:rPr>
      </w:pPr>
    </w:p>
    <w:p w:rsidR="00624D77" w:rsidRDefault="00624D77">
      <w:pPr>
        <w:pStyle w:val="2"/>
        <w:jc w:val="right"/>
        <w:rPr>
          <w:rFonts w:ascii="Times New Roman" w:hAnsi="Times New Roman"/>
          <w:b w:val="0"/>
          <w:i w:val="0"/>
          <w:sz w:val="24"/>
        </w:rPr>
      </w:pPr>
    </w:p>
    <w:p w:rsidR="00624D77" w:rsidRDefault="00624D77">
      <w:pPr>
        <w:pStyle w:val="2"/>
        <w:jc w:val="right"/>
        <w:rPr>
          <w:rFonts w:ascii="Times New Roman" w:hAnsi="Times New Roman"/>
          <w:b w:val="0"/>
          <w:i w:val="0"/>
          <w:sz w:val="24"/>
        </w:rPr>
      </w:pPr>
      <w:bookmarkStart w:id="22" w:name="_Toc273708340"/>
      <w:r>
        <w:rPr>
          <w:rFonts w:ascii="Times New Roman" w:hAnsi="Times New Roman"/>
          <w:b w:val="0"/>
          <w:i w:val="0"/>
          <w:sz w:val="24"/>
        </w:rPr>
        <w:t>Приложение 2.</w:t>
      </w:r>
      <w:bookmarkEnd w:id="22"/>
    </w:p>
    <w:p w:rsidR="00624D77" w:rsidRDefault="00624D77">
      <w:pPr>
        <w:pStyle w:val="SubHeading"/>
        <w:jc w:val="center"/>
      </w:pPr>
      <w:r>
        <w:rPr>
          <w:b/>
        </w:rPr>
        <w:t>Отчет о прибылях и убытках</w:t>
      </w:r>
      <w:r>
        <w:rPr>
          <w:b/>
        </w:rPr>
        <w:br/>
        <w:t>за 2009г.</w:t>
      </w:r>
    </w:p>
    <w:tbl>
      <w:tblPr>
        <w:tblW w:w="0" w:type="auto"/>
        <w:tblInd w:w="-72" w:type="dxa"/>
        <w:tblLayout w:type="fixed"/>
        <w:tblCellMar>
          <w:left w:w="72" w:type="dxa"/>
          <w:right w:w="72" w:type="dxa"/>
        </w:tblCellMar>
        <w:tblLook w:val="0000" w:firstRow="0" w:lastRow="0" w:firstColumn="0" w:lastColumn="0" w:noHBand="0" w:noVBand="0"/>
      </w:tblPr>
      <w:tblGrid>
        <w:gridCol w:w="6112"/>
        <w:gridCol w:w="1560"/>
        <w:gridCol w:w="1580"/>
      </w:tblGrid>
      <w:tr w:rsidR="00624D77">
        <w:tc>
          <w:tcPr>
            <w:tcW w:w="6112" w:type="dxa"/>
          </w:tcPr>
          <w:p w:rsidR="00624D77" w:rsidRDefault="00624D77"/>
        </w:tc>
        <w:tc>
          <w:tcPr>
            <w:tcW w:w="1560" w:type="dxa"/>
          </w:tcPr>
          <w:p w:rsidR="00624D77" w:rsidRDefault="00624D77"/>
        </w:tc>
        <w:tc>
          <w:tcPr>
            <w:tcW w:w="1580" w:type="dxa"/>
            <w:tcBorders>
              <w:top w:val="single" w:sz="6" w:space="0" w:color="auto"/>
              <w:left w:val="single" w:sz="6" w:space="0" w:color="auto"/>
              <w:bottom w:val="single" w:sz="6" w:space="0" w:color="auto"/>
              <w:right w:val="single" w:sz="6" w:space="0" w:color="auto"/>
            </w:tcBorders>
          </w:tcPr>
          <w:p w:rsidR="00624D77" w:rsidRDefault="00624D77">
            <w:pPr>
              <w:jc w:val="center"/>
            </w:pPr>
            <w:r>
              <w:t>Коды</w:t>
            </w:r>
          </w:p>
        </w:tc>
      </w:tr>
      <w:tr w:rsidR="00624D77">
        <w:tc>
          <w:tcPr>
            <w:tcW w:w="7672" w:type="dxa"/>
            <w:gridSpan w:val="2"/>
          </w:tcPr>
          <w:p w:rsidR="00624D77" w:rsidRDefault="00624D77">
            <w:pPr>
              <w:jc w:val="right"/>
            </w:pPr>
            <w:r>
              <w:t>Форма № 2 по ОКУД</w:t>
            </w:r>
          </w:p>
        </w:tc>
        <w:tc>
          <w:tcPr>
            <w:tcW w:w="1580" w:type="dxa"/>
            <w:tcBorders>
              <w:top w:val="single" w:sz="6" w:space="0" w:color="auto"/>
              <w:left w:val="single" w:sz="6" w:space="0" w:color="auto"/>
              <w:bottom w:val="single" w:sz="6" w:space="0" w:color="auto"/>
              <w:right w:val="single" w:sz="6" w:space="0" w:color="auto"/>
            </w:tcBorders>
          </w:tcPr>
          <w:p w:rsidR="00624D77" w:rsidRDefault="00624D77">
            <w:pPr>
              <w:jc w:val="center"/>
              <w:rPr>
                <w:b/>
              </w:rPr>
            </w:pPr>
            <w:r>
              <w:rPr>
                <w:b/>
              </w:rPr>
              <w:t>0710002</w:t>
            </w:r>
          </w:p>
        </w:tc>
      </w:tr>
      <w:tr w:rsidR="00624D77">
        <w:tc>
          <w:tcPr>
            <w:tcW w:w="6112" w:type="dxa"/>
          </w:tcPr>
          <w:p w:rsidR="00624D77" w:rsidRDefault="00624D77"/>
        </w:tc>
        <w:tc>
          <w:tcPr>
            <w:tcW w:w="1560" w:type="dxa"/>
          </w:tcPr>
          <w:p w:rsidR="00624D77" w:rsidRDefault="00624D77">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624D77" w:rsidRDefault="00624D77">
            <w:pPr>
              <w:jc w:val="center"/>
              <w:rPr>
                <w:b/>
              </w:rPr>
            </w:pPr>
            <w:r>
              <w:rPr>
                <w:b/>
              </w:rPr>
              <w:t>31.12.2009</w:t>
            </w:r>
          </w:p>
        </w:tc>
      </w:tr>
      <w:tr w:rsidR="00624D77">
        <w:tc>
          <w:tcPr>
            <w:tcW w:w="6112" w:type="dxa"/>
          </w:tcPr>
          <w:p w:rsidR="00624D77" w:rsidRDefault="00624D77">
            <w:pPr>
              <w:rPr>
                <w:b/>
              </w:rPr>
            </w:pPr>
            <w:r>
              <w:t>Организация:</w:t>
            </w:r>
            <w:r>
              <w:rPr>
                <w:b/>
              </w:rPr>
              <w:t xml:space="preserve"> Открытое акционерное общество "Чебоксарский завод промышленных тракторов"</w:t>
            </w:r>
          </w:p>
        </w:tc>
        <w:tc>
          <w:tcPr>
            <w:tcW w:w="1560" w:type="dxa"/>
          </w:tcPr>
          <w:p w:rsidR="00624D77" w:rsidRDefault="00624D77">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624D77" w:rsidRDefault="00624D77">
            <w:pPr>
              <w:jc w:val="center"/>
              <w:rPr>
                <w:b/>
              </w:rPr>
            </w:pPr>
            <w:r>
              <w:rPr>
                <w:b/>
              </w:rPr>
              <w:t>05797121</w:t>
            </w:r>
          </w:p>
        </w:tc>
      </w:tr>
      <w:tr w:rsidR="00624D77">
        <w:tc>
          <w:tcPr>
            <w:tcW w:w="6112" w:type="dxa"/>
          </w:tcPr>
          <w:p w:rsidR="00624D77" w:rsidRDefault="00624D77">
            <w:r>
              <w:t>Идентификационный номер налогоплательщика</w:t>
            </w:r>
          </w:p>
        </w:tc>
        <w:tc>
          <w:tcPr>
            <w:tcW w:w="1560" w:type="dxa"/>
          </w:tcPr>
          <w:p w:rsidR="00624D77" w:rsidRDefault="00624D77">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624D77" w:rsidRDefault="00624D77">
            <w:pPr>
              <w:jc w:val="center"/>
              <w:rPr>
                <w:b/>
              </w:rPr>
            </w:pPr>
            <w:r>
              <w:rPr>
                <w:b/>
              </w:rPr>
              <w:t>2126003074</w:t>
            </w:r>
          </w:p>
        </w:tc>
      </w:tr>
      <w:tr w:rsidR="00624D77">
        <w:tc>
          <w:tcPr>
            <w:tcW w:w="6112" w:type="dxa"/>
          </w:tcPr>
          <w:p w:rsidR="00624D77" w:rsidRDefault="00624D77">
            <w:r>
              <w:t>Вид деятельности</w:t>
            </w:r>
          </w:p>
        </w:tc>
        <w:tc>
          <w:tcPr>
            <w:tcW w:w="1560" w:type="dxa"/>
          </w:tcPr>
          <w:p w:rsidR="00624D77" w:rsidRDefault="00624D77">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624D77" w:rsidRDefault="00624D77">
            <w:pPr>
              <w:jc w:val="center"/>
              <w:rPr>
                <w:b/>
              </w:rPr>
            </w:pPr>
            <w:r>
              <w:rPr>
                <w:b/>
              </w:rPr>
              <w:t>29.52</w:t>
            </w:r>
          </w:p>
        </w:tc>
      </w:tr>
      <w:tr w:rsidR="00624D77">
        <w:tc>
          <w:tcPr>
            <w:tcW w:w="6112" w:type="dxa"/>
          </w:tcPr>
          <w:p w:rsidR="00624D77" w:rsidRDefault="00624D77">
            <w:pPr>
              <w:rPr>
                <w:b/>
              </w:rPr>
            </w:pPr>
            <w:r>
              <w:t>Организационно-правовая форма / форма собственности:</w:t>
            </w:r>
            <w:r>
              <w:rPr>
                <w:b/>
              </w:rPr>
              <w:t xml:space="preserve"> открытое акционерное общество</w:t>
            </w:r>
          </w:p>
        </w:tc>
        <w:tc>
          <w:tcPr>
            <w:tcW w:w="1560" w:type="dxa"/>
          </w:tcPr>
          <w:p w:rsidR="00624D77" w:rsidRDefault="00624D77">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624D77" w:rsidRDefault="00624D77"/>
        </w:tc>
      </w:tr>
      <w:tr w:rsidR="00624D77">
        <w:tc>
          <w:tcPr>
            <w:tcW w:w="6112" w:type="dxa"/>
          </w:tcPr>
          <w:p w:rsidR="00624D77" w:rsidRDefault="00624D77">
            <w:pPr>
              <w:rPr>
                <w:b/>
              </w:rPr>
            </w:pPr>
            <w:r>
              <w:t>Единица измерения:</w:t>
            </w:r>
            <w:r>
              <w:rPr>
                <w:b/>
              </w:rPr>
              <w:t xml:space="preserve"> тыс. руб.</w:t>
            </w:r>
          </w:p>
        </w:tc>
        <w:tc>
          <w:tcPr>
            <w:tcW w:w="1560" w:type="dxa"/>
          </w:tcPr>
          <w:p w:rsidR="00624D77" w:rsidRDefault="00624D77">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624D77" w:rsidRDefault="00624D77">
            <w:pPr>
              <w:jc w:val="center"/>
              <w:rPr>
                <w:b/>
              </w:rPr>
            </w:pPr>
            <w:r>
              <w:rPr>
                <w:b/>
              </w:rPr>
              <w:t>384</w:t>
            </w:r>
          </w:p>
        </w:tc>
      </w:tr>
      <w:tr w:rsidR="00624D77">
        <w:tc>
          <w:tcPr>
            <w:tcW w:w="6112" w:type="dxa"/>
          </w:tcPr>
          <w:p w:rsidR="00624D77" w:rsidRDefault="00624D77">
            <w:pPr>
              <w:rPr>
                <w:b/>
              </w:rPr>
            </w:pPr>
            <w:r>
              <w:t>Местонахождение (адрес):</w:t>
            </w:r>
            <w:r>
              <w:rPr>
                <w:b/>
              </w:rPr>
              <w:t xml:space="preserve"> 428027 Россия, г.Чебоксары, Хузангая 26 корп. Б</w:t>
            </w:r>
          </w:p>
        </w:tc>
        <w:tc>
          <w:tcPr>
            <w:tcW w:w="1560" w:type="dxa"/>
          </w:tcPr>
          <w:p w:rsidR="00624D77" w:rsidRDefault="00624D77"/>
        </w:tc>
        <w:tc>
          <w:tcPr>
            <w:tcW w:w="1580" w:type="dxa"/>
          </w:tcPr>
          <w:p w:rsidR="00624D77" w:rsidRDefault="00624D77"/>
        </w:tc>
      </w:tr>
    </w:tbl>
    <w:p w:rsidR="00624D77" w:rsidRDefault="00624D77">
      <w:pPr>
        <w:pStyle w:val="ThinDelim"/>
      </w:pPr>
    </w:p>
    <w:tbl>
      <w:tblPr>
        <w:tblW w:w="0" w:type="auto"/>
        <w:tblInd w:w="-95" w:type="dxa"/>
        <w:tblLayout w:type="fixed"/>
        <w:tblCellMar>
          <w:left w:w="72" w:type="dxa"/>
          <w:right w:w="72" w:type="dxa"/>
        </w:tblCellMar>
        <w:tblLook w:val="0000" w:firstRow="0" w:lastRow="0" w:firstColumn="0" w:lastColumn="0" w:noHBand="0" w:noVBand="0"/>
      </w:tblPr>
      <w:tblGrid>
        <w:gridCol w:w="5392"/>
        <w:gridCol w:w="720"/>
        <w:gridCol w:w="1560"/>
        <w:gridCol w:w="1580"/>
      </w:tblGrid>
      <w:tr w:rsidR="00624D77">
        <w:tc>
          <w:tcPr>
            <w:tcW w:w="5392" w:type="dxa"/>
            <w:tcBorders>
              <w:top w:val="double" w:sz="6" w:space="0" w:color="auto"/>
              <w:left w:val="double" w:sz="6" w:space="0" w:color="auto"/>
              <w:bottom w:val="single" w:sz="6" w:space="0" w:color="auto"/>
              <w:right w:val="single" w:sz="6" w:space="0" w:color="auto"/>
            </w:tcBorders>
          </w:tcPr>
          <w:p w:rsidR="00624D77" w:rsidRDefault="00624D77">
            <w:pPr>
              <w:jc w:val="center"/>
            </w:pPr>
            <w:r>
              <w:t>Наименование показателя</w:t>
            </w:r>
          </w:p>
        </w:tc>
        <w:tc>
          <w:tcPr>
            <w:tcW w:w="720" w:type="dxa"/>
            <w:tcBorders>
              <w:top w:val="double" w:sz="6" w:space="0" w:color="auto"/>
              <w:left w:val="single" w:sz="6" w:space="0" w:color="auto"/>
              <w:bottom w:val="single" w:sz="6" w:space="0" w:color="auto"/>
              <w:right w:val="single" w:sz="6" w:space="0" w:color="auto"/>
            </w:tcBorders>
          </w:tcPr>
          <w:p w:rsidR="00624D77" w:rsidRDefault="00624D77">
            <w:pPr>
              <w:jc w:val="center"/>
            </w:pPr>
            <w:r>
              <w:t>Код строки</w:t>
            </w:r>
          </w:p>
        </w:tc>
        <w:tc>
          <w:tcPr>
            <w:tcW w:w="1560" w:type="dxa"/>
            <w:tcBorders>
              <w:top w:val="double" w:sz="6" w:space="0" w:color="auto"/>
              <w:left w:val="single" w:sz="6" w:space="0" w:color="auto"/>
              <w:bottom w:val="single" w:sz="6" w:space="0" w:color="auto"/>
              <w:right w:val="single" w:sz="6" w:space="0" w:color="auto"/>
            </w:tcBorders>
          </w:tcPr>
          <w:p w:rsidR="00624D77" w:rsidRDefault="00624D77">
            <w:pPr>
              <w:jc w:val="center"/>
            </w:pPr>
            <w:r>
              <w:t>За отчетный период</w:t>
            </w:r>
          </w:p>
        </w:tc>
        <w:tc>
          <w:tcPr>
            <w:tcW w:w="1580" w:type="dxa"/>
            <w:tcBorders>
              <w:top w:val="double" w:sz="6" w:space="0" w:color="auto"/>
              <w:left w:val="single" w:sz="6" w:space="0" w:color="auto"/>
              <w:bottom w:val="single" w:sz="6" w:space="0" w:color="auto"/>
              <w:right w:val="double" w:sz="6" w:space="0" w:color="auto"/>
            </w:tcBorders>
          </w:tcPr>
          <w:p w:rsidR="00624D77" w:rsidRDefault="00624D77">
            <w:pPr>
              <w:jc w:val="center"/>
            </w:pPr>
            <w:r>
              <w:t>За аналогичный период предыдущего года</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pPr>
              <w:jc w:val="center"/>
            </w:pPr>
            <w:r>
              <w:t>1</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center"/>
            </w:pPr>
            <w:r>
              <w:t>3</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center"/>
            </w:pPr>
            <w:r>
              <w:t>4</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Доходы и расходы по обычным видам деятельности</w:t>
            </w:r>
          </w:p>
        </w:tc>
        <w:tc>
          <w:tcPr>
            <w:tcW w:w="720" w:type="dxa"/>
            <w:tcBorders>
              <w:top w:val="single" w:sz="6" w:space="0" w:color="auto"/>
              <w:left w:val="single" w:sz="6" w:space="0" w:color="auto"/>
              <w:bottom w:val="single" w:sz="6" w:space="0" w:color="auto"/>
              <w:right w:val="single" w:sz="6" w:space="0" w:color="auto"/>
            </w:tcBorders>
          </w:tcPr>
          <w:p w:rsidR="00624D77" w:rsidRDefault="00624D77"/>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010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3 521 426</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7 254 107</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Себестоимость проданных товаров, продукции, работ, услуг</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020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-3 244 774</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-5 586 162</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Валовая прибыль</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029</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276 652</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1 667 945</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Коммерческие расходы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030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-146 352</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-44 785</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Управленческие расходы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040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-340 147</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-444 325</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Прибыль (убыток) от продаж</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050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-209 847</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1 178 835</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Операционные доходы и расходы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Проценты к получению</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060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530 661</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319 297</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Проценты к уплате</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070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-1 220 370</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486 278</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Доходы от участия в других организациях</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080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Прочие операционные доходы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090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2 976 783</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836 402</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Прочие операционные расходы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100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-3 493 213</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-1 279 584</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Внереализационные доходы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120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Внереализационные расходы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130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Прибыль (убыток) до налогообложения</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140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-1 415 986</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568 672</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141</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231 555</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2 705</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142</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-12 002</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-1 581</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Текущий налог на прибыль</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150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-177 724</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Иные аналогичные обязательные платежи</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160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-5 155</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-13 791</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Чистая прибыль(убыток) отчетного периода</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190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-1 201 588</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378 281</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СПРАВОЧНО:</w:t>
            </w:r>
          </w:p>
        </w:tc>
        <w:tc>
          <w:tcPr>
            <w:tcW w:w="720" w:type="dxa"/>
            <w:tcBorders>
              <w:top w:val="single" w:sz="6" w:space="0" w:color="auto"/>
              <w:left w:val="single" w:sz="6" w:space="0" w:color="auto"/>
              <w:bottom w:val="single" w:sz="6" w:space="0" w:color="auto"/>
              <w:right w:val="single" w:sz="6" w:space="0" w:color="auto"/>
            </w:tcBorders>
          </w:tcPr>
          <w:p w:rsidR="00624D77" w:rsidRDefault="00624D77"/>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Постоянные налоговые обязательства (активы)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200</w:t>
            </w:r>
          </w:p>
        </w:tc>
        <w:tc>
          <w:tcPr>
            <w:tcW w:w="1560" w:type="dxa"/>
            <w:tcBorders>
              <w:top w:val="single" w:sz="6" w:space="0" w:color="auto"/>
              <w:left w:val="single" w:sz="6" w:space="0" w:color="auto"/>
              <w:bottom w:val="single" w:sz="6" w:space="0" w:color="auto"/>
              <w:right w:val="single" w:sz="6" w:space="0" w:color="auto"/>
            </w:tcBorders>
          </w:tcPr>
          <w:p w:rsidR="00624D77" w:rsidRDefault="00624D77">
            <w:pPr>
              <w:jc w:val="right"/>
            </w:pPr>
            <w:r>
              <w:t>63 644</w:t>
            </w:r>
          </w:p>
        </w:tc>
        <w:tc>
          <w:tcPr>
            <w:tcW w:w="1580" w:type="dxa"/>
            <w:tcBorders>
              <w:top w:val="single" w:sz="6" w:space="0" w:color="auto"/>
              <w:left w:val="single" w:sz="6" w:space="0" w:color="auto"/>
              <w:bottom w:val="single" w:sz="6" w:space="0" w:color="auto"/>
              <w:right w:val="double" w:sz="6" w:space="0" w:color="auto"/>
            </w:tcBorders>
          </w:tcPr>
          <w:p w:rsidR="00624D77" w:rsidRDefault="00624D77">
            <w:pPr>
              <w:jc w:val="right"/>
            </w:pPr>
            <w:r>
              <w:t>40 118</w:t>
            </w:r>
          </w:p>
        </w:tc>
      </w:tr>
      <w:tr w:rsidR="00624D77">
        <w:tc>
          <w:tcPr>
            <w:tcW w:w="5392" w:type="dxa"/>
            <w:tcBorders>
              <w:top w:val="single" w:sz="6" w:space="0" w:color="auto"/>
              <w:left w:val="double" w:sz="6" w:space="0" w:color="auto"/>
              <w:bottom w:val="single" w:sz="6" w:space="0" w:color="auto"/>
              <w:right w:val="single" w:sz="6" w:space="0" w:color="auto"/>
            </w:tcBorders>
          </w:tcPr>
          <w:p w:rsidR="00624D77" w:rsidRDefault="00624D77">
            <w:r>
              <w:t>Базовая прибыль (убыток) на акцию</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201</w:t>
            </w:r>
          </w:p>
        </w:tc>
        <w:tc>
          <w:tcPr>
            <w:tcW w:w="1560" w:type="dxa"/>
            <w:tcBorders>
              <w:top w:val="single" w:sz="6" w:space="0" w:color="auto"/>
              <w:left w:val="single" w:sz="6" w:space="0" w:color="auto"/>
              <w:bottom w:val="single" w:sz="6" w:space="0" w:color="auto"/>
              <w:right w:val="single" w:sz="6" w:space="0" w:color="auto"/>
            </w:tcBorders>
          </w:tcPr>
          <w:p w:rsidR="00624D77" w:rsidRDefault="00624D77"/>
        </w:tc>
        <w:tc>
          <w:tcPr>
            <w:tcW w:w="158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5392" w:type="dxa"/>
            <w:tcBorders>
              <w:top w:val="single" w:sz="6" w:space="0" w:color="auto"/>
              <w:left w:val="double" w:sz="6" w:space="0" w:color="auto"/>
              <w:bottom w:val="double" w:sz="6" w:space="0" w:color="auto"/>
              <w:right w:val="single" w:sz="6" w:space="0" w:color="auto"/>
            </w:tcBorders>
          </w:tcPr>
          <w:p w:rsidR="00624D77" w:rsidRDefault="00624D77">
            <w:r>
              <w:t>Разводненная прибыль (убыток) на акцию</w:t>
            </w:r>
          </w:p>
        </w:tc>
        <w:tc>
          <w:tcPr>
            <w:tcW w:w="720" w:type="dxa"/>
            <w:tcBorders>
              <w:top w:val="single" w:sz="6" w:space="0" w:color="auto"/>
              <w:left w:val="single" w:sz="6" w:space="0" w:color="auto"/>
              <w:bottom w:val="double" w:sz="6" w:space="0" w:color="auto"/>
              <w:right w:val="single" w:sz="6" w:space="0" w:color="auto"/>
            </w:tcBorders>
          </w:tcPr>
          <w:p w:rsidR="00624D77" w:rsidRDefault="00624D77">
            <w:pPr>
              <w:jc w:val="center"/>
            </w:pPr>
            <w:r>
              <w:t>202</w:t>
            </w:r>
          </w:p>
        </w:tc>
        <w:tc>
          <w:tcPr>
            <w:tcW w:w="1560" w:type="dxa"/>
            <w:tcBorders>
              <w:top w:val="single" w:sz="6" w:space="0" w:color="auto"/>
              <w:left w:val="single" w:sz="6" w:space="0" w:color="auto"/>
              <w:bottom w:val="double" w:sz="6" w:space="0" w:color="auto"/>
              <w:right w:val="single" w:sz="6" w:space="0" w:color="auto"/>
            </w:tcBorders>
          </w:tcPr>
          <w:p w:rsidR="00624D77" w:rsidRDefault="00624D77"/>
        </w:tc>
        <w:tc>
          <w:tcPr>
            <w:tcW w:w="1580" w:type="dxa"/>
            <w:tcBorders>
              <w:top w:val="single" w:sz="6" w:space="0" w:color="auto"/>
              <w:left w:val="single" w:sz="6" w:space="0" w:color="auto"/>
              <w:bottom w:val="double" w:sz="6" w:space="0" w:color="auto"/>
              <w:right w:val="double" w:sz="6" w:space="0" w:color="auto"/>
            </w:tcBorders>
          </w:tcPr>
          <w:p w:rsidR="00624D77" w:rsidRDefault="00624D77"/>
        </w:tc>
      </w:tr>
    </w:tbl>
    <w:p w:rsidR="00624D77" w:rsidRDefault="00624D77"/>
    <w:p w:rsidR="00624D77" w:rsidRDefault="00624D77">
      <w:pPr>
        <w:pStyle w:val="ThinDelim"/>
      </w:pPr>
    </w:p>
    <w:tbl>
      <w:tblPr>
        <w:tblW w:w="0" w:type="auto"/>
        <w:tblInd w:w="-95" w:type="dxa"/>
        <w:tblLayout w:type="fixed"/>
        <w:tblCellMar>
          <w:left w:w="72" w:type="dxa"/>
          <w:right w:w="72" w:type="dxa"/>
        </w:tblCellMar>
        <w:tblLook w:val="0000" w:firstRow="0" w:lastRow="0" w:firstColumn="0" w:lastColumn="0" w:noHBand="0" w:noVBand="0"/>
      </w:tblPr>
      <w:tblGrid>
        <w:gridCol w:w="4092"/>
        <w:gridCol w:w="720"/>
        <w:gridCol w:w="1100"/>
        <w:gridCol w:w="1100"/>
        <w:gridCol w:w="1100"/>
        <w:gridCol w:w="1140"/>
      </w:tblGrid>
      <w:tr w:rsidR="00624D77">
        <w:tc>
          <w:tcPr>
            <w:tcW w:w="4092" w:type="dxa"/>
            <w:tcBorders>
              <w:top w:val="double" w:sz="6" w:space="0" w:color="auto"/>
              <w:left w:val="double" w:sz="6" w:space="0" w:color="auto"/>
              <w:bottom w:val="single" w:sz="6" w:space="0" w:color="auto"/>
              <w:right w:val="single" w:sz="6" w:space="0" w:color="auto"/>
            </w:tcBorders>
          </w:tcPr>
          <w:p w:rsidR="00624D77" w:rsidRDefault="00624D77">
            <w:pPr>
              <w:jc w:val="center"/>
            </w:pPr>
            <w:r>
              <w:t>Наименование показателя</w:t>
            </w:r>
          </w:p>
        </w:tc>
        <w:tc>
          <w:tcPr>
            <w:tcW w:w="720" w:type="dxa"/>
            <w:tcBorders>
              <w:top w:val="double" w:sz="6" w:space="0" w:color="auto"/>
              <w:left w:val="single" w:sz="6" w:space="0" w:color="auto"/>
              <w:bottom w:val="single" w:sz="6" w:space="0" w:color="auto"/>
              <w:right w:val="single" w:sz="6" w:space="0" w:color="auto"/>
            </w:tcBorders>
          </w:tcPr>
          <w:p w:rsidR="00624D77" w:rsidRDefault="00624D77">
            <w:pPr>
              <w:jc w:val="center"/>
            </w:pPr>
            <w:r>
              <w:t>Код строки</w:t>
            </w:r>
          </w:p>
        </w:tc>
        <w:tc>
          <w:tcPr>
            <w:tcW w:w="2200" w:type="dxa"/>
            <w:gridSpan w:val="2"/>
            <w:tcBorders>
              <w:top w:val="double" w:sz="6" w:space="0" w:color="auto"/>
              <w:left w:val="single" w:sz="6" w:space="0" w:color="auto"/>
              <w:bottom w:val="single" w:sz="6" w:space="0" w:color="auto"/>
              <w:right w:val="single" w:sz="6" w:space="0" w:color="auto"/>
            </w:tcBorders>
          </w:tcPr>
          <w:p w:rsidR="00624D77" w:rsidRDefault="00624D77">
            <w:pPr>
              <w:jc w:val="center"/>
            </w:pPr>
            <w:r>
              <w:t>За отчетный период</w:t>
            </w:r>
          </w:p>
        </w:tc>
        <w:tc>
          <w:tcPr>
            <w:tcW w:w="2240" w:type="dxa"/>
            <w:gridSpan w:val="2"/>
            <w:tcBorders>
              <w:top w:val="double" w:sz="6" w:space="0" w:color="auto"/>
              <w:left w:val="single" w:sz="6" w:space="0" w:color="auto"/>
              <w:bottom w:val="single" w:sz="6" w:space="0" w:color="auto"/>
              <w:right w:val="double" w:sz="6" w:space="0" w:color="auto"/>
            </w:tcBorders>
          </w:tcPr>
          <w:p w:rsidR="00624D77" w:rsidRDefault="00624D77">
            <w:pPr>
              <w:jc w:val="center"/>
            </w:pPr>
            <w:r>
              <w:t>За аналогичный период предыдущего года</w:t>
            </w:r>
          </w:p>
        </w:tc>
      </w:tr>
      <w:tr w:rsidR="00624D77">
        <w:tc>
          <w:tcPr>
            <w:tcW w:w="4092" w:type="dxa"/>
            <w:tcBorders>
              <w:top w:val="single" w:sz="6" w:space="0" w:color="auto"/>
              <w:left w:val="double" w:sz="6" w:space="0" w:color="auto"/>
              <w:bottom w:val="single" w:sz="6" w:space="0" w:color="auto"/>
              <w:right w:val="single" w:sz="6" w:space="0" w:color="auto"/>
            </w:tcBorders>
          </w:tcPr>
          <w:p w:rsidR="00624D77" w:rsidRDefault="00624D77"/>
        </w:tc>
        <w:tc>
          <w:tcPr>
            <w:tcW w:w="720" w:type="dxa"/>
            <w:tcBorders>
              <w:top w:val="single" w:sz="6" w:space="0" w:color="auto"/>
              <w:left w:val="single" w:sz="6" w:space="0" w:color="auto"/>
              <w:bottom w:val="single" w:sz="6" w:space="0" w:color="auto"/>
              <w:right w:val="single" w:sz="6" w:space="0" w:color="auto"/>
            </w:tcBorders>
          </w:tcPr>
          <w:p w:rsidR="00624D77" w:rsidRDefault="00624D77"/>
        </w:tc>
        <w:tc>
          <w:tcPr>
            <w:tcW w:w="1100" w:type="dxa"/>
            <w:tcBorders>
              <w:top w:val="single" w:sz="6" w:space="0" w:color="auto"/>
              <w:left w:val="single" w:sz="6" w:space="0" w:color="auto"/>
              <w:bottom w:val="single" w:sz="6" w:space="0" w:color="auto"/>
              <w:right w:val="single" w:sz="6" w:space="0" w:color="auto"/>
            </w:tcBorders>
          </w:tcPr>
          <w:p w:rsidR="00624D77" w:rsidRDefault="00624D77">
            <w:pPr>
              <w:jc w:val="center"/>
            </w:pPr>
            <w:r>
              <w:t>прибыль</w:t>
            </w:r>
          </w:p>
        </w:tc>
        <w:tc>
          <w:tcPr>
            <w:tcW w:w="1100" w:type="dxa"/>
            <w:tcBorders>
              <w:top w:val="single" w:sz="6" w:space="0" w:color="auto"/>
              <w:left w:val="single" w:sz="6" w:space="0" w:color="auto"/>
              <w:bottom w:val="single" w:sz="6" w:space="0" w:color="auto"/>
              <w:right w:val="single" w:sz="6" w:space="0" w:color="auto"/>
            </w:tcBorders>
          </w:tcPr>
          <w:p w:rsidR="00624D77" w:rsidRDefault="00624D77">
            <w:pPr>
              <w:jc w:val="center"/>
            </w:pPr>
            <w:r>
              <w:t>убыток</w:t>
            </w:r>
          </w:p>
        </w:tc>
        <w:tc>
          <w:tcPr>
            <w:tcW w:w="1100" w:type="dxa"/>
            <w:tcBorders>
              <w:top w:val="single" w:sz="6" w:space="0" w:color="auto"/>
              <w:left w:val="single" w:sz="6" w:space="0" w:color="auto"/>
              <w:bottom w:val="single" w:sz="6" w:space="0" w:color="auto"/>
              <w:right w:val="single" w:sz="6" w:space="0" w:color="auto"/>
            </w:tcBorders>
          </w:tcPr>
          <w:p w:rsidR="00624D77" w:rsidRDefault="00624D77">
            <w:pPr>
              <w:jc w:val="center"/>
            </w:pPr>
            <w:r>
              <w:t>прибыль</w:t>
            </w:r>
          </w:p>
        </w:tc>
        <w:tc>
          <w:tcPr>
            <w:tcW w:w="1140" w:type="dxa"/>
            <w:tcBorders>
              <w:top w:val="single" w:sz="6" w:space="0" w:color="auto"/>
              <w:left w:val="single" w:sz="6" w:space="0" w:color="auto"/>
              <w:bottom w:val="single" w:sz="6" w:space="0" w:color="auto"/>
              <w:right w:val="double" w:sz="6" w:space="0" w:color="auto"/>
            </w:tcBorders>
          </w:tcPr>
          <w:p w:rsidR="00624D77" w:rsidRDefault="00624D77">
            <w:pPr>
              <w:jc w:val="center"/>
            </w:pPr>
            <w:r>
              <w:t>убыток</w:t>
            </w:r>
          </w:p>
        </w:tc>
      </w:tr>
      <w:tr w:rsidR="00624D77">
        <w:tc>
          <w:tcPr>
            <w:tcW w:w="4092" w:type="dxa"/>
            <w:tcBorders>
              <w:top w:val="single" w:sz="6" w:space="0" w:color="auto"/>
              <w:left w:val="double" w:sz="6" w:space="0" w:color="auto"/>
              <w:bottom w:val="single" w:sz="6" w:space="0" w:color="auto"/>
              <w:right w:val="single" w:sz="6" w:space="0" w:color="auto"/>
            </w:tcBorders>
          </w:tcPr>
          <w:p w:rsidR="00624D77" w:rsidRDefault="00624D77">
            <w:pPr>
              <w:jc w:val="center"/>
            </w:pPr>
            <w:r>
              <w:t>1</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w:t>
            </w:r>
          </w:p>
        </w:tc>
        <w:tc>
          <w:tcPr>
            <w:tcW w:w="1100" w:type="dxa"/>
            <w:tcBorders>
              <w:top w:val="single" w:sz="6" w:space="0" w:color="auto"/>
              <w:left w:val="single" w:sz="6" w:space="0" w:color="auto"/>
              <w:bottom w:val="single" w:sz="6" w:space="0" w:color="auto"/>
              <w:right w:val="single" w:sz="6" w:space="0" w:color="auto"/>
            </w:tcBorders>
          </w:tcPr>
          <w:p w:rsidR="00624D77" w:rsidRDefault="00624D77">
            <w:pPr>
              <w:jc w:val="center"/>
            </w:pPr>
            <w:r>
              <w:t>3</w:t>
            </w:r>
          </w:p>
        </w:tc>
        <w:tc>
          <w:tcPr>
            <w:tcW w:w="1100" w:type="dxa"/>
            <w:tcBorders>
              <w:top w:val="single" w:sz="6" w:space="0" w:color="auto"/>
              <w:left w:val="single" w:sz="6" w:space="0" w:color="auto"/>
              <w:bottom w:val="single" w:sz="6" w:space="0" w:color="auto"/>
              <w:right w:val="single" w:sz="6" w:space="0" w:color="auto"/>
            </w:tcBorders>
          </w:tcPr>
          <w:p w:rsidR="00624D77" w:rsidRDefault="00624D77">
            <w:pPr>
              <w:jc w:val="center"/>
            </w:pPr>
            <w:r>
              <w:t>4</w:t>
            </w:r>
          </w:p>
        </w:tc>
        <w:tc>
          <w:tcPr>
            <w:tcW w:w="1100" w:type="dxa"/>
            <w:tcBorders>
              <w:top w:val="single" w:sz="6" w:space="0" w:color="auto"/>
              <w:left w:val="single" w:sz="6" w:space="0" w:color="auto"/>
              <w:bottom w:val="single" w:sz="6" w:space="0" w:color="auto"/>
              <w:right w:val="single" w:sz="6" w:space="0" w:color="auto"/>
            </w:tcBorders>
          </w:tcPr>
          <w:p w:rsidR="00624D77" w:rsidRDefault="00624D77">
            <w:pPr>
              <w:jc w:val="center"/>
            </w:pPr>
            <w:r>
              <w:t>5</w:t>
            </w:r>
          </w:p>
        </w:tc>
        <w:tc>
          <w:tcPr>
            <w:tcW w:w="1140" w:type="dxa"/>
            <w:tcBorders>
              <w:top w:val="single" w:sz="6" w:space="0" w:color="auto"/>
              <w:left w:val="single" w:sz="6" w:space="0" w:color="auto"/>
              <w:bottom w:val="single" w:sz="6" w:space="0" w:color="auto"/>
              <w:right w:val="double" w:sz="6" w:space="0" w:color="auto"/>
            </w:tcBorders>
          </w:tcPr>
          <w:p w:rsidR="00624D77" w:rsidRDefault="00624D77">
            <w:pPr>
              <w:jc w:val="center"/>
            </w:pPr>
            <w:r>
              <w:t>6</w:t>
            </w:r>
          </w:p>
        </w:tc>
      </w:tr>
      <w:tr w:rsidR="00624D77">
        <w:tc>
          <w:tcPr>
            <w:tcW w:w="4092" w:type="dxa"/>
            <w:tcBorders>
              <w:top w:val="single" w:sz="6" w:space="0" w:color="auto"/>
              <w:left w:val="double" w:sz="6" w:space="0" w:color="auto"/>
              <w:bottom w:val="single" w:sz="6" w:space="0" w:color="auto"/>
              <w:right w:val="single" w:sz="6" w:space="0" w:color="auto"/>
            </w:tcBorders>
          </w:tcPr>
          <w:p w:rsidR="00624D77" w:rsidRDefault="00624D77">
            <w:r>
              <w:t>Штрафы, пени и неустойки признанные или по которым получены решения суда (арбитражного суда) об их взыскании</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230</w:t>
            </w:r>
          </w:p>
        </w:tc>
        <w:tc>
          <w:tcPr>
            <w:tcW w:w="1100" w:type="dxa"/>
            <w:tcBorders>
              <w:top w:val="single" w:sz="6" w:space="0" w:color="auto"/>
              <w:left w:val="single" w:sz="6" w:space="0" w:color="auto"/>
              <w:bottom w:val="single" w:sz="6" w:space="0" w:color="auto"/>
              <w:right w:val="single" w:sz="6" w:space="0" w:color="auto"/>
            </w:tcBorders>
          </w:tcPr>
          <w:p w:rsidR="00624D77" w:rsidRDefault="00624D77">
            <w:pPr>
              <w:jc w:val="right"/>
            </w:pPr>
            <w:r>
              <w:t>5 582</w:t>
            </w:r>
          </w:p>
        </w:tc>
        <w:tc>
          <w:tcPr>
            <w:tcW w:w="1100" w:type="dxa"/>
            <w:tcBorders>
              <w:top w:val="single" w:sz="6" w:space="0" w:color="auto"/>
              <w:left w:val="single" w:sz="6" w:space="0" w:color="auto"/>
              <w:bottom w:val="single" w:sz="6" w:space="0" w:color="auto"/>
              <w:right w:val="single" w:sz="6" w:space="0" w:color="auto"/>
            </w:tcBorders>
          </w:tcPr>
          <w:p w:rsidR="00624D77" w:rsidRDefault="00624D77">
            <w:pPr>
              <w:jc w:val="right"/>
            </w:pPr>
            <w:r>
              <w:t>16 739</w:t>
            </w:r>
          </w:p>
        </w:tc>
        <w:tc>
          <w:tcPr>
            <w:tcW w:w="1100" w:type="dxa"/>
            <w:tcBorders>
              <w:top w:val="single" w:sz="6" w:space="0" w:color="auto"/>
              <w:left w:val="single" w:sz="6" w:space="0" w:color="auto"/>
              <w:bottom w:val="single" w:sz="6" w:space="0" w:color="auto"/>
              <w:right w:val="single" w:sz="6" w:space="0" w:color="auto"/>
            </w:tcBorders>
          </w:tcPr>
          <w:p w:rsidR="00624D77" w:rsidRDefault="00624D77">
            <w:pPr>
              <w:jc w:val="right"/>
            </w:pPr>
            <w:r>
              <w:t>1 871</w:t>
            </w:r>
          </w:p>
        </w:tc>
        <w:tc>
          <w:tcPr>
            <w:tcW w:w="1140" w:type="dxa"/>
            <w:tcBorders>
              <w:top w:val="single" w:sz="6" w:space="0" w:color="auto"/>
              <w:left w:val="single" w:sz="6" w:space="0" w:color="auto"/>
              <w:bottom w:val="single" w:sz="6" w:space="0" w:color="auto"/>
              <w:right w:val="double" w:sz="6" w:space="0" w:color="auto"/>
            </w:tcBorders>
          </w:tcPr>
          <w:p w:rsidR="00624D77" w:rsidRDefault="00624D77">
            <w:pPr>
              <w:jc w:val="right"/>
            </w:pPr>
            <w:r>
              <w:t>10 725</w:t>
            </w:r>
          </w:p>
        </w:tc>
      </w:tr>
      <w:tr w:rsidR="00624D77">
        <w:tc>
          <w:tcPr>
            <w:tcW w:w="4092" w:type="dxa"/>
            <w:tcBorders>
              <w:top w:val="single" w:sz="6" w:space="0" w:color="auto"/>
              <w:left w:val="double" w:sz="6" w:space="0" w:color="auto"/>
              <w:bottom w:val="single" w:sz="6" w:space="0" w:color="auto"/>
              <w:right w:val="single" w:sz="6" w:space="0" w:color="auto"/>
            </w:tcBorders>
          </w:tcPr>
          <w:p w:rsidR="00624D77" w:rsidRDefault="00624D77">
            <w:r>
              <w:t>Прибыль (убыток)  прошлых лет</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240</w:t>
            </w:r>
          </w:p>
        </w:tc>
        <w:tc>
          <w:tcPr>
            <w:tcW w:w="1100" w:type="dxa"/>
            <w:tcBorders>
              <w:top w:val="single" w:sz="6" w:space="0" w:color="auto"/>
              <w:left w:val="single" w:sz="6" w:space="0" w:color="auto"/>
              <w:bottom w:val="single" w:sz="6" w:space="0" w:color="auto"/>
              <w:right w:val="single" w:sz="6" w:space="0" w:color="auto"/>
            </w:tcBorders>
          </w:tcPr>
          <w:p w:rsidR="00624D77" w:rsidRDefault="00624D77">
            <w:pPr>
              <w:jc w:val="right"/>
            </w:pPr>
            <w:r>
              <w:t>2 705</w:t>
            </w:r>
          </w:p>
        </w:tc>
        <w:tc>
          <w:tcPr>
            <w:tcW w:w="1100" w:type="dxa"/>
            <w:tcBorders>
              <w:top w:val="single" w:sz="6" w:space="0" w:color="auto"/>
              <w:left w:val="single" w:sz="6" w:space="0" w:color="auto"/>
              <w:bottom w:val="single" w:sz="6" w:space="0" w:color="auto"/>
              <w:right w:val="single" w:sz="6" w:space="0" w:color="auto"/>
            </w:tcBorders>
          </w:tcPr>
          <w:p w:rsidR="00624D77" w:rsidRDefault="00624D77">
            <w:pPr>
              <w:jc w:val="right"/>
            </w:pPr>
            <w:r>
              <w:t>160 280</w:t>
            </w:r>
          </w:p>
        </w:tc>
        <w:tc>
          <w:tcPr>
            <w:tcW w:w="1100" w:type="dxa"/>
            <w:tcBorders>
              <w:top w:val="single" w:sz="6" w:space="0" w:color="auto"/>
              <w:left w:val="single" w:sz="6" w:space="0" w:color="auto"/>
              <w:bottom w:val="single" w:sz="6" w:space="0" w:color="auto"/>
              <w:right w:val="single" w:sz="6" w:space="0" w:color="auto"/>
            </w:tcBorders>
          </w:tcPr>
          <w:p w:rsidR="00624D77" w:rsidRDefault="00624D77">
            <w:pPr>
              <w:jc w:val="right"/>
            </w:pPr>
            <w:r>
              <w:t>16 089</w:t>
            </w:r>
          </w:p>
        </w:tc>
        <w:tc>
          <w:tcPr>
            <w:tcW w:w="1140" w:type="dxa"/>
            <w:tcBorders>
              <w:top w:val="single" w:sz="6" w:space="0" w:color="auto"/>
              <w:left w:val="single" w:sz="6" w:space="0" w:color="auto"/>
              <w:bottom w:val="single" w:sz="6" w:space="0" w:color="auto"/>
              <w:right w:val="double" w:sz="6" w:space="0" w:color="auto"/>
            </w:tcBorders>
          </w:tcPr>
          <w:p w:rsidR="00624D77" w:rsidRDefault="00624D77">
            <w:pPr>
              <w:jc w:val="right"/>
            </w:pPr>
            <w:r>
              <w:t>96 723</w:t>
            </w:r>
          </w:p>
        </w:tc>
      </w:tr>
      <w:tr w:rsidR="00624D77">
        <w:tc>
          <w:tcPr>
            <w:tcW w:w="4092" w:type="dxa"/>
            <w:tcBorders>
              <w:top w:val="single" w:sz="6" w:space="0" w:color="auto"/>
              <w:left w:val="double" w:sz="6" w:space="0" w:color="auto"/>
              <w:bottom w:val="single" w:sz="6" w:space="0" w:color="auto"/>
              <w:right w:val="single" w:sz="6" w:space="0" w:color="auto"/>
            </w:tcBorders>
          </w:tcPr>
          <w:p w:rsidR="00624D77" w:rsidRDefault="00624D77">
            <w:r>
              <w:t>Возмещение убытков, причиненных неисполнением или ненадлежащим исполнением обязательств</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250</w:t>
            </w:r>
          </w:p>
        </w:tc>
        <w:tc>
          <w:tcPr>
            <w:tcW w:w="1100" w:type="dxa"/>
            <w:tcBorders>
              <w:top w:val="single" w:sz="6" w:space="0" w:color="auto"/>
              <w:left w:val="single" w:sz="6" w:space="0" w:color="auto"/>
              <w:bottom w:val="single" w:sz="6" w:space="0" w:color="auto"/>
              <w:right w:val="single" w:sz="6" w:space="0" w:color="auto"/>
            </w:tcBorders>
          </w:tcPr>
          <w:p w:rsidR="00624D77" w:rsidRDefault="00624D77"/>
        </w:tc>
        <w:tc>
          <w:tcPr>
            <w:tcW w:w="1100" w:type="dxa"/>
            <w:tcBorders>
              <w:top w:val="single" w:sz="6" w:space="0" w:color="auto"/>
              <w:left w:val="single" w:sz="6" w:space="0" w:color="auto"/>
              <w:bottom w:val="single" w:sz="6" w:space="0" w:color="auto"/>
              <w:right w:val="single" w:sz="6" w:space="0" w:color="auto"/>
            </w:tcBorders>
          </w:tcPr>
          <w:p w:rsidR="00624D77" w:rsidRDefault="00624D77"/>
        </w:tc>
        <w:tc>
          <w:tcPr>
            <w:tcW w:w="1100" w:type="dxa"/>
            <w:tcBorders>
              <w:top w:val="single" w:sz="6" w:space="0" w:color="auto"/>
              <w:left w:val="single" w:sz="6" w:space="0" w:color="auto"/>
              <w:bottom w:val="single" w:sz="6" w:space="0" w:color="auto"/>
              <w:right w:val="single" w:sz="6" w:space="0" w:color="auto"/>
            </w:tcBorders>
          </w:tcPr>
          <w:p w:rsidR="00624D77" w:rsidRDefault="00624D77"/>
        </w:tc>
        <w:tc>
          <w:tcPr>
            <w:tcW w:w="1140" w:type="dxa"/>
            <w:tcBorders>
              <w:top w:val="single" w:sz="6" w:space="0" w:color="auto"/>
              <w:left w:val="single" w:sz="6" w:space="0" w:color="auto"/>
              <w:bottom w:val="single" w:sz="6" w:space="0" w:color="auto"/>
              <w:right w:val="double" w:sz="6" w:space="0" w:color="auto"/>
            </w:tcBorders>
          </w:tcPr>
          <w:p w:rsidR="00624D77" w:rsidRDefault="00624D77"/>
        </w:tc>
      </w:tr>
      <w:tr w:rsidR="00624D77">
        <w:tc>
          <w:tcPr>
            <w:tcW w:w="4092" w:type="dxa"/>
            <w:tcBorders>
              <w:top w:val="single" w:sz="6" w:space="0" w:color="auto"/>
              <w:left w:val="double" w:sz="6" w:space="0" w:color="auto"/>
              <w:bottom w:val="single" w:sz="6" w:space="0" w:color="auto"/>
              <w:right w:val="single" w:sz="6" w:space="0" w:color="auto"/>
            </w:tcBorders>
          </w:tcPr>
          <w:p w:rsidR="00624D77" w:rsidRDefault="00624D77">
            <w:r>
              <w:t>Курсовые разницы по операциям в иностранной валюте</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260</w:t>
            </w:r>
          </w:p>
        </w:tc>
        <w:tc>
          <w:tcPr>
            <w:tcW w:w="1100" w:type="dxa"/>
            <w:tcBorders>
              <w:top w:val="single" w:sz="6" w:space="0" w:color="auto"/>
              <w:left w:val="single" w:sz="6" w:space="0" w:color="auto"/>
              <w:bottom w:val="single" w:sz="6" w:space="0" w:color="auto"/>
              <w:right w:val="single" w:sz="6" w:space="0" w:color="auto"/>
            </w:tcBorders>
          </w:tcPr>
          <w:p w:rsidR="00624D77" w:rsidRDefault="00624D77">
            <w:pPr>
              <w:jc w:val="right"/>
            </w:pPr>
            <w:r>
              <w:t>1 069 346</w:t>
            </w:r>
          </w:p>
        </w:tc>
        <w:tc>
          <w:tcPr>
            <w:tcW w:w="1100" w:type="dxa"/>
            <w:tcBorders>
              <w:top w:val="single" w:sz="6" w:space="0" w:color="auto"/>
              <w:left w:val="single" w:sz="6" w:space="0" w:color="auto"/>
              <w:bottom w:val="single" w:sz="6" w:space="0" w:color="auto"/>
              <w:right w:val="single" w:sz="6" w:space="0" w:color="auto"/>
            </w:tcBorders>
          </w:tcPr>
          <w:p w:rsidR="00624D77" w:rsidRDefault="00624D77">
            <w:pPr>
              <w:jc w:val="right"/>
            </w:pPr>
            <w:r>
              <w:t>1 194 871</w:t>
            </w:r>
          </w:p>
        </w:tc>
        <w:tc>
          <w:tcPr>
            <w:tcW w:w="1100" w:type="dxa"/>
            <w:tcBorders>
              <w:top w:val="single" w:sz="6" w:space="0" w:color="auto"/>
              <w:left w:val="single" w:sz="6" w:space="0" w:color="auto"/>
              <w:bottom w:val="single" w:sz="6" w:space="0" w:color="auto"/>
              <w:right w:val="single" w:sz="6" w:space="0" w:color="auto"/>
            </w:tcBorders>
          </w:tcPr>
          <w:p w:rsidR="00624D77" w:rsidRDefault="00624D77">
            <w:pPr>
              <w:jc w:val="right"/>
            </w:pPr>
            <w:r>
              <w:t>79 830</w:t>
            </w:r>
          </w:p>
        </w:tc>
        <w:tc>
          <w:tcPr>
            <w:tcW w:w="1140" w:type="dxa"/>
            <w:tcBorders>
              <w:top w:val="single" w:sz="6" w:space="0" w:color="auto"/>
              <w:left w:val="single" w:sz="6" w:space="0" w:color="auto"/>
              <w:bottom w:val="single" w:sz="6" w:space="0" w:color="auto"/>
              <w:right w:val="double" w:sz="6" w:space="0" w:color="auto"/>
            </w:tcBorders>
          </w:tcPr>
          <w:p w:rsidR="00624D77" w:rsidRDefault="00624D77">
            <w:pPr>
              <w:jc w:val="right"/>
            </w:pPr>
            <w:r>
              <w:t>345 841</w:t>
            </w:r>
          </w:p>
        </w:tc>
      </w:tr>
      <w:tr w:rsidR="00624D77">
        <w:tc>
          <w:tcPr>
            <w:tcW w:w="4092" w:type="dxa"/>
            <w:tcBorders>
              <w:top w:val="single" w:sz="6" w:space="0" w:color="auto"/>
              <w:left w:val="double" w:sz="6" w:space="0" w:color="auto"/>
              <w:bottom w:val="single" w:sz="6" w:space="0" w:color="auto"/>
              <w:right w:val="single" w:sz="6" w:space="0" w:color="auto"/>
            </w:tcBorders>
          </w:tcPr>
          <w:p w:rsidR="00624D77" w:rsidRDefault="00624D77">
            <w:r>
              <w:t>Отчисления в оценочные резервы</w:t>
            </w:r>
          </w:p>
        </w:tc>
        <w:tc>
          <w:tcPr>
            <w:tcW w:w="720" w:type="dxa"/>
            <w:tcBorders>
              <w:top w:val="single" w:sz="6" w:space="0" w:color="auto"/>
              <w:left w:val="single" w:sz="6" w:space="0" w:color="auto"/>
              <w:bottom w:val="single" w:sz="6" w:space="0" w:color="auto"/>
              <w:right w:val="single" w:sz="6" w:space="0" w:color="auto"/>
            </w:tcBorders>
          </w:tcPr>
          <w:p w:rsidR="00624D77" w:rsidRDefault="00624D77">
            <w:pPr>
              <w:jc w:val="center"/>
            </w:pPr>
            <w:r>
              <w:t>270</w:t>
            </w:r>
          </w:p>
        </w:tc>
        <w:tc>
          <w:tcPr>
            <w:tcW w:w="1100" w:type="dxa"/>
            <w:tcBorders>
              <w:top w:val="single" w:sz="6" w:space="0" w:color="auto"/>
              <w:left w:val="single" w:sz="6" w:space="0" w:color="auto"/>
              <w:bottom w:val="single" w:sz="6" w:space="0" w:color="auto"/>
              <w:right w:val="single" w:sz="6" w:space="0" w:color="auto"/>
            </w:tcBorders>
          </w:tcPr>
          <w:p w:rsidR="00624D77" w:rsidRDefault="00624D77"/>
        </w:tc>
        <w:tc>
          <w:tcPr>
            <w:tcW w:w="1100" w:type="dxa"/>
            <w:tcBorders>
              <w:top w:val="single" w:sz="6" w:space="0" w:color="auto"/>
              <w:left w:val="single" w:sz="6" w:space="0" w:color="auto"/>
              <w:bottom w:val="single" w:sz="6" w:space="0" w:color="auto"/>
              <w:right w:val="single" w:sz="6" w:space="0" w:color="auto"/>
            </w:tcBorders>
          </w:tcPr>
          <w:p w:rsidR="00624D77" w:rsidRDefault="00624D77">
            <w:pPr>
              <w:jc w:val="right"/>
            </w:pPr>
            <w:r>
              <w:t>23 708</w:t>
            </w:r>
          </w:p>
        </w:tc>
        <w:tc>
          <w:tcPr>
            <w:tcW w:w="1100" w:type="dxa"/>
            <w:tcBorders>
              <w:top w:val="single" w:sz="6" w:space="0" w:color="auto"/>
              <w:left w:val="single" w:sz="6" w:space="0" w:color="auto"/>
              <w:bottom w:val="single" w:sz="6" w:space="0" w:color="auto"/>
              <w:right w:val="single" w:sz="6" w:space="0" w:color="auto"/>
            </w:tcBorders>
          </w:tcPr>
          <w:p w:rsidR="00624D77" w:rsidRDefault="00624D77"/>
        </w:tc>
        <w:tc>
          <w:tcPr>
            <w:tcW w:w="1140" w:type="dxa"/>
            <w:tcBorders>
              <w:top w:val="single" w:sz="6" w:space="0" w:color="auto"/>
              <w:left w:val="single" w:sz="6" w:space="0" w:color="auto"/>
              <w:bottom w:val="single" w:sz="6" w:space="0" w:color="auto"/>
              <w:right w:val="double" w:sz="6" w:space="0" w:color="auto"/>
            </w:tcBorders>
          </w:tcPr>
          <w:p w:rsidR="00624D77" w:rsidRDefault="00624D77">
            <w:pPr>
              <w:jc w:val="right"/>
            </w:pPr>
            <w:r>
              <w:t>8 260</w:t>
            </w:r>
          </w:p>
        </w:tc>
      </w:tr>
      <w:tr w:rsidR="00624D77">
        <w:tc>
          <w:tcPr>
            <w:tcW w:w="4092" w:type="dxa"/>
            <w:tcBorders>
              <w:top w:val="single" w:sz="6" w:space="0" w:color="auto"/>
              <w:left w:val="double" w:sz="6" w:space="0" w:color="auto"/>
              <w:bottom w:val="double" w:sz="6" w:space="0" w:color="auto"/>
              <w:right w:val="single" w:sz="6" w:space="0" w:color="auto"/>
            </w:tcBorders>
          </w:tcPr>
          <w:p w:rsidR="00624D77" w:rsidRDefault="00624D77">
            <w:r>
              <w:t>Списание дебиторских и кредиторских задолженностей, по которым истек срок исковой давности</w:t>
            </w:r>
          </w:p>
        </w:tc>
        <w:tc>
          <w:tcPr>
            <w:tcW w:w="720" w:type="dxa"/>
            <w:tcBorders>
              <w:top w:val="single" w:sz="6" w:space="0" w:color="auto"/>
              <w:left w:val="single" w:sz="6" w:space="0" w:color="auto"/>
              <w:bottom w:val="double" w:sz="6" w:space="0" w:color="auto"/>
              <w:right w:val="single" w:sz="6" w:space="0" w:color="auto"/>
            </w:tcBorders>
          </w:tcPr>
          <w:p w:rsidR="00624D77" w:rsidRDefault="00624D77">
            <w:pPr>
              <w:jc w:val="center"/>
            </w:pPr>
            <w:r>
              <w:t>280</w:t>
            </w:r>
          </w:p>
        </w:tc>
        <w:tc>
          <w:tcPr>
            <w:tcW w:w="1100" w:type="dxa"/>
            <w:tcBorders>
              <w:top w:val="single" w:sz="6" w:space="0" w:color="auto"/>
              <w:left w:val="single" w:sz="6" w:space="0" w:color="auto"/>
              <w:bottom w:val="double" w:sz="6" w:space="0" w:color="auto"/>
              <w:right w:val="single" w:sz="6" w:space="0" w:color="auto"/>
            </w:tcBorders>
          </w:tcPr>
          <w:p w:rsidR="00624D77" w:rsidRDefault="00624D77">
            <w:pPr>
              <w:jc w:val="right"/>
            </w:pPr>
            <w:r>
              <w:t>1 233</w:t>
            </w:r>
          </w:p>
        </w:tc>
        <w:tc>
          <w:tcPr>
            <w:tcW w:w="1100" w:type="dxa"/>
            <w:tcBorders>
              <w:top w:val="single" w:sz="6" w:space="0" w:color="auto"/>
              <w:left w:val="single" w:sz="6" w:space="0" w:color="auto"/>
              <w:bottom w:val="double" w:sz="6" w:space="0" w:color="auto"/>
              <w:right w:val="single" w:sz="6" w:space="0" w:color="auto"/>
            </w:tcBorders>
          </w:tcPr>
          <w:p w:rsidR="00624D77" w:rsidRDefault="00624D77">
            <w:pPr>
              <w:jc w:val="right"/>
            </w:pPr>
            <w:r>
              <w:t>11 366</w:t>
            </w:r>
          </w:p>
        </w:tc>
        <w:tc>
          <w:tcPr>
            <w:tcW w:w="1100" w:type="dxa"/>
            <w:tcBorders>
              <w:top w:val="single" w:sz="6" w:space="0" w:color="auto"/>
              <w:left w:val="single" w:sz="6" w:space="0" w:color="auto"/>
              <w:bottom w:val="double" w:sz="6" w:space="0" w:color="auto"/>
              <w:right w:val="single" w:sz="6" w:space="0" w:color="auto"/>
            </w:tcBorders>
          </w:tcPr>
          <w:p w:rsidR="00624D77" w:rsidRDefault="00624D77">
            <w:pPr>
              <w:jc w:val="right"/>
            </w:pPr>
            <w:r>
              <w:t>694</w:t>
            </w:r>
          </w:p>
        </w:tc>
        <w:tc>
          <w:tcPr>
            <w:tcW w:w="1140" w:type="dxa"/>
            <w:tcBorders>
              <w:top w:val="single" w:sz="6" w:space="0" w:color="auto"/>
              <w:left w:val="single" w:sz="6" w:space="0" w:color="auto"/>
              <w:bottom w:val="double" w:sz="6" w:space="0" w:color="auto"/>
              <w:right w:val="double" w:sz="6" w:space="0" w:color="auto"/>
            </w:tcBorders>
          </w:tcPr>
          <w:p w:rsidR="00624D77" w:rsidRDefault="00624D77">
            <w:pPr>
              <w:jc w:val="right"/>
            </w:pPr>
            <w:r>
              <w:t>14 508</w:t>
            </w:r>
          </w:p>
        </w:tc>
      </w:tr>
    </w:tbl>
    <w:p w:rsidR="00624D77" w:rsidRDefault="00624D77">
      <w:pPr>
        <w:pStyle w:val="1"/>
        <w:jc w:val="left"/>
      </w:pPr>
      <w:bookmarkStart w:id="23" w:name="_GoBack"/>
      <w:bookmarkEnd w:id="23"/>
    </w:p>
    <w:sectPr w:rsidR="00624D77">
      <w:headerReference w:type="even" r:id="rId32"/>
      <w:headerReference w:type="default" r:id="rId33"/>
      <w:pgSz w:w="11906" w:h="16838" w:code="9"/>
      <w:pgMar w:top="851" w:right="851" w:bottom="851" w:left="1701" w:header="794" w:footer="794"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D77" w:rsidRDefault="00624D77">
      <w:pPr>
        <w:spacing w:after="0" w:line="240" w:lineRule="auto"/>
      </w:pPr>
      <w:r>
        <w:separator/>
      </w:r>
    </w:p>
  </w:endnote>
  <w:endnote w:type="continuationSeparator" w:id="0">
    <w:p w:rsidR="00624D77" w:rsidRDefault="0062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D77" w:rsidRDefault="00624D77">
      <w:pPr>
        <w:spacing w:after="0" w:line="240" w:lineRule="auto"/>
      </w:pPr>
      <w:r>
        <w:separator/>
      </w:r>
    </w:p>
  </w:footnote>
  <w:footnote w:type="continuationSeparator" w:id="0">
    <w:p w:rsidR="00624D77" w:rsidRDefault="00624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77" w:rsidRDefault="00624D77">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24D77" w:rsidRDefault="00624D77">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77" w:rsidRDefault="00624D77">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w:t>
    </w:r>
    <w:r>
      <w:rPr>
        <w:rStyle w:val="af1"/>
      </w:rPr>
      <w:fldChar w:fldCharType="end"/>
    </w:r>
  </w:p>
  <w:p w:rsidR="00624D77" w:rsidRDefault="00624D77">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21E3E"/>
    <w:multiLevelType w:val="singleLevel"/>
    <w:tmpl w:val="DA4E5A08"/>
    <w:lvl w:ilvl="0">
      <w:start w:val="10"/>
      <w:numFmt w:val="lowerLetter"/>
      <w:lvlText w:val="%1-"/>
      <w:lvlJc w:val="left"/>
      <w:pPr>
        <w:tabs>
          <w:tab w:val="num" w:pos="900"/>
        </w:tabs>
        <w:ind w:left="900" w:hanging="360"/>
      </w:pPr>
      <w:rPr>
        <w:rFonts w:hint="default"/>
      </w:rPr>
    </w:lvl>
  </w:abstractNum>
  <w:abstractNum w:abstractNumId="1">
    <w:nsid w:val="0AFB01C4"/>
    <w:multiLevelType w:val="hybridMultilevel"/>
    <w:tmpl w:val="99946D4A"/>
    <w:lvl w:ilvl="0" w:tplc="34002B60">
      <w:start w:val="1"/>
      <w:numFmt w:val="decimal"/>
      <w:lvlText w:val="%1)"/>
      <w:lvlJc w:val="left"/>
      <w:pPr>
        <w:ind w:left="975" w:hanging="615"/>
      </w:pPr>
      <w:rPr>
        <w:rFonts w:hint="default"/>
      </w:rPr>
    </w:lvl>
    <w:lvl w:ilvl="1" w:tplc="77F4617A" w:tentative="1">
      <w:start w:val="1"/>
      <w:numFmt w:val="lowerLetter"/>
      <w:lvlText w:val="%2."/>
      <w:lvlJc w:val="left"/>
      <w:pPr>
        <w:ind w:left="1440" w:hanging="360"/>
      </w:pPr>
    </w:lvl>
    <w:lvl w:ilvl="2" w:tplc="144E3EE6" w:tentative="1">
      <w:start w:val="1"/>
      <w:numFmt w:val="lowerRoman"/>
      <w:lvlText w:val="%3."/>
      <w:lvlJc w:val="right"/>
      <w:pPr>
        <w:ind w:left="2160" w:hanging="180"/>
      </w:pPr>
    </w:lvl>
    <w:lvl w:ilvl="3" w:tplc="8A403E9C" w:tentative="1">
      <w:start w:val="1"/>
      <w:numFmt w:val="decimal"/>
      <w:lvlText w:val="%4."/>
      <w:lvlJc w:val="left"/>
      <w:pPr>
        <w:ind w:left="2880" w:hanging="360"/>
      </w:pPr>
    </w:lvl>
    <w:lvl w:ilvl="4" w:tplc="31B41CAC" w:tentative="1">
      <w:start w:val="1"/>
      <w:numFmt w:val="lowerLetter"/>
      <w:lvlText w:val="%5."/>
      <w:lvlJc w:val="left"/>
      <w:pPr>
        <w:ind w:left="3600" w:hanging="360"/>
      </w:pPr>
    </w:lvl>
    <w:lvl w:ilvl="5" w:tplc="7ADCB0EA" w:tentative="1">
      <w:start w:val="1"/>
      <w:numFmt w:val="lowerRoman"/>
      <w:lvlText w:val="%6."/>
      <w:lvlJc w:val="right"/>
      <w:pPr>
        <w:ind w:left="4320" w:hanging="180"/>
      </w:pPr>
    </w:lvl>
    <w:lvl w:ilvl="6" w:tplc="7E8E7B74" w:tentative="1">
      <w:start w:val="1"/>
      <w:numFmt w:val="decimal"/>
      <w:lvlText w:val="%7."/>
      <w:lvlJc w:val="left"/>
      <w:pPr>
        <w:ind w:left="5040" w:hanging="360"/>
      </w:pPr>
    </w:lvl>
    <w:lvl w:ilvl="7" w:tplc="8140EFA4" w:tentative="1">
      <w:start w:val="1"/>
      <w:numFmt w:val="lowerLetter"/>
      <w:lvlText w:val="%8."/>
      <w:lvlJc w:val="left"/>
      <w:pPr>
        <w:ind w:left="5760" w:hanging="360"/>
      </w:pPr>
    </w:lvl>
    <w:lvl w:ilvl="8" w:tplc="2F80C10E" w:tentative="1">
      <w:start w:val="1"/>
      <w:numFmt w:val="lowerRoman"/>
      <w:lvlText w:val="%9."/>
      <w:lvlJc w:val="right"/>
      <w:pPr>
        <w:ind w:left="6480" w:hanging="180"/>
      </w:pPr>
    </w:lvl>
  </w:abstractNum>
  <w:abstractNum w:abstractNumId="2">
    <w:nsid w:val="0BF86B9B"/>
    <w:multiLevelType w:val="multilevel"/>
    <w:tmpl w:val="4782B8AA"/>
    <w:lvl w:ilvl="0">
      <w:start w:val="1"/>
      <w:numFmt w:val="decimal"/>
      <w:lvlText w:val="%1."/>
      <w:lvlJc w:val="left"/>
      <w:pPr>
        <w:ind w:left="1002" w:hanging="360"/>
      </w:pPr>
      <w:rPr>
        <w:rFonts w:hint="default"/>
      </w:rPr>
    </w:lvl>
    <w:lvl w:ilvl="1">
      <w:start w:val="1"/>
      <w:numFmt w:val="lowerLetter"/>
      <w:lvlText w:val="%2."/>
      <w:lvlJc w:val="left"/>
      <w:pPr>
        <w:ind w:left="1722" w:hanging="360"/>
      </w:pPr>
    </w:lvl>
    <w:lvl w:ilvl="2">
      <w:start w:val="1"/>
      <w:numFmt w:val="lowerRoman"/>
      <w:lvlText w:val="%3."/>
      <w:lvlJc w:val="right"/>
      <w:pPr>
        <w:ind w:left="2442" w:hanging="180"/>
      </w:pPr>
    </w:lvl>
    <w:lvl w:ilvl="3">
      <w:start w:val="1"/>
      <w:numFmt w:val="decimal"/>
      <w:lvlText w:val="%4."/>
      <w:lvlJc w:val="left"/>
      <w:pPr>
        <w:ind w:left="3162" w:hanging="360"/>
      </w:pPr>
    </w:lvl>
    <w:lvl w:ilvl="4">
      <w:start w:val="1"/>
      <w:numFmt w:val="lowerLetter"/>
      <w:lvlText w:val="%5."/>
      <w:lvlJc w:val="left"/>
      <w:pPr>
        <w:ind w:left="3882" w:hanging="360"/>
      </w:pPr>
    </w:lvl>
    <w:lvl w:ilvl="5">
      <w:start w:val="1"/>
      <w:numFmt w:val="lowerRoman"/>
      <w:lvlText w:val="%6."/>
      <w:lvlJc w:val="right"/>
      <w:pPr>
        <w:ind w:left="4602" w:hanging="180"/>
      </w:pPr>
    </w:lvl>
    <w:lvl w:ilvl="6">
      <w:start w:val="1"/>
      <w:numFmt w:val="decimal"/>
      <w:lvlText w:val="%7."/>
      <w:lvlJc w:val="left"/>
      <w:pPr>
        <w:ind w:left="5322" w:hanging="360"/>
      </w:pPr>
    </w:lvl>
    <w:lvl w:ilvl="7">
      <w:start w:val="1"/>
      <w:numFmt w:val="lowerLetter"/>
      <w:lvlText w:val="%8."/>
      <w:lvlJc w:val="left"/>
      <w:pPr>
        <w:ind w:left="6042" w:hanging="360"/>
      </w:pPr>
    </w:lvl>
    <w:lvl w:ilvl="8">
      <w:start w:val="1"/>
      <w:numFmt w:val="lowerRoman"/>
      <w:lvlText w:val="%9."/>
      <w:lvlJc w:val="right"/>
      <w:pPr>
        <w:ind w:left="6762" w:hanging="180"/>
      </w:pPr>
    </w:lvl>
  </w:abstractNum>
  <w:abstractNum w:abstractNumId="3">
    <w:nsid w:val="0E95277B"/>
    <w:multiLevelType w:val="multilevel"/>
    <w:tmpl w:val="7850271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0D2090D"/>
    <w:multiLevelType w:val="multilevel"/>
    <w:tmpl w:val="E710F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121739"/>
    <w:multiLevelType w:val="singleLevel"/>
    <w:tmpl w:val="0419000F"/>
    <w:lvl w:ilvl="0">
      <w:start w:val="1"/>
      <w:numFmt w:val="decimal"/>
      <w:lvlText w:val="%1."/>
      <w:lvlJc w:val="left"/>
      <w:pPr>
        <w:tabs>
          <w:tab w:val="num" w:pos="360"/>
        </w:tabs>
        <w:ind w:left="360" w:hanging="360"/>
      </w:pPr>
    </w:lvl>
  </w:abstractNum>
  <w:abstractNum w:abstractNumId="6">
    <w:nsid w:val="148B4925"/>
    <w:multiLevelType w:val="multilevel"/>
    <w:tmpl w:val="AD725F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5FB70D5"/>
    <w:multiLevelType w:val="hybridMultilevel"/>
    <w:tmpl w:val="9FF2AFC4"/>
    <w:lvl w:ilvl="0" w:tplc="A9C2167A">
      <w:start w:val="1"/>
      <w:numFmt w:val="decimal"/>
      <w:lvlText w:val="%1."/>
      <w:lvlJc w:val="left"/>
      <w:pPr>
        <w:ind w:left="720" w:hanging="360"/>
      </w:pPr>
      <w:rPr>
        <w:rFonts w:hint="default"/>
      </w:rPr>
    </w:lvl>
    <w:lvl w:ilvl="1" w:tplc="8FAE751E" w:tentative="1">
      <w:start w:val="1"/>
      <w:numFmt w:val="lowerLetter"/>
      <w:lvlText w:val="%2."/>
      <w:lvlJc w:val="left"/>
      <w:pPr>
        <w:ind w:left="1440" w:hanging="360"/>
      </w:pPr>
    </w:lvl>
    <w:lvl w:ilvl="2" w:tplc="79A05586" w:tentative="1">
      <w:start w:val="1"/>
      <w:numFmt w:val="lowerRoman"/>
      <w:lvlText w:val="%3."/>
      <w:lvlJc w:val="right"/>
      <w:pPr>
        <w:ind w:left="2160" w:hanging="180"/>
      </w:pPr>
    </w:lvl>
    <w:lvl w:ilvl="3" w:tplc="86C01A1E" w:tentative="1">
      <w:start w:val="1"/>
      <w:numFmt w:val="decimal"/>
      <w:lvlText w:val="%4."/>
      <w:lvlJc w:val="left"/>
      <w:pPr>
        <w:ind w:left="2880" w:hanging="360"/>
      </w:pPr>
    </w:lvl>
    <w:lvl w:ilvl="4" w:tplc="381A942E" w:tentative="1">
      <w:start w:val="1"/>
      <w:numFmt w:val="lowerLetter"/>
      <w:lvlText w:val="%5."/>
      <w:lvlJc w:val="left"/>
      <w:pPr>
        <w:ind w:left="3600" w:hanging="360"/>
      </w:pPr>
    </w:lvl>
    <w:lvl w:ilvl="5" w:tplc="2F5C514E" w:tentative="1">
      <w:start w:val="1"/>
      <w:numFmt w:val="lowerRoman"/>
      <w:lvlText w:val="%6."/>
      <w:lvlJc w:val="right"/>
      <w:pPr>
        <w:ind w:left="4320" w:hanging="180"/>
      </w:pPr>
    </w:lvl>
    <w:lvl w:ilvl="6" w:tplc="B838E54E" w:tentative="1">
      <w:start w:val="1"/>
      <w:numFmt w:val="decimal"/>
      <w:lvlText w:val="%7."/>
      <w:lvlJc w:val="left"/>
      <w:pPr>
        <w:ind w:left="5040" w:hanging="360"/>
      </w:pPr>
    </w:lvl>
    <w:lvl w:ilvl="7" w:tplc="8F72A48C" w:tentative="1">
      <w:start w:val="1"/>
      <w:numFmt w:val="lowerLetter"/>
      <w:lvlText w:val="%8."/>
      <w:lvlJc w:val="left"/>
      <w:pPr>
        <w:ind w:left="5760" w:hanging="360"/>
      </w:pPr>
    </w:lvl>
    <w:lvl w:ilvl="8" w:tplc="0C3CDD6C" w:tentative="1">
      <w:start w:val="1"/>
      <w:numFmt w:val="lowerRoman"/>
      <w:lvlText w:val="%9."/>
      <w:lvlJc w:val="right"/>
      <w:pPr>
        <w:ind w:left="6480" w:hanging="180"/>
      </w:pPr>
    </w:lvl>
  </w:abstractNum>
  <w:abstractNum w:abstractNumId="8">
    <w:nsid w:val="1A4B61BC"/>
    <w:multiLevelType w:val="singleLevel"/>
    <w:tmpl w:val="8196DDDE"/>
    <w:lvl w:ilvl="0">
      <w:start w:val="1"/>
      <w:numFmt w:val="bullet"/>
      <w:lvlText w:val="-"/>
      <w:lvlJc w:val="left"/>
      <w:pPr>
        <w:tabs>
          <w:tab w:val="num" w:pos="900"/>
        </w:tabs>
        <w:ind w:left="900" w:hanging="360"/>
      </w:pPr>
      <w:rPr>
        <w:rFonts w:hint="default"/>
      </w:rPr>
    </w:lvl>
  </w:abstractNum>
  <w:abstractNum w:abstractNumId="9">
    <w:nsid w:val="1CEE1ACE"/>
    <w:multiLevelType w:val="hybridMultilevel"/>
    <w:tmpl w:val="E452E4D0"/>
    <w:lvl w:ilvl="0" w:tplc="21EA7FBA">
      <w:start w:val="1"/>
      <w:numFmt w:val="decimal"/>
      <w:lvlText w:val="%1."/>
      <w:lvlJc w:val="left"/>
      <w:pPr>
        <w:ind w:left="720" w:hanging="360"/>
      </w:pPr>
      <w:rPr>
        <w:rFonts w:hint="default"/>
      </w:rPr>
    </w:lvl>
    <w:lvl w:ilvl="1" w:tplc="6A48C956" w:tentative="1">
      <w:start w:val="1"/>
      <w:numFmt w:val="lowerLetter"/>
      <w:lvlText w:val="%2."/>
      <w:lvlJc w:val="left"/>
      <w:pPr>
        <w:ind w:left="1440" w:hanging="360"/>
      </w:pPr>
    </w:lvl>
    <w:lvl w:ilvl="2" w:tplc="705275F4" w:tentative="1">
      <w:start w:val="1"/>
      <w:numFmt w:val="lowerRoman"/>
      <w:lvlText w:val="%3."/>
      <w:lvlJc w:val="right"/>
      <w:pPr>
        <w:ind w:left="2160" w:hanging="180"/>
      </w:pPr>
    </w:lvl>
    <w:lvl w:ilvl="3" w:tplc="97BEDD86" w:tentative="1">
      <w:start w:val="1"/>
      <w:numFmt w:val="decimal"/>
      <w:lvlText w:val="%4."/>
      <w:lvlJc w:val="left"/>
      <w:pPr>
        <w:ind w:left="2880" w:hanging="360"/>
      </w:pPr>
    </w:lvl>
    <w:lvl w:ilvl="4" w:tplc="ED823176" w:tentative="1">
      <w:start w:val="1"/>
      <w:numFmt w:val="lowerLetter"/>
      <w:lvlText w:val="%5."/>
      <w:lvlJc w:val="left"/>
      <w:pPr>
        <w:ind w:left="3600" w:hanging="360"/>
      </w:pPr>
    </w:lvl>
    <w:lvl w:ilvl="5" w:tplc="E0E2CFC4" w:tentative="1">
      <w:start w:val="1"/>
      <w:numFmt w:val="lowerRoman"/>
      <w:lvlText w:val="%6."/>
      <w:lvlJc w:val="right"/>
      <w:pPr>
        <w:ind w:left="4320" w:hanging="180"/>
      </w:pPr>
    </w:lvl>
    <w:lvl w:ilvl="6" w:tplc="11462804" w:tentative="1">
      <w:start w:val="1"/>
      <w:numFmt w:val="decimal"/>
      <w:lvlText w:val="%7."/>
      <w:lvlJc w:val="left"/>
      <w:pPr>
        <w:ind w:left="5040" w:hanging="360"/>
      </w:pPr>
    </w:lvl>
    <w:lvl w:ilvl="7" w:tplc="8DE865DC" w:tentative="1">
      <w:start w:val="1"/>
      <w:numFmt w:val="lowerLetter"/>
      <w:lvlText w:val="%8."/>
      <w:lvlJc w:val="left"/>
      <w:pPr>
        <w:ind w:left="5760" w:hanging="360"/>
      </w:pPr>
    </w:lvl>
    <w:lvl w:ilvl="8" w:tplc="2A0A4F8A" w:tentative="1">
      <w:start w:val="1"/>
      <w:numFmt w:val="lowerRoman"/>
      <w:lvlText w:val="%9."/>
      <w:lvlJc w:val="right"/>
      <w:pPr>
        <w:ind w:left="6480" w:hanging="180"/>
      </w:pPr>
    </w:lvl>
  </w:abstractNum>
  <w:abstractNum w:abstractNumId="10">
    <w:nsid w:val="1FA36270"/>
    <w:multiLevelType w:val="singleLevel"/>
    <w:tmpl w:val="497816E8"/>
    <w:lvl w:ilvl="0">
      <w:start w:val="1"/>
      <w:numFmt w:val="decimal"/>
      <w:lvlText w:val="%1."/>
      <w:lvlJc w:val="left"/>
      <w:pPr>
        <w:tabs>
          <w:tab w:val="num" w:pos="1137"/>
        </w:tabs>
        <w:ind w:left="1137" w:hanging="570"/>
      </w:pPr>
      <w:rPr>
        <w:rFonts w:hint="default"/>
      </w:rPr>
    </w:lvl>
  </w:abstractNum>
  <w:abstractNum w:abstractNumId="11">
    <w:nsid w:val="255725D1"/>
    <w:multiLevelType w:val="singleLevel"/>
    <w:tmpl w:val="0419000F"/>
    <w:lvl w:ilvl="0">
      <w:start w:val="22"/>
      <w:numFmt w:val="decimal"/>
      <w:lvlText w:val="%1."/>
      <w:lvlJc w:val="left"/>
      <w:pPr>
        <w:tabs>
          <w:tab w:val="num" w:pos="360"/>
        </w:tabs>
        <w:ind w:left="360" w:hanging="360"/>
      </w:pPr>
      <w:rPr>
        <w:rFonts w:hint="default"/>
      </w:rPr>
    </w:lvl>
  </w:abstractNum>
  <w:abstractNum w:abstractNumId="12">
    <w:nsid w:val="25D47FF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293936D1"/>
    <w:multiLevelType w:val="multilevel"/>
    <w:tmpl w:val="4A38B0F2"/>
    <w:lvl w:ilvl="0">
      <w:start w:val="2"/>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2"/>
      <w:numFmt w:val="decimal"/>
      <w:lvlText w:val="%1.7.%3"/>
      <w:lvlJc w:val="left"/>
      <w:pPr>
        <w:tabs>
          <w:tab w:val="num" w:pos="720"/>
        </w:tabs>
        <w:ind w:left="720" w:hanging="720"/>
      </w:pPr>
      <w:rPr>
        <w:rFonts w:hint="default"/>
      </w:rPr>
    </w:lvl>
    <w:lvl w:ilvl="3">
      <w:start w:val="1"/>
      <w:numFmt w:val="decimal"/>
      <w:lvlText w:val="%1.7.%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E133D84"/>
    <w:multiLevelType w:val="multilevel"/>
    <w:tmpl w:val="079088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7225200"/>
    <w:multiLevelType w:val="multilevel"/>
    <w:tmpl w:val="05D4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711963"/>
    <w:multiLevelType w:val="hybridMultilevel"/>
    <w:tmpl w:val="2152C69C"/>
    <w:lvl w:ilvl="0" w:tplc="4E987A8E">
      <w:start w:val="1"/>
      <w:numFmt w:val="decimal"/>
      <w:lvlText w:val="%1."/>
      <w:lvlJc w:val="left"/>
      <w:pPr>
        <w:tabs>
          <w:tab w:val="num" w:pos="720"/>
        </w:tabs>
        <w:ind w:left="720" w:hanging="360"/>
      </w:pPr>
      <w:rPr>
        <w:rFonts w:hint="default"/>
      </w:rPr>
    </w:lvl>
    <w:lvl w:ilvl="1" w:tplc="3EE8A99C" w:tentative="1">
      <w:start w:val="1"/>
      <w:numFmt w:val="lowerLetter"/>
      <w:lvlText w:val="%2."/>
      <w:lvlJc w:val="left"/>
      <w:pPr>
        <w:tabs>
          <w:tab w:val="num" w:pos="1440"/>
        </w:tabs>
        <w:ind w:left="1440" w:hanging="360"/>
      </w:pPr>
    </w:lvl>
    <w:lvl w:ilvl="2" w:tplc="420C4F4A" w:tentative="1">
      <w:start w:val="1"/>
      <w:numFmt w:val="lowerRoman"/>
      <w:lvlText w:val="%3."/>
      <w:lvlJc w:val="right"/>
      <w:pPr>
        <w:tabs>
          <w:tab w:val="num" w:pos="2160"/>
        </w:tabs>
        <w:ind w:left="2160" w:hanging="180"/>
      </w:pPr>
    </w:lvl>
    <w:lvl w:ilvl="3" w:tplc="33849E14" w:tentative="1">
      <w:start w:val="1"/>
      <w:numFmt w:val="decimal"/>
      <w:lvlText w:val="%4."/>
      <w:lvlJc w:val="left"/>
      <w:pPr>
        <w:tabs>
          <w:tab w:val="num" w:pos="2880"/>
        </w:tabs>
        <w:ind w:left="2880" w:hanging="360"/>
      </w:pPr>
    </w:lvl>
    <w:lvl w:ilvl="4" w:tplc="059A4042" w:tentative="1">
      <w:start w:val="1"/>
      <w:numFmt w:val="lowerLetter"/>
      <w:lvlText w:val="%5."/>
      <w:lvlJc w:val="left"/>
      <w:pPr>
        <w:tabs>
          <w:tab w:val="num" w:pos="3600"/>
        </w:tabs>
        <w:ind w:left="3600" w:hanging="360"/>
      </w:pPr>
    </w:lvl>
    <w:lvl w:ilvl="5" w:tplc="7BF040D2" w:tentative="1">
      <w:start w:val="1"/>
      <w:numFmt w:val="lowerRoman"/>
      <w:lvlText w:val="%6."/>
      <w:lvlJc w:val="right"/>
      <w:pPr>
        <w:tabs>
          <w:tab w:val="num" w:pos="4320"/>
        </w:tabs>
        <w:ind w:left="4320" w:hanging="180"/>
      </w:pPr>
    </w:lvl>
    <w:lvl w:ilvl="6" w:tplc="13062458" w:tentative="1">
      <w:start w:val="1"/>
      <w:numFmt w:val="decimal"/>
      <w:lvlText w:val="%7."/>
      <w:lvlJc w:val="left"/>
      <w:pPr>
        <w:tabs>
          <w:tab w:val="num" w:pos="5040"/>
        </w:tabs>
        <w:ind w:left="5040" w:hanging="360"/>
      </w:pPr>
    </w:lvl>
    <w:lvl w:ilvl="7" w:tplc="CAC687F0" w:tentative="1">
      <w:start w:val="1"/>
      <w:numFmt w:val="lowerLetter"/>
      <w:lvlText w:val="%8."/>
      <w:lvlJc w:val="left"/>
      <w:pPr>
        <w:tabs>
          <w:tab w:val="num" w:pos="5760"/>
        </w:tabs>
        <w:ind w:left="5760" w:hanging="360"/>
      </w:pPr>
    </w:lvl>
    <w:lvl w:ilvl="8" w:tplc="6C5808E8" w:tentative="1">
      <w:start w:val="1"/>
      <w:numFmt w:val="lowerRoman"/>
      <w:lvlText w:val="%9."/>
      <w:lvlJc w:val="right"/>
      <w:pPr>
        <w:tabs>
          <w:tab w:val="num" w:pos="6480"/>
        </w:tabs>
        <w:ind w:left="6480" w:hanging="180"/>
      </w:pPr>
    </w:lvl>
  </w:abstractNum>
  <w:abstractNum w:abstractNumId="17">
    <w:nsid w:val="403746F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460A3EA5"/>
    <w:multiLevelType w:val="hybridMultilevel"/>
    <w:tmpl w:val="23A016F4"/>
    <w:lvl w:ilvl="0" w:tplc="D954E7D6">
      <w:start w:val="1"/>
      <w:numFmt w:val="bullet"/>
      <w:lvlText w:val=""/>
      <w:lvlJc w:val="left"/>
      <w:pPr>
        <w:tabs>
          <w:tab w:val="num" w:pos="1080"/>
        </w:tabs>
        <w:ind w:left="1080" w:hanging="360"/>
      </w:pPr>
      <w:rPr>
        <w:rFonts w:ascii="Symbol" w:hAnsi="Symbol" w:hint="default"/>
      </w:rPr>
    </w:lvl>
    <w:lvl w:ilvl="1" w:tplc="957077F4" w:tentative="1">
      <w:start w:val="1"/>
      <w:numFmt w:val="bullet"/>
      <w:lvlText w:val="o"/>
      <w:lvlJc w:val="left"/>
      <w:pPr>
        <w:tabs>
          <w:tab w:val="num" w:pos="1440"/>
        </w:tabs>
        <w:ind w:left="1440" w:hanging="360"/>
      </w:pPr>
      <w:rPr>
        <w:rFonts w:ascii="Courier New" w:hAnsi="Courier New" w:hint="default"/>
      </w:rPr>
    </w:lvl>
    <w:lvl w:ilvl="2" w:tplc="53BE1C04" w:tentative="1">
      <w:start w:val="1"/>
      <w:numFmt w:val="bullet"/>
      <w:lvlText w:val=""/>
      <w:lvlJc w:val="left"/>
      <w:pPr>
        <w:tabs>
          <w:tab w:val="num" w:pos="2160"/>
        </w:tabs>
        <w:ind w:left="2160" w:hanging="360"/>
      </w:pPr>
      <w:rPr>
        <w:rFonts w:ascii="Wingdings" w:hAnsi="Wingdings" w:hint="default"/>
      </w:rPr>
    </w:lvl>
    <w:lvl w:ilvl="3" w:tplc="2B06E4C6" w:tentative="1">
      <w:start w:val="1"/>
      <w:numFmt w:val="bullet"/>
      <w:lvlText w:val=""/>
      <w:lvlJc w:val="left"/>
      <w:pPr>
        <w:tabs>
          <w:tab w:val="num" w:pos="2880"/>
        </w:tabs>
        <w:ind w:left="2880" w:hanging="360"/>
      </w:pPr>
      <w:rPr>
        <w:rFonts w:ascii="Symbol" w:hAnsi="Symbol" w:hint="default"/>
      </w:rPr>
    </w:lvl>
    <w:lvl w:ilvl="4" w:tplc="FB98B564" w:tentative="1">
      <w:start w:val="1"/>
      <w:numFmt w:val="bullet"/>
      <w:lvlText w:val="o"/>
      <w:lvlJc w:val="left"/>
      <w:pPr>
        <w:tabs>
          <w:tab w:val="num" w:pos="3600"/>
        </w:tabs>
        <w:ind w:left="3600" w:hanging="360"/>
      </w:pPr>
      <w:rPr>
        <w:rFonts w:ascii="Courier New" w:hAnsi="Courier New" w:hint="default"/>
      </w:rPr>
    </w:lvl>
    <w:lvl w:ilvl="5" w:tplc="5E44BC84" w:tentative="1">
      <w:start w:val="1"/>
      <w:numFmt w:val="bullet"/>
      <w:lvlText w:val=""/>
      <w:lvlJc w:val="left"/>
      <w:pPr>
        <w:tabs>
          <w:tab w:val="num" w:pos="4320"/>
        </w:tabs>
        <w:ind w:left="4320" w:hanging="360"/>
      </w:pPr>
      <w:rPr>
        <w:rFonts w:ascii="Wingdings" w:hAnsi="Wingdings" w:hint="default"/>
      </w:rPr>
    </w:lvl>
    <w:lvl w:ilvl="6" w:tplc="9AE01AA0" w:tentative="1">
      <w:start w:val="1"/>
      <w:numFmt w:val="bullet"/>
      <w:lvlText w:val=""/>
      <w:lvlJc w:val="left"/>
      <w:pPr>
        <w:tabs>
          <w:tab w:val="num" w:pos="5040"/>
        </w:tabs>
        <w:ind w:left="5040" w:hanging="360"/>
      </w:pPr>
      <w:rPr>
        <w:rFonts w:ascii="Symbol" w:hAnsi="Symbol" w:hint="default"/>
      </w:rPr>
    </w:lvl>
    <w:lvl w:ilvl="7" w:tplc="B5DA059C" w:tentative="1">
      <w:start w:val="1"/>
      <w:numFmt w:val="bullet"/>
      <w:lvlText w:val="o"/>
      <w:lvlJc w:val="left"/>
      <w:pPr>
        <w:tabs>
          <w:tab w:val="num" w:pos="5760"/>
        </w:tabs>
        <w:ind w:left="5760" w:hanging="360"/>
      </w:pPr>
      <w:rPr>
        <w:rFonts w:ascii="Courier New" w:hAnsi="Courier New" w:hint="default"/>
      </w:rPr>
    </w:lvl>
    <w:lvl w:ilvl="8" w:tplc="9BD25A90" w:tentative="1">
      <w:start w:val="1"/>
      <w:numFmt w:val="bullet"/>
      <w:lvlText w:val=""/>
      <w:lvlJc w:val="left"/>
      <w:pPr>
        <w:tabs>
          <w:tab w:val="num" w:pos="6480"/>
        </w:tabs>
        <w:ind w:left="6480" w:hanging="360"/>
      </w:pPr>
      <w:rPr>
        <w:rFonts w:ascii="Wingdings" w:hAnsi="Wingdings" w:hint="default"/>
      </w:rPr>
    </w:lvl>
  </w:abstractNum>
  <w:abstractNum w:abstractNumId="19">
    <w:nsid w:val="4AB83E4D"/>
    <w:multiLevelType w:val="multilevel"/>
    <w:tmpl w:val="B8228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8A0CD1"/>
    <w:multiLevelType w:val="multilevel"/>
    <w:tmpl w:val="AA64473E"/>
    <w:lvl w:ilvl="0">
      <w:start w:val="1"/>
      <w:numFmt w:val="decimal"/>
      <w:lvlText w:val="%1"/>
      <w:lvlJc w:val="left"/>
      <w:pPr>
        <w:ind w:left="450" w:hanging="450"/>
      </w:pPr>
      <w:rPr>
        <w:rFonts w:hint="default"/>
      </w:rPr>
    </w:lvl>
    <w:lvl w:ilvl="1">
      <w:start w:val="1"/>
      <w:numFmt w:val="decimal"/>
      <w:lvlText w:val="%1.%2"/>
      <w:lvlJc w:val="left"/>
      <w:pPr>
        <w:ind w:left="750" w:hanging="45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21">
    <w:nsid w:val="4D3E0229"/>
    <w:multiLevelType w:val="hybridMultilevel"/>
    <w:tmpl w:val="5350B02E"/>
    <w:lvl w:ilvl="0" w:tplc="0E30971E">
      <w:start w:val="1"/>
      <w:numFmt w:val="upperRoman"/>
      <w:lvlText w:val="%1."/>
      <w:lvlJc w:val="left"/>
      <w:pPr>
        <w:ind w:left="1080" w:hanging="720"/>
      </w:pPr>
      <w:rPr>
        <w:rFonts w:hint="default"/>
        <w:b/>
        <w:u w:val="single"/>
      </w:rPr>
    </w:lvl>
    <w:lvl w:ilvl="1" w:tplc="C726866A" w:tentative="1">
      <w:start w:val="1"/>
      <w:numFmt w:val="lowerLetter"/>
      <w:lvlText w:val="%2."/>
      <w:lvlJc w:val="left"/>
      <w:pPr>
        <w:ind w:left="1440" w:hanging="360"/>
      </w:pPr>
    </w:lvl>
    <w:lvl w:ilvl="2" w:tplc="FB06C974" w:tentative="1">
      <w:start w:val="1"/>
      <w:numFmt w:val="lowerRoman"/>
      <w:lvlText w:val="%3."/>
      <w:lvlJc w:val="right"/>
      <w:pPr>
        <w:ind w:left="2160" w:hanging="180"/>
      </w:pPr>
    </w:lvl>
    <w:lvl w:ilvl="3" w:tplc="15D6F846" w:tentative="1">
      <w:start w:val="1"/>
      <w:numFmt w:val="decimal"/>
      <w:lvlText w:val="%4."/>
      <w:lvlJc w:val="left"/>
      <w:pPr>
        <w:ind w:left="2880" w:hanging="360"/>
      </w:pPr>
    </w:lvl>
    <w:lvl w:ilvl="4" w:tplc="55C4D910" w:tentative="1">
      <w:start w:val="1"/>
      <w:numFmt w:val="lowerLetter"/>
      <w:lvlText w:val="%5."/>
      <w:lvlJc w:val="left"/>
      <w:pPr>
        <w:ind w:left="3600" w:hanging="360"/>
      </w:pPr>
    </w:lvl>
    <w:lvl w:ilvl="5" w:tplc="DACEA0FE" w:tentative="1">
      <w:start w:val="1"/>
      <w:numFmt w:val="lowerRoman"/>
      <w:lvlText w:val="%6."/>
      <w:lvlJc w:val="right"/>
      <w:pPr>
        <w:ind w:left="4320" w:hanging="180"/>
      </w:pPr>
    </w:lvl>
    <w:lvl w:ilvl="6" w:tplc="CBBEF70A" w:tentative="1">
      <w:start w:val="1"/>
      <w:numFmt w:val="decimal"/>
      <w:lvlText w:val="%7."/>
      <w:lvlJc w:val="left"/>
      <w:pPr>
        <w:ind w:left="5040" w:hanging="360"/>
      </w:pPr>
    </w:lvl>
    <w:lvl w:ilvl="7" w:tplc="D022535A" w:tentative="1">
      <w:start w:val="1"/>
      <w:numFmt w:val="lowerLetter"/>
      <w:lvlText w:val="%8."/>
      <w:lvlJc w:val="left"/>
      <w:pPr>
        <w:ind w:left="5760" w:hanging="360"/>
      </w:pPr>
    </w:lvl>
    <w:lvl w:ilvl="8" w:tplc="2E8AB80A" w:tentative="1">
      <w:start w:val="1"/>
      <w:numFmt w:val="lowerRoman"/>
      <w:lvlText w:val="%9."/>
      <w:lvlJc w:val="right"/>
      <w:pPr>
        <w:ind w:left="6480" w:hanging="180"/>
      </w:pPr>
    </w:lvl>
  </w:abstractNum>
  <w:abstractNum w:abstractNumId="22">
    <w:nsid w:val="5F367849"/>
    <w:multiLevelType w:val="multilevel"/>
    <w:tmpl w:val="E74266F2"/>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nsid w:val="624C52F3"/>
    <w:multiLevelType w:val="multilevel"/>
    <w:tmpl w:val="185AA05A"/>
    <w:lvl w:ilvl="0">
      <w:start w:val="1"/>
      <w:numFmt w:val="bullet"/>
      <w:lvlText w:val=""/>
      <w:lvlJc w:val="left"/>
      <w:pPr>
        <w:tabs>
          <w:tab w:val="num" w:pos="1890"/>
        </w:tabs>
        <w:ind w:left="1890" w:hanging="360"/>
      </w:pPr>
      <w:rPr>
        <w:rFonts w:ascii="Symbol" w:hAnsi="Symbol" w:hint="default"/>
      </w:rPr>
    </w:lvl>
    <w:lvl w:ilvl="1">
      <w:start w:val="1"/>
      <w:numFmt w:val="bullet"/>
      <w:lvlText w:val="o"/>
      <w:lvlJc w:val="left"/>
      <w:pPr>
        <w:tabs>
          <w:tab w:val="num" w:pos="2010"/>
        </w:tabs>
        <w:ind w:left="2010" w:hanging="360"/>
      </w:pPr>
      <w:rPr>
        <w:rFonts w:ascii="Courier New" w:hAnsi="Courier New" w:hint="default"/>
      </w:rPr>
    </w:lvl>
    <w:lvl w:ilvl="2">
      <w:start w:val="1"/>
      <w:numFmt w:val="bullet"/>
      <w:lvlText w:val=""/>
      <w:lvlJc w:val="left"/>
      <w:pPr>
        <w:tabs>
          <w:tab w:val="num" w:pos="2730"/>
        </w:tabs>
        <w:ind w:left="2730" w:hanging="360"/>
      </w:pPr>
      <w:rPr>
        <w:rFonts w:ascii="Wingdings" w:hAnsi="Wingdings" w:hint="default"/>
      </w:rPr>
    </w:lvl>
    <w:lvl w:ilvl="3">
      <w:start w:val="1"/>
      <w:numFmt w:val="bullet"/>
      <w:lvlText w:val=""/>
      <w:lvlJc w:val="left"/>
      <w:pPr>
        <w:tabs>
          <w:tab w:val="num" w:pos="3450"/>
        </w:tabs>
        <w:ind w:left="3450" w:hanging="360"/>
      </w:pPr>
      <w:rPr>
        <w:rFonts w:ascii="Symbol" w:hAnsi="Symbol" w:hint="default"/>
      </w:rPr>
    </w:lvl>
    <w:lvl w:ilvl="4">
      <w:start w:val="1"/>
      <w:numFmt w:val="bullet"/>
      <w:lvlText w:val="o"/>
      <w:lvlJc w:val="left"/>
      <w:pPr>
        <w:tabs>
          <w:tab w:val="num" w:pos="4170"/>
        </w:tabs>
        <w:ind w:left="4170" w:hanging="360"/>
      </w:pPr>
      <w:rPr>
        <w:rFonts w:ascii="Courier New" w:hAnsi="Courier New" w:hint="default"/>
      </w:rPr>
    </w:lvl>
    <w:lvl w:ilvl="5">
      <w:start w:val="1"/>
      <w:numFmt w:val="bullet"/>
      <w:lvlText w:val=""/>
      <w:lvlJc w:val="left"/>
      <w:pPr>
        <w:tabs>
          <w:tab w:val="num" w:pos="4890"/>
        </w:tabs>
        <w:ind w:left="4890" w:hanging="360"/>
      </w:pPr>
      <w:rPr>
        <w:rFonts w:ascii="Wingdings" w:hAnsi="Wingdings" w:hint="default"/>
      </w:rPr>
    </w:lvl>
    <w:lvl w:ilvl="6">
      <w:start w:val="1"/>
      <w:numFmt w:val="bullet"/>
      <w:lvlText w:val=""/>
      <w:lvlJc w:val="left"/>
      <w:pPr>
        <w:tabs>
          <w:tab w:val="num" w:pos="5610"/>
        </w:tabs>
        <w:ind w:left="5610" w:hanging="360"/>
      </w:pPr>
      <w:rPr>
        <w:rFonts w:ascii="Symbol" w:hAnsi="Symbol" w:hint="default"/>
      </w:rPr>
    </w:lvl>
    <w:lvl w:ilvl="7">
      <w:start w:val="1"/>
      <w:numFmt w:val="bullet"/>
      <w:lvlText w:val="o"/>
      <w:lvlJc w:val="left"/>
      <w:pPr>
        <w:tabs>
          <w:tab w:val="num" w:pos="6330"/>
        </w:tabs>
        <w:ind w:left="6330" w:hanging="360"/>
      </w:pPr>
      <w:rPr>
        <w:rFonts w:ascii="Courier New" w:hAnsi="Courier New" w:hint="default"/>
      </w:rPr>
    </w:lvl>
    <w:lvl w:ilvl="8">
      <w:start w:val="1"/>
      <w:numFmt w:val="bullet"/>
      <w:lvlText w:val=""/>
      <w:lvlJc w:val="left"/>
      <w:pPr>
        <w:tabs>
          <w:tab w:val="num" w:pos="7050"/>
        </w:tabs>
        <w:ind w:left="7050" w:hanging="360"/>
      </w:pPr>
      <w:rPr>
        <w:rFonts w:ascii="Wingdings" w:hAnsi="Wingdings" w:hint="default"/>
      </w:rPr>
    </w:lvl>
  </w:abstractNum>
  <w:abstractNum w:abstractNumId="24">
    <w:nsid w:val="67B37D73"/>
    <w:multiLevelType w:val="multilevel"/>
    <w:tmpl w:val="4A38B0F2"/>
    <w:lvl w:ilvl="0">
      <w:start w:val="2"/>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2"/>
      <w:numFmt w:val="decimal"/>
      <w:lvlText w:val="%1.7.%3"/>
      <w:lvlJc w:val="left"/>
      <w:pPr>
        <w:tabs>
          <w:tab w:val="num" w:pos="862"/>
        </w:tabs>
        <w:ind w:left="862" w:hanging="720"/>
      </w:pPr>
      <w:rPr>
        <w:rFonts w:hint="default"/>
      </w:rPr>
    </w:lvl>
    <w:lvl w:ilvl="3">
      <w:start w:val="1"/>
      <w:numFmt w:val="decimal"/>
      <w:lvlText w:val="%1.7.%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687E7DE7"/>
    <w:multiLevelType w:val="singleLevel"/>
    <w:tmpl w:val="0419000F"/>
    <w:lvl w:ilvl="0">
      <w:start w:val="1"/>
      <w:numFmt w:val="decimal"/>
      <w:lvlText w:val="%1."/>
      <w:lvlJc w:val="left"/>
      <w:pPr>
        <w:tabs>
          <w:tab w:val="num" w:pos="360"/>
        </w:tabs>
        <w:ind w:left="360" w:hanging="360"/>
      </w:pPr>
    </w:lvl>
  </w:abstractNum>
  <w:abstractNum w:abstractNumId="26">
    <w:nsid w:val="68CB122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7">
    <w:nsid w:val="68F67FB5"/>
    <w:multiLevelType w:val="multilevel"/>
    <w:tmpl w:val="18B06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71778A4"/>
    <w:multiLevelType w:val="singleLevel"/>
    <w:tmpl w:val="0419000F"/>
    <w:lvl w:ilvl="0">
      <w:start w:val="1"/>
      <w:numFmt w:val="decimal"/>
      <w:lvlText w:val="%1."/>
      <w:lvlJc w:val="left"/>
      <w:pPr>
        <w:tabs>
          <w:tab w:val="num" w:pos="360"/>
        </w:tabs>
        <w:ind w:left="360" w:hanging="360"/>
      </w:pPr>
    </w:lvl>
  </w:abstractNum>
  <w:abstractNum w:abstractNumId="29">
    <w:nsid w:val="7F2A3CCD"/>
    <w:multiLevelType w:val="singleLevel"/>
    <w:tmpl w:val="0419000F"/>
    <w:lvl w:ilvl="0">
      <w:start w:val="1"/>
      <w:numFmt w:val="decimal"/>
      <w:lvlText w:val="%1."/>
      <w:lvlJc w:val="left"/>
      <w:pPr>
        <w:tabs>
          <w:tab w:val="num" w:pos="360"/>
        </w:tabs>
        <w:ind w:left="360" w:hanging="360"/>
      </w:pPr>
    </w:lvl>
  </w:abstractNum>
  <w:num w:numId="1">
    <w:abstractNumId w:val="12"/>
  </w:num>
  <w:num w:numId="2">
    <w:abstractNumId w:val="7"/>
  </w:num>
  <w:num w:numId="3">
    <w:abstractNumId w:val="18"/>
  </w:num>
  <w:num w:numId="4">
    <w:abstractNumId w:val="17"/>
  </w:num>
  <w:num w:numId="5">
    <w:abstractNumId w:val="26"/>
  </w:num>
  <w:num w:numId="6">
    <w:abstractNumId w:val="29"/>
  </w:num>
  <w:num w:numId="7">
    <w:abstractNumId w:val="21"/>
  </w:num>
  <w:num w:numId="8">
    <w:abstractNumId w:val="3"/>
  </w:num>
  <w:num w:numId="9">
    <w:abstractNumId w:val="19"/>
  </w:num>
  <w:num w:numId="10">
    <w:abstractNumId w:val="27"/>
  </w:num>
  <w:num w:numId="11">
    <w:abstractNumId w:val="9"/>
  </w:num>
  <w:num w:numId="12">
    <w:abstractNumId w:val="1"/>
  </w:num>
  <w:num w:numId="13">
    <w:abstractNumId w:val="8"/>
  </w:num>
  <w:num w:numId="14">
    <w:abstractNumId w:val="0"/>
  </w:num>
  <w:num w:numId="15">
    <w:abstractNumId w:val="23"/>
  </w:num>
  <w:num w:numId="16">
    <w:abstractNumId w:val="6"/>
  </w:num>
  <w:num w:numId="17">
    <w:abstractNumId w:val="24"/>
  </w:num>
  <w:num w:numId="18">
    <w:abstractNumId w:val="13"/>
  </w:num>
  <w:num w:numId="19">
    <w:abstractNumId w:val="14"/>
  </w:num>
  <w:num w:numId="20">
    <w:abstractNumId w:val="22"/>
  </w:num>
  <w:num w:numId="21">
    <w:abstractNumId w:val="25"/>
    <w:lvlOverride w:ilvl="0">
      <w:startOverride w:val="1"/>
    </w:lvlOverride>
  </w:num>
  <w:num w:numId="22">
    <w:abstractNumId w:val="20"/>
  </w:num>
  <w:num w:numId="23">
    <w:abstractNumId w:val="10"/>
  </w:num>
  <w:num w:numId="24">
    <w:abstractNumId w:val="2"/>
  </w:num>
  <w:num w:numId="25">
    <w:abstractNumId w:val="5"/>
  </w:num>
  <w:num w:numId="26">
    <w:abstractNumId w:val="11"/>
  </w:num>
  <w:num w:numId="27">
    <w:abstractNumId w:val="4"/>
  </w:num>
  <w:num w:numId="28">
    <w:abstractNumId w:val="15"/>
  </w:num>
  <w:num w:numId="29">
    <w:abstractNumId w:val="2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D77"/>
    <w:rsid w:val="00624D77"/>
    <w:rsid w:val="00B96EFB"/>
    <w:rsid w:val="00C81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chartTrackingRefBased/>
  <w15:docId w15:val="{8DBED326-84D4-4DED-8BF5-726633C4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qFormat/>
    <w:pPr>
      <w:spacing w:before="100" w:beforeAutospacing="1" w:after="100" w:afterAutospacing="1" w:line="240" w:lineRule="auto"/>
      <w:jc w:val="center"/>
      <w:outlineLvl w:val="0"/>
    </w:pPr>
    <w:rPr>
      <w:rFonts w:ascii="Times New Roman" w:hAnsi="Times New Roman"/>
      <w:bCs/>
      <w:kern w:val="36"/>
      <w:sz w:val="32"/>
      <w:szCs w:val="32"/>
    </w:rPr>
  </w:style>
  <w:style w:type="paragraph" w:styleId="2">
    <w:name w:val="heading 2"/>
    <w:basedOn w:val="a"/>
    <w:next w:val="a"/>
    <w:qFormat/>
    <w:pPr>
      <w:keepNext/>
      <w:spacing w:before="240" w:after="60"/>
      <w:outlineLvl w:val="1"/>
    </w:pPr>
    <w:rPr>
      <w:rFonts w:ascii="Cambria" w:hAnsi="Cambria"/>
      <w:b/>
      <w:bCs/>
      <w:i/>
      <w:iCs/>
      <w:sz w:val="28"/>
      <w:szCs w:val="28"/>
    </w:rPr>
  </w:style>
  <w:style w:type="paragraph" w:styleId="3">
    <w:name w:val="heading 3"/>
    <w:basedOn w:val="a"/>
    <w:next w:val="a"/>
    <w:qFormat/>
    <w:pPr>
      <w:keepNext/>
      <w:spacing w:after="0" w:line="240" w:lineRule="auto"/>
      <w:ind w:firstLine="540"/>
      <w:jc w:val="both"/>
      <w:outlineLvl w:val="2"/>
    </w:pPr>
    <w:rPr>
      <w:rFonts w:ascii="Times New Roman" w:hAnsi="Times New Roman"/>
      <w:color w:val="000000"/>
      <w:sz w:val="28"/>
    </w:rPr>
  </w:style>
  <w:style w:type="paragraph" w:styleId="4">
    <w:name w:val="heading 4"/>
    <w:basedOn w:val="a"/>
    <w:next w:val="a"/>
    <w:qFormat/>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3"/>
    </w:pPr>
    <w:rPr>
      <w:rFonts w:ascii="Times New Roman" w:hAnsi="Times New Roman"/>
      <w:sz w:val="28"/>
    </w:rPr>
  </w:style>
  <w:style w:type="paragraph" w:styleId="5">
    <w:name w:val="heading 5"/>
    <w:basedOn w:val="a"/>
    <w:next w:val="a"/>
    <w:qFormat/>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outlineLvl w:val="4"/>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Pr>
      <w:rFonts w:ascii="Times New Roman" w:hAnsi="Times New Roman"/>
      <w:bCs/>
      <w:kern w:val="36"/>
      <w:sz w:val="32"/>
      <w:szCs w:val="32"/>
    </w:rPr>
  </w:style>
  <w:style w:type="character" w:styleId="a3">
    <w:name w:val="Hyperlink"/>
    <w:basedOn w:val="a0"/>
    <w:unhideWhenUsed/>
    <w:rPr>
      <w:color w:val="0000FF"/>
      <w:u w:val="single"/>
    </w:rPr>
  </w:style>
  <w:style w:type="paragraph" w:styleId="a4">
    <w:name w:val="Balloon Text"/>
    <w:basedOn w:val="a"/>
    <w:semiHidden/>
    <w:unhideWhenUsed/>
    <w:pPr>
      <w:spacing w:after="0" w:line="240" w:lineRule="auto"/>
    </w:pPr>
    <w:rPr>
      <w:rFonts w:ascii="Tahoma" w:hAnsi="Tahoma" w:cs="Wingdings"/>
      <w:sz w:val="16"/>
      <w:szCs w:val="16"/>
    </w:rPr>
  </w:style>
  <w:style w:type="character" w:customStyle="1" w:styleId="a5">
    <w:name w:val="Текст выноски Знак"/>
    <w:basedOn w:val="a0"/>
    <w:semiHidden/>
    <w:rPr>
      <w:rFonts w:ascii="Tahoma" w:hAnsi="Tahoma" w:cs="Wingdings"/>
      <w:sz w:val="16"/>
      <w:szCs w:val="16"/>
    </w:rPr>
  </w:style>
  <w:style w:type="character" w:styleId="a6">
    <w:name w:val="Strong"/>
    <w:basedOn w:val="a0"/>
    <w:qFormat/>
    <w:rPr>
      <w:b/>
      <w:bCs/>
    </w:rPr>
  </w:style>
  <w:style w:type="paragraph" w:styleId="a7">
    <w:name w:val="Body Text"/>
    <w:basedOn w:val="a"/>
    <w:pPr>
      <w:spacing w:after="0" w:line="240" w:lineRule="auto"/>
    </w:pPr>
    <w:rPr>
      <w:rFonts w:ascii="Times New Roman" w:hAnsi="Times New Roman"/>
      <w:sz w:val="28"/>
      <w:szCs w:val="28"/>
    </w:rPr>
  </w:style>
  <w:style w:type="character" w:customStyle="1" w:styleId="a8">
    <w:name w:val="Основной текст Знак"/>
    <w:basedOn w:val="a0"/>
    <w:rPr>
      <w:rFonts w:ascii="Times New Roman" w:eastAsia="Times New Roman" w:hAnsi="Times New Roman" w:cs="Times New Roman"/>
      <w:sz w:val="28"/>
      <w:szCs w:val="28"/>
    </w:rPr>
  </w:style>
  <w:style w:type="paragraph" w:styleId="a9">
    <w:name w:val="No Spacing"/>
    <w:qFormat/>
    <w:rPr>
      <w:sz w:val="22"/>
      <w:szCs w:val="22"/>
    </w:rPr>
  </w:style>
  <w:style w:type="paragraph" w:styleId="aa">
    <w:name w:val="footnote text"/>
    <w:basedOn w:val="a"/>
    <w:semiHidden/>
    <w:pPr>
      <w:spacing w:after="0" w:line="240" w:lineRule="auto"/>
    </w:pPr>
    <w:rPr>
      <w:rFonts w:ascii="Times New Roman" w:hAnsi="Times New Roman"/>
      <w:sz w:val="20"/>
      <w:szCs w:val="20"/>
    </w:rPr>
  </w:style>
  <w:style w:type="character" w:customStyle="1" w:styleId="ab">
    <w:name w:val="Текст сноски Знак"/>
    <w:basedOn w:val="a0"/>
    <w:rPr>
      <w:rFonts w:ascii="Times New Roman" w:eastAsia="Times New Roman" w:hAnsi="Times New Roman" w:cs="Times New Roman"/>
      <w:sz w:val="20"/>
      <w:szCs w:val="20"/>
    </w:rPr>
  </w:style>
  <w:style w:type="character" w:styleId="ac">
    <w:name w:val="footnote reference"/>
    <w:basedOn w:val="a0"/>
    <w:semiHidden/>
    <w:rPr>
      <w:rFonts w:cs="Times New Roman"/>
      <w:vertAlign w:val="superscript"/>
    </w:rPr>
  </w:style>
  <w:style w:type="paragraph" w:styleId="ad">
    <w:name w:val="Normal (Web)"/>
    <w:basedOn w:val="a"/>
    <w:unhideWhenUsed/>
    <w:pPr>
      <w:spacing w:before="100" w:beforeAutospacing="1" w:after="100" w:afterAutospacing="1" w:line="240" w:lineRule="auto"/>
    </w:pPr>
    <w:rPr>
      <w:rFonts w:ascii="Times New Roman" w:hAnsi="Times New Roman"/>
      <w:sz w:val="24"/>
      <w:szCs w:val="24"/>
    </w:rPr>
  </w:style>
  <w:style w:type="paragraph" w:styleId="20">
    <w:name w:val="Body Text 2"/>
    <w:basedOn w:val="a"/>
    <w:unhideWhenUsed/>
    <w:pPr>
      <w:spacing w:after="120" w:line="480" w:lineRule="auto"/>
    </w:pPr>
  </w:style>
  <w:style w:type="character" w:customStyle="1" w:styleId="21">
    <w:name w:val="Основной текст 2 Знак"/>
    <w:basedOn w:val="a0"/>
    <w:semiHidden/>
  </w:style>
  <w:style w:type="paragraph" w:customStyle="1" w:styleId="11">
    <w:name w:val="Обычный1"/>
    <w:basedOn w:val="a"/>
    <w:pPr>
      <w:spacing w:before="100" w:beforeAutospacing="1" w:after="100" w:afterAutospacing="1" w:line="240" w:lineRule="auto"/>
    </w:pPr>
    <w:rPr>
      <w:rFonts w:ascii="Times New Roman" w:hAnsi="Times New Roman"/>
      <w:sz w:val="24"/>
      <w:szCs w:val="24"/>
    </w:rPr>
  </w:style>
  <w:style w:type="character" w:styleId="ae">
    <w:name w:val="Emphasis"/>
    <w:basedOn w:val="a0"/>
    <w:qFormat/>
    <w:rPr>
      <w:i/>
      <w:iCs/>
    </w:rPr>
  </w:style>
  <w:style w:type="character" w:customStyle="1" w:styleId="22">
    <w:name w:val="Заголовок 2 Знак"/>
    <w:basedOn w:val="a0"/>
    <w:semiHidden/>
    <w:rPr>
      <w:rFonts w:ascii="Cambria" w:eastAsia="Times New Roman" w:hAnsi="Cambria" w:cs="Times New Roman"/>
      <w:b/>
      <w:bCs/>
      <w:i/>
      <w:iCs/>
      <w:sz w:val="28"/>
      <w:szCs w:val="28"/>
    </w:rPr>
  </w:style>
  <w:style w:type="paragraph" w:styleId="af">
    <w:name w:val="TOC Heading"/>
    <w:basedOn w:val="1"/>
    <w:next w:val="a"/>
    <w:qFormat/>
    <w:pPr>
      <w:keepNext/>
      <w:keepLines/>
      <w:spacing w:before="480" w:beforeAutospacing="0" w:after="0" w:afterAutospacing="0" w:line="276" w:lineRule="auto"/>
      <w:jc w:val="left"/>
      <w:outlineLvl w:val="9"/>
    </w:pPr>
    <w:rPr>
      <w:rFonts w:ascii="Cambria" w:hAnsi="Cambria"/>
      <w:b/>
      <w:color w:val="365F91"/>
      <w:kern w:val="0"/>
      <w:sz w:val="28"/>
      <w:szCs w:val="28"/>
      <w:lang w:eastAsia="en-US"/>
    </w:rPr>
  </w:style>
  <w:style w:type="paragraph" w:styleId="12">
    <w:name w:val="toc 1"/>
    <w:basedOn w:val="a"/>
    <w:next w:val="a"/>
    <w:autoRedefine/>
    <w:semiHidden/>
    <w:unhideWhenUsed/>
    <w:pPr>
      <w:tabs>
        <w:tab w:val="right" w:leader="dot" w:pos="9344"/>
      </w:tabs>
      <w:jc w:val="both"/>
    </w:pPr>
    <w:rPr>
      <w:rFonts w:ascii="Times New Roman" w:hAnsi="Times New Roman"/>
      <w:noProof/>
      <w:sz w:val="32"/>
    </w:rPr>
  </w:style>
  <w:style w:type="paragraph" w:styleId="HTML">
    <w:name w:val="HTML Preformatted"/>
    <w:basedOn w:val="a"/>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semiHidden/>
    <w:rPr>
      <w:rFonts w:ascii="Courier New" w:hAnsi="Courier New" w:cs="Courier New"/>
    </w:rPr>
  </w:style>
  <w:style w:type="paragraph" w:styleId="23">
    <w:name w:val="toc 2"/>
    <w:basedOn w:val="a"/>
    <w:next w:val="a"/>
    <w:autoRedefine/>
    <w:semiHidden/>
    <w:pPr>
      <w:ind w:left="220"/>
    </w:pPr>
  </w:style>
  <w:style w:type="paragraph" w:styleId="30">
    <w:name w:val="toc 3"/>
    <w:basedOn w:val="a"/>
    <w:next w:val="a"/>
    <w:autoRedefine/>
    <w:semiHidden/>
    <w:pPr>
      <w:ind w:left="440"/>
    </w:pPr>
  </w:style>
  <w:style w:type="paragraph" w:styleId="40">
    <w:name w:val="toc 4"/>
    <w:basedOn w:val="a"/>
    <w:next w:val="a"/>
    <w:autoRedefine/>
    <w:semiHidden/>
    <w:pPr>
      <w:ind w:left="660"/>
    </w:pPr>
  </w:style>
  <w:style w:type="paragraph" w:styleId="50">
    <w:name w:val="toc 5"/>
    <w:basedOn w:val="a"/>
    <w:next w:val="a"/>
    <w:autoRedefine/>
    <w:semiHidden/>
    <w:pPr>
      <w:ind w:left="880"/>
    </w:pPr>
  </w:style>
  <w:style w:type="paragraph" w:styleId="6">
    <w:name w:val="toc 6"/>
    <w:basedOn w:val="a"/>
    <w:next w:val="a"/>
    <w:autoRedefine/>
    <w:semiHidden/>
    <w:pPr>
      <w:ind w:left="1100"/>
    </w:pPr>
  </w:style>
  <w:style w:type="paragraph" w:styleId="7">
    <w:name w:val="toc 7"/>
    <w:basedOn w:val="a"/>
    <w:next w:val="a"/>
    <w:autoRedefine/>
    <w:semiHidden/>
    <w:pPr>
      <w:ind w:left="1320"/>
    </w:pPr>
  </w:style>
  <w:style w:type="paragraph" w:styleId="8">
    <w:name w:val="toc 8"/>
    <w:basedOn w:val="a"/>
    <w:next w:val="a"/>
    <w:autoRedefine/>
    <w:semiHidden/>
    <w:pPr>
      <w:ind w:left="1540"/>
    </w:pPr>
  </w:style>
  <w:style w:type="paragraph" w:styleId="9">
    <w:name w:val="toc 9"/>
    <w:basedOn w:val="a"/>
    <w:next w:val="a"/>
    <w:autoRedefine/>
    <w:semiHidden/>
    <w:pPr>
      <w:ind w:left="1760"/>
    </w:pPr>
  </w:style>
  <w:style w:type="paragraph" w:styleId="af0">
    <w:name w:val="header"/>
    <w:basedOn w:val="a"/>
    <w:pPr>
      <w:tabs>
        <w:tab w:val="center" w:pos="4153"/>
        <w:tab w:val="right" w:pos="8306"/>
      </w:tabs>
    </w:pPr>
  </w:style>
  <w:style w:type="character" w:styleId="af1">
    <w:name w:val="page number"/>
    <w:basedOn w:val="a0"/>
  </w:style>
  <w:style w:type="paragraph" w:styleId="af2">
    <w:name w:val="Body Text Indent"/>
    <w:basedOn w:val="a"/>
    <w:pPr>
      <w:spacing w:after="0" w:line="360" w:lineRule="auto"/>
      <w:ind w:firstLine="540"/>
      <w:jc w:val="both"/>
    </w:pPr>
    <w:rPr>
      <w:rFonts w:ascii="Times New Roman" w:hAnsi="Times New Roman"/>
      <w:color w:val="000000"/>
      <w:sz w:val="28"/>
    </w:rPr>
  </w:style>
  <w:style w:type="paragraph" w:styleId="24">
    <w:name w:val="Body Text Indent 2"/>
    <w:basedOn w:val="a"/>
    <w:pPr>
      <w:spacing w:after="0" w:line="360" w:lineRule="auto"/>
      <w:ind w:firstLine="567"/>
      <w:jc w:val="both"/>
    </w:pPr>
    <w:rPr>
      <w:rFonts w:ascii="Times New Roman" w:hAnsi="Times New Roman"/>
      <w:color w:val="000000"/>
      <w:sz w:val="28"/>
    </w:rPr>
  </w:style>
  <w:style w:type="paragraph" w:styleId="31">
    <w:name w:val="Body Text 3"/>
    <w:basedOn w:val="a"/>
    <w:pPr>
      <w:spacing w:line="360" w:lineRule="auto"/>
      <w:jc w:val="both"/>
    </w:pPr>
    <w:rPr>
      <w:rFonts w:ascii="Times New Roman" w:hAnsi="Times New Roman"/>
      <w:sz w:val="28"/>
    </w:rPr>
  </w:style>
  <w:style w:type="paragraph" w:styleId="32">
    <w:name w:val="Body Text Indent 3"/>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pPr>
    <w:rPr>
      <w:rFonts w:ascii="Times New Roman" w:hAnsi="Times New Roman"/>
      <w:sz w:val="28"/>
    </w:rPr>
  </w:style>
  <w:style w:type="paragraph" w:customStyle="1" w:styleId="ThinDelim">
    <w:name w:val="Thin Delim"/>
    <w:pPr>
      <w:widowControl w:val="0"/>
    </w:pPr>
    <w:rPr>
      <w:rFonts w:ascii="Times New Roman" w:hAnsi="Times New Roman"/>
      <w:sz w:val="16"/>
    </w:rPr>
  </w:style>
  <w:style w:type="paragraph" w:customStyle="1" w:styleId="SubHeading">
    <w:name w:val="Sub Heading"/>
    <w:pPr>
      <w:widowControl w:val="0"/>
      <w:spacing w:before="240" w:after="40"/>
    </w:pPr>
    <w:rPr>
      <w:rFonts w:ascii="Times New Roman" w:hAnsi="Times New Roman"/>
    </w:rPr>
  </w:style>
  <w:style w:type="character" w:customStyle="1" w:styleId="self">
    <w:name w:val="self"/>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www.labirint.ru/authors/61555/" TargetMode="External"/><Relationship Id="rId3" Type="http://schemas.openxmlformats.org/officeDocument/2006/relationships/settings" Target="settings.xml"/><Relationship Id="rId21" Type="http://schemas.openxmlformats.org/officeDocument/2006/relationships/hyperlink" Target="http://www.ozon.ru/context/detail/id/1451961/"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labirint.ru/pubhouse/1446/"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ozon.ru/context/detail/id/5123170/" TargetMode="External"/><Relationship Id="rId29" Type="http://schemas.openxmlformats.org/officeDocument/2006/relationships/hyperlink" Target="http://read.ru/author/30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labirint.ru/authors/25136/"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setbook.ru/books/publishers/publisher852.html?PHPSESSID=v28mh8po71olflr4sb0btbunu5" TargetMode="External"/><Relationship Id="rId28" Type="http://schemas.openxmlformats.org/officeDocument/2006/relationships/hyperlink" Target="http://www.ozon.ru/context/detail/id/1084402/"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read.ru/pubhouse/135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www.setbook.ru/books/authors/author171253.html?PHPSESSID=v28mh8po71olflr4sb0btbunu5" TargetMode="External"/><Relationship Id="rId27" Type="http://schemas.openxmlformats.org/officeDocument/2006/relationships/hyperlink" Target="http://www.ozon.ru/context/detail/id/1348071/" TargetMode="External"/><Relationship Id="rId30" Type="http://schemas.openxmlformats.org/officeDocument/2006/relationships/hyperlink" Target="http://read.ru/author/2026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10730</Words>
  <Characters>61163</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71750</CharactersWithSpaces>
  <SharedDoc>false</SharedDoc>
  <HLinks>
    <vt:vector size="72" baseType="variant">
      <vt:variant>
        <vt:i4>4325468</vt:i4>
      </vt:variant>
      <vt:variant>
        <vt:i4>111</vt:i4>
      </vt:variant>
      <vt:variant>
        <vt:i4>0</vt:i4>
      </vt:variant>
      <vt:variant>
        <vt:i4>5</vt:i4>
      </vt:variant>
      <vt:variant>
        <vt:lpwstr>http://read.ru/pubhouse/1353/</vt:lpwstr>
      </vt:variant>
      <vt:variant>
        <vt:lpwstr/>
      </vt:variant>
      <vt:variant>
        <vt:i4>2031627</vt:i4>
      </vt:variant>
      <vt:variant>
        <vt:i4>108</vt:i4>
      </vt:variant>
      <vt:variant>
        <vt:i4>0</vt:i4>
      </vt:variant>
      <vt:variant>
        <vt:i4>5</vt:i4>
      </vt:variant>
      <vt:variant>
        <vt:lpwstr>http://read.ru/author/20261/</vt:lpwstr>
      </vt:variant>
      <vt:variant>
        <vt:lpwstr/>
      </vt:variant>
      <vt:variant>
        <vt:i4>3342399</vt:i4>
      </vt:variant>
      <vt:variant>
        <vt:i4>105</vt:i4>
      </vt:variant>
      <vt:variant>
        <vt:i4>0</vt:i4>
      </vt:variant>
      <vt:variant>
        <vt:i4>5</vt:i4>
      </vt:variant>
      <vt:variant>
        <vt:lpwstr>http://read.ru/author/3065/</vt:lpwstr>
      </vt:variant>
      <vt:variant>
        <vt:lpwstr/>
      </vt:variant>
      <vt:variant>
        <vt:i4>5308495</vt:i4>
      </vt:variant>
      <vt:variant>
        <vt:i4>102</vt:i4>
      </vt:variant>
      <vt:variant>
        <vt:i4>0</vt:i4>
      </vt:variant>
      <vt:variant>
        <vt:i4>5</vt:i4>
      </vt:variant>
      <vt:variant>
        <vt:lpwstr>http://www.ozon.ru/context/detail/id/1084402/</vt:lpwstr>
      </vt:variant>
      <vt:variant>
        <vt:lpwstr/>
      </vt:variant>
      <vt:variant>
        <vt:i4>2228266</vt:i4>
      </vt:variant>
      <vt:variant>
        <vt:i4>99</vt:i4>
      </vt:variant>
      <vt:variant>
        <vt:i4>0</vt:i4>
      </vt:variant>
      <vt:variant>
        <vt:i4>5</vt:i4>
      </vt:variant>
      <vt:variant>
        <vt:lpwstr>http://www.ozon.ru/context/detail/id/1348071/</vt:lpwstr>
      </vt:variant>
      <vt:variant>
        <vt:lpwstr>persons</vt:lpwstr>
      </vt:variant>
      <vt:variant>
        <vt:i4>6094940</vt:i4>
      </vt:variant>
      <vt:variant>
        <vt:i4>96</vt:i4>
      </vt:variant>
      <vt:variant>
        <vt:i4>0</vt:i4>
      </vt:variant>
      <vt:variant>
        <vt:i4>5</vt:i4>
      </vt:variant>
      <vt:variant>
        <vt:lpwstr>http://www.labirint.ru/authors/61555/</vt:lpwstr>
      </vt:variant>
      <vt:variant>
        <vt:lpwstr/>
      </vt:variant>
      <vt:variant>
        <vt:i4>4259856</vt:i4>
      </vt:variant>
      <vt:variant>
        <vt:i4>93</vt:i4>
      </vt:variant>
      <vt:variant>
        <vt:i4>0</vt:i4>
      </vt:variant>
      <vt:variant>
        <vt:i4>5</vt:i4>
      </vt:variant>
      <vt:variant>
        <vt:lpwstr>http://www.labirint.ru/pubhouse/1446/</vt:lpwstr>
      </vt:variant>
      <vt:variant>
        <vt:lpwstr/>
      </vt:variant>
      <vt:variant>
        <vt:i4>6160478</vt:i4>
      </vt:variant>
      <vt:variant>
        <vt:i4>90</vt:i4>
      </vt:variant>
      <vt:variant>
        <vt:i4>0</vt:i4>
      </vt:variant>
      <vt:variant>
        <vt:i4>5</vt:i4>
      </vt:variant>
      <vt:variant>
        <vt:lpwstr>http://www.labirint.ru/authors/25136/</vt:lpwstr>
      </vt:variant>
      <vt:variant>
        <vt:lpwstr/>
      </vt:variant>
      <vt:variant>
        <vt:i4>2031697</vt:i4>
      </vt:variant>
      <vt:variant>
        <vt:i4>87</vt:i4>
      </vt:variant>
      <vt:variant>
        <vt:i4>0</vt:i4>
      </vt:variant>
      <vt:variant>
        <vt:i4>5</vt:i4>
      </vt:variant>
      <vt:variant>
        <vt:lpwstr>http://www.setbook.ru/books/publishers/publisher852.html?PHPSESSID=v28mh8po71olflr4sb0btbunu5</vt:lpwstr>
      </vt:variant>
      <vt:variant>
        <vt:lpwstr/>
      </vt:variant>
      <vt:variant>
        <vt:i4>7667762</vt:i4>
      </vt:variant>
      <vt:variant>
        <vt:i4>84</vt:i4>
      </vt:variant>
      <vt:variant>
        <vt:i4>0</vt:i4>
      </vt:variant>
      <vt:variant>
        <vt:i4>5</vt:i4>
      </vt:variant>
      <vt:variant>
        <vt:lpwstr>http://www.setbook.ru/books/authors/author171253.html?PHPSESSID=v28mh8po71olflr4sb0btbunu5</vt:lpwstr>
      </vt:variant>
      <vt:variant>
        <vt:lpwstr/>
      </vt:variant>
      <vt:variant>
        <vt:i4>5374024</vt:i4>
      </vt:variant>
      <vt:variant>
        <vt:i4>81</vt:i4>
      </vt:variant>
      <vt:variant>
        <vt:i4>0</vt:i4>
      </vt:variant>
      <vt:variant>
        <vt:i4>5</vt:i4>
      </vt:variant>
      <vt:variant>
        <vt:lpwstr>http://www.ozon.ru/context/detail/id/1451961/</vt:lpwstr>
      </vt:variant>
      <vt:variant>
        <vt:lpwstr/>
      </vt:variant>
      <vt:variant>
        <vt:i4>2097187</vt:i4>
      </vt:variant>
      <vt:variant>
        <vt:i4>78</vt:i4>
      </vt:variant>
      <vt:variant>
        <vt:i4>0</vt:i4>
      </vt:variant>
      <vt:variant>
        <vt:i4>5</vt:i4>
      </vt:variant>
      <vt:variant>
        <vt:lpwstr>http://www.ozon.ru/context/detail/id/5123170/</vt:lpwstr>
      </vt:variant>
      <vt:variant>
        <vt:lpwstr>persons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2010-10-01T12:04:00Z</cp:lastPrinted>
  <dcterms:created xsi:type="dcterms:W3CDTF">2014-03-30T09:26:00Z</dcterms:created>
  <dcterms:modified xsi:type="dcterms:W3CDTF">2014-03-30T09:26:00Z</dcterms:modified>
</cp:coreProperties>
</file>