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02" w:rsidRDefault="00F55A02" w:rsidP="00F55A02">
      <w:pPr>
        <w:spacing w:line="288" w:lineRule="auto"/>
        <w:ind w:firstLine="0"/>
        <w:rPr>
          <w:b/>
          <w:bCs/>
          <w:sz w:val="30"/>
          <w:szCs w:val="30"/>
        </w:rPr>
        <w:sectPr w:rsidR="00F55A02">
          <w:headerReference w:type="default" r:id="rId7"/>
          <w:type w:val="continuous"/>
          <w:pgSz w:w="11900" w:h="16820"/>
          <w:pgMar w:top="567" w:right="567" w:bottom="567" w:left="567" w:header="709" w:footer="709" w:gutter="0"/>
          <w:cols w:space="60"/>
          <w:noEndnote/>
          <w:titlePg/>
        </w:sectPr>
      </w:pPr>
    </w:p>
    <w:p w:rsidR="00F55A02" w:rsidRDefault="00F55A02" w:rsidP="00F55A02">
      <w:pPr>
        <w:spacing w:line="288" w:lineRule="auto"/>
        <w:ind w:firstLine="0"/>
        <w:rPr>
          <w:b/>
          <w:bCs/>
          <w:sz w:val="30"/>
          <w:szCs w:val="30"/>
        </w:rPr>
      </w:pPr>
      <w:r>
        <w:rPr>
          <w:b/>
          <w:bCs/>
          <w:sz w:val="30"/>
          <w:szCs w:val="30"/>
        </w:rPr>
        <w:t>Инвестиционная политика страховщиков</w:t>
      </w:r>
    </w:p>
    <w:p w:rsidR="00F55A02" w:rsidRPr="00F55A02" w:rsidRDefault="00F55A02" w:rsidP="00F55A02">
      <w:pPr>
        <w:spacing w:line="288" w:lineRule="auto"/>
        <w:ind w:firstLine="0"/>
        <w:rPr>
          <w:b/>
          <w:bCs/>
          <w:sz w:val="30"/>
          <w:szCs w:val="30"/>
        </w:rPr>
      </w:pPr>
      <w:r>
        <w:rPr>
          <w:sz w:val="26"/>
          <w:szCs w:val="26"/>
        </w:rPr>
        <w:t>Одно из принципиальных отличий процесса реализации страховой услуги от аналогичного процесса в других видах предпринимательства состоит в следующем. Обычное предприятие первоначально осуществляет определенные вложения в организацию производства товаров или услуг и получает оплату от потребителей после того, как услуга уже фактически оказана или товар стал собственностью покупателя. В страховании картина обратная. Здесь клиент фактически авансирует страховщика, т. к. страховой взнос, представляющий для страхователя плату за страховую услугу, уплачивается обычно в начале срока действия договора страхования. Реализация же страховой услуги со стороны страховщика может осуществляться в течение длительного времени.</w:t>
      </w:r>
    </w:p>
    <w:p w:rsidR="00F55A02" w:rsidRDefault="00F55A02">
      <w:pPr>
        <w:spacing w:line="288" w:lineRule="auto"/>
        <w:ind w:firstLine="720"/>
        <w:rPr>
          <w:sz w:val="26"/>
          <w:szCs w:val="26"/>
        </w:rPr>
      </w:pPr>
      <w:r>
        <w:rPr>
          <w:sz w:val="26"/>
          <w:szCs w:val="26"/>
        </w:rPr>
        <w:t>Указанная   особенность   реализации   страховой   услуги   позволяет сформулировать два вывода. Первый: характер движения финансовых ресурсов в страховании ведет к тому, что в распоряжении страховщика в течение некоторого срока оказываются временно свободные от обязательств средства, которые могут быть инвестированы в целях получения дополнительного дохода.</w:t>
      </w:r>
    </w:p>
    <w:p w:rsidR="00F55A02" w:rsidRDefault="00F55A02">
      <w:pPr>
        <w:spacing w:line="288" w:lineRule="auto"/>
        <w:ind w:firstLine="720"/>
        <w:rPr>
          <w:sz w:val="26"/>
          <w:szCs w:val="26"/>
        </w:rPr>
      </w:pPr>
      <w:r>
        <w:rPr>
          <w:sz w:val="26"/>
          <w:szCs w:val="26"/>
        </w:rPr>
        <w:t>Второй вывод заключается в том, что инвестирование страховщиком таких временно свободных средств должно достаточно жестко регулироваться со стороны государства,  поскольку  страхователи  объективно  лишены  возможности осуществлять контроль за тем, насколько умело страховая компания распорядится предоставленными ей средствами и тем самым не поставит под угрозу выполнение обязательств по договорам страхования.</w:t>
      </w:r>
    </w:p>
    <w:p w:rsidR="00F55A02" w:rsidRDefault="00F55A02">
      <w:pPr>
        <w:spacing w:line="288" w:lineRule="auto"/>
        <w:ind w:firstLine="720"/>
        <w:rPr>
          <w:sz w:val="26"/>
          <w:szCs w:val="26"/>
        </w:rPr>
      </w:pPr>
      <w:r>
        <w:rPr>
          <w:sz w:val="26"/>
          <w:szCs w:val="26"/>
        </w:rPr>
        <w:t>Концентрация страховщиками в своих руках значительных финансовых ресурсов превращает страхование в важнейший фактор развития экономики путем активной инвестиционной политики. Другими словами, страховщики превращают пассивные денежные средства, полученные от различных владельцев полисов, в активный капитал, действующий на рынке.</w:t>
      </w:r>
    </w:p>
    <w:p w:rsidR="00F55A02" w:rsidRDefault="00F55A02">
      <w:pPr>
        <w:spacing w:line="288" w:lineRule="auto"/>
        <w:ind w:firstLine="720"/>
        <w:rPr>
          <w:sz w:val="26"/>
          <w:szCs w:val="26"/>
        </w:rPr>
      </w:pPr>
      <w:r>
        <w:rPr>
          <w:sz w:val="26"/>
          <w:szCs w:val="26"/>
        </w:rPr>
        <w:t>Для примера, ещё в 1989 г. страховые компании Европы, Японии и США управляли общим объемом вложенных средств на сумму 4000 млрд. долл. США, более 80% этих вложений обеспечивались операциями по страхованию жизни. Частные и государственные долговые обязательства составляли 50% общего объема вложений, облигации — 21%, ипотечные займы — 15%. При этом инвестиционные фонды страховых компаний постоянно увеличиваются.</w:t>
      </w:r>
    </w:p>
    <w:p w:rsidR="00F55A02" w:rsidRDefault="00F55A02">
      <w:pPr>
        <w:spacing w:line="288" w:lineRule="auto"/>
        <w:ind w:firstLine="720"/>
        <w:rPr>
          <w:sz w:val="26"/>
          <w:szCs w:val="26"/>
        </w:rPr>
      </w:pPr>
      <w:r>
        <w:rPr>
          <w:sz w:val="26"/>
          <w:szCs w:val="26"/>
        </w:rPr>
        <w:t>Это еще раз подтверждает необходимость регулирования инвестиционной деятельности страховщиков, причем регулирование должно учитывать особенности национального страхового рынка и не нарушать действующие правила конкурентной борьбы между компаниями.</w:t>
      </w:r>
    </w:p>
    <w:p w:rsidR="00F55A02" w:rsidRDefault="00F55A02">
      <w:pPr>
        <w:spacing w:line="288" w:lineRule="auto"/>
        <w:ind w:firstLine="720"/>
        <w:jc w:val="center"/>
        <w:rPr>
          <w:i/>
          <w:iCs/>
          <w:sz w:val="28"/>
          <w:szCs w:val="28"/>
        </w:rPr>
      </w:pPr>
      <w:r>
        <w:rPr>
          <w:sz w:val="26"/>
          <w:szCs w:val="26"/>
        </w:rPr>
        <w:br w:type="page"/>
      </w:r>
      <w:r>
        <w:rPr>
          <w:i/>
          <w:iCs/>
          <w:sz w:val="28"/>
          <w:szCs w:val="28"/>
        </w:rPr>
        <w:t>Необходимость регулирования</w:t>
      </w:r>
    </w:p>
    <w:p w:rsidR="00F55A02" w:rsidRDefault="00F55A02">
      <w:pPr>
        <w:spacing w:line="288" w:lineRule="auto"/>
        <w:ind w:firstLine="720"/>
        <w:jc w:val="center"/>
        <w:rPr>
          <w:i/>
          <w:iCs/>
          <w:sz w:val="28"/>
          <w:szCs w:val="28"/>
        </w:rPr>
      </w:pPr>
      <w:r>
        <w:rPr>
          <w:i/>
          <w:iCs/>
          <w:sz w:val="28"/>
          <w:szCs w:val="28"/>
        </w:rPr>
        <w:t>инвестиционной деятельности страховщиков</w:t>
      </w:r>
    </w:p>
    <w:p w:rsidR="00F55A02" w:rsidRPr="00F55A02" w:rsidRDefault="00F55A02">
      <w:pPr>
        <w:spacing w:line="288" w:lineRule="auto"/>
        <w:ind w:firstLine="720"/>
        <w:rPr>
          <w:sz w:val="26"/>
          <w:szCs w:val="26"/>
        </w:rPr>
      </w:pPr>
    </w:p>
    <w:p w:rsidR="00F55A02" w:rsidRDefault="00F55A02">
      <w:pPr>
        <w:spacing w:line="288" w:lineRule="auto"/>
        <w:ind w:firstLine="720"/>
        <w:rPr>
          <w:sz w:val="26"/>
          <w:szCs w:val="26"/>
        </w:rPr>
      </w:pPr>
      <w:r>
        <w:rPr>
          <w:sz w:val="26"/>
          <w:szCs w:val="26"/>
        </w:rPr>
        <w:t>Осознание необходимости государственного регулирования инвестиционной деятельности страховщиков можно проследить на основе изучения законодательных норм, действовавших еще в дореволюционной России.</w:t>
      </w:r>
    </w:p>
    <w:p w:rsidR="00F55A02" w:rsidRDefault="00F55A02">
      <w:pPr>
        <w:spacing w:line="288" w:lineRule="auto"/>
        <w:ind w:firstLine="720"/>
        <w:rPr>
          <w:sz w:val="26"/>
          <w:szCs w:val="26"/>
        </w:rPr>
      </w:pPr>
      <w:r>
        <w:rPr>
          <w:sz w:val="26"/>
          <w:szCs w:val="26"/>
        </w:rPr>
        <w:t>Как известно, в Российской Империи существовал надзор правительства за деятельностью страховщиков. При этом законодательно было определено, что не менее 40% от полученных за год страховых премий должны быть направлены в страховые резервы (фактические же отчисления составляли около 55%).</w:t>
      </w:r>
    </w:p>
    <w:p w:rsidR="00F55A02" w:rsidRDefault="00F55A02">
      <w:pPr>
        <w:spacing w:line="288" w:lineRule="auto"/>
        <w:ind w:firstLine="720"/>
        <w:rPr>
          <w:sz w:val="26"/>
          <w:szCs w:val="26"/>
        </w:rPr>
      </w:pPr>
      <w:r>
        <w:rPr>
          <w:sz w:val="26"/>
          <w:szCs w:val="26"/>
        </w:rPr>
        <w:t>На конец 1915г. величина страховых резервов страховых компаний Российской Империи составляла 340 млн. руб., в том числе по личному страхованию — 260 млн. руб., по имущественным видам — 80 млн. руб. Учитывая все увеличивающиеся поступления страховых премий, а также выгодные вложения страховых резервов, объемы активов неуклонно возрастали.</w:t>
      </w:r>
    </w:p>
    <w:p w:rsidR="00F55A02" w:rsidRDefault="00F55A02">
      <w:pPr>
        <w:spacing w:line="288" w:lineRule="auto"/>
        <w:ind w:firstLine="720"/>
        <w:rPr>
          <w:sz w:val="26"/>
          <w:szCs w:val="26"/>
        </w:rPr>
      </w:pPr>
      <w:r>
        <w:rPr>
          <w:sz w:val="26"/>
          <w:szCs w:val="26"/>
        </w:rPr>
        <w:t>Структура активов страховых компаний в 1916 г. складывалась следующим образом: 3,7% — долгосрочные кредиты, 23,4% — недвижимость, 32% — ценные бумаги, 6,7% — ссуды под полисы, 34,2% — прочие вложения.</w:t>
      </w:r>
    </w:p>
    <w:p w:rsidR="00F55A02" w:rsidRDefault="00F55A02">
      <w:pPr>
        <w:spacing w:line="288" w:lineRule="auto"/>
        <w:ind w:firstLine="720"/>
        <w:rPr>
          <w:sz w:val="26"/>
          <w:szCs w:val="26"/>
        </w:rPr>
      </w:pPr>
      <w:r>
        <w:rPr>
          <w:sz w:val="26"/>
          <w:szCs w:val="26"/>
        </w:rPr>
        <w:t>Со стороны надзора правительства за деятельностью страховщиков в Российской Империи были установлены условия размещения страховых капиталов (Закон “О порядке помещения и хранения средств страховыми обществами” от 11 мая 1898 г.)</w:t>
      </w:r>
    </w:p>
    <w:p w:rsidR="00F55A02" w:rsidRDefault="00F55A02">
      <w:pPr>
        <w:spacing w:line="288" w:lineRule="auto"/>
        <w:ind w:firstLine="720"/>
        <w:rPr>
          <w:sz w:val="26"/>
          <w:szCs w:val="26"/>
        </w:rPr>
      </w:pPr>
      <w:r>
        <w:rPr>
          <w:sz w:val="26"/>
          <w:szCs w:val="26"/>
        </w:rPr>
        <w:t>Активы по долгосрочным видам страхования российские страховщики размещали в долгосрочные ресурсы — жилые дома с последующей сдачей их в наем, которые и по сей день стоят на улицах Москвы и Санкт-Петербурга, и в другую недвижимость: по краткосрочным (имущественным) видам — в ценные бумаги, краткосрочные кредиты. По каждому из перечисленных направлений можно было вложить не более 40% имеющихся активов.</w:t>
      </w:r>
    </w:p>
    <w:p w:rsidR="00F55A02" w:rsidRDefault="00F55A02">
      <w:pPr>
        <w:spacing w:line="288" w:lineRule="auto"/>
        <w:ind w:firstLine="720"/>
        <w:rPr>
          <w:sz w:val="26"/>
          <w:szCs w:val="26"/>
        </w:rPr>
      </w:pPr>
      <w:r>
        <w:rPr>
          <w:sz w:val="26"/>
          <w:szCs w:val="26"/>
        </w:rPr>
        <w:t>Для каждого акционерного общества устанавливались максимально возможные вложения активов в виде срочных вкладов и наличие средств на текущих счетах в частных кредитных учреждениях.</w:t>
      </w:r>
    </w:p>
    <w:p w:rsidR="00F55A02" w:rsidRDefault="00F55A02">
      <w:pPr>
        <w:spacing w:line="288" w:lineRule="auto"/>
        <w:ind w:firstLine="720"/>
        <w:rPr>
          <w:sz w:val="26"/>
          <w:szCs w:val="26"/>
        </w:rPr>
      </w:pPr>
      <w:r>
        <w:rPr>
          <w:sz w:val="26"/>
          <w:szCs w:val="26"/>
        </w:rPr>
        <w:t>Размещенные средства страховщиков облегчали жилищное строительство в городах, способствовали развитию транспорта, в частности, железнодорожного;</w:t>
      </w:r>
    </w:p>
    <w:p w:rsidR="00F55A02" w:rsidRDefault="00F55A02">
      <w:pPr>
        <w:spacing w:line="288" w:lineRule="auto"/>
        <w:ind w:firstLine="720"/>
        <w:rPr>
          <w:sz w:val="26"/>
          <w:szCs w:val="26"/>
        </w:rPr>
      </w:pPr>
      <w:r>
        <w:rPr>
          <w:sz w:val="26"/>
          <w:szCs w:val="26"/>
        </w:rPr>
        <w:t>фондового и товарного рынков, чем обеспечивали им (страховщикам) получение ощутимых доходов.</w:t>
      </w:r>
    </w:p>
    <w:p w:rsidR="00F55A02" w:rsidRDefault="00F55A02">
      <w:pPr>
        <w:widowControl/>
        <w:spacing w:line="288" w:lineRule="auto"/>
        <w:ind w:firstLine="720"/>
        <w:rPr>
          <w:sz w:val="26"/>
          <w:szCs w:val="26"/>
        </w:rPr>
      </w:pPr>
      <w:r>
        <w:rPr>
          <w:sz w:val="26"/>
          <w:szCs w:val="26"/>
        </w:rPr>
        <w:t>После создания СССР, установления государственной монополии на страхование и образования единственного страховщика — Госстраха — проблема оптимизации инвестиций средств страховых резервов утратила свою актуальность. В этих условиях средства Госстраха размещались только на счетах государственного банка, при этом на резерв страхования жизни начислялись проценты, соответ</w:t>
      </w:r>
      <w:r>
        <w:rPr>
          <w:sz w:val="26"/>
          <w:szCs w:val="26"/>
        </w:rPr>
        <w:softHyphen/>
        <w:t>ствующие норме доходности по срочным вкладам населения в сберегательных кассах. С точки зрения плановой экономики такое размещение средств страховых резервов было, видимо, обоснованным, однако для Госстраха стало причиной ряда неприятностей. Так например, средства специального страхового резерва — межреспубликанского запасного фонда по страхованию имущества колхозов и совхозов — в начале 80-х годов были в значительной доле (5,9 млрд. руб.) изъяты у органов Госстраха в безвозвратном порядке и растрачены Госагропромом СССР . Кроме того, начиная с конца 60-х годов и до середины 80-х для покрытия дефицита государственного бюджета у Госстраха были изъяты средства резерва взносов по страхованию жизни в сумме, превышающей 22 млрд. руб., что вместе с начисленными процентами составляло к моменту ликвидации СССР около 70% всего начисленного резерва по этому виду страхования.3</w:t>
      </w:r>
    </w:p>
    <w:p w:rsidR="00F55A02" w:rsidRDefault="00F55A02">
      <w:pPr>
        <w:widowControl/>
        <w:spacing w:line="288" w:lineRule="auto"/>
        <w:ind w:firstLine="720"/>
        <w:rPr>
          <w:sz w:val="26"/>
          <w:szCs w:val="26"/>
        </w:rPr>
      </w:pPr>
      <w:r>
        <w:rPr>
          <w:sz w:val="26"/>
          <w:szCs w:val="26"/>
        </w:rPr>
        <w:t>Переход к рыночной экономике заставил вернуться к вопросам инвестиционной деятельности страховщиков. Надо сказать, что мировая практика развития страхового дела накопила значительный опыт в вопросах организации размещения страховых резервов.</w:t>
      </w:r>
    </w:p>
    <w:p w:rsidR="00F55A02" w:rsidRDefault="00F55A02">
      <w:pPr>
        <w:widowControl/>
        <w:spacing w:line="288" w:lineRule="auto"/>
        <w:ind w:firstLine="720"/>
        <w:rPr>
          <w:sz w:val="26"/>
          <w:szCs w:val="26"/>
        </w:rPr>
      </w:pPr>
      <w:r>
        <w:rPr>
          <w:sz w:val="26"/>
          <w:szCs w:val="26"/>
        </w:rPr>
        <w:t>Согласно директивам Европейского Экономического Сообщества, которыми был обобщен имеющийся опыт в вопросах государственного регулирования деятельности страховщиков в европейских странах, каждое страховое предприятие должно иметь в своем распоряжении резервы, соответствующие принятым по договорам страхования обязательствам, и именно государству надлежит определять их объем, условия их предъявления и правила их размещения.</w:t>
      </w:r>
    </w:p>
    <w:p w:rsidR="00F55A02" w:rsidRDefault="00F55A02">
      <w:pPr>
        <w:pStyle w:val="2"/>
        <w:rPr>
          <w:sz w:val="26"/>
          <w:szCs w:val="26"/>
        </w:rPr>
      </w:pPr>
      <w:r>
        <w:rPr>
          <w:sz w:val="26"/>
          <w:szCs w:val="26"/>
        </w:rPr>
        <w:t>В странах с рыночной экономикой так или иначе установлены нормы размещения средств активов страховой компании. Правила инвестиционной деятельности устанавливаются с целью обеспечения надежного функционирования страхового рынка. Наряду с установлением минимально или максимально возможных квот, правила размещения средств активов, покрывающих страховые резервы, подчинены требованиям инвестирования средств в национальную экономику и должны производиться в сроки, совпадающие со временем действия взятых обязательств. Кроме того, регулирование инвестиционной деятельности страховщиков имеет своей целью гарантию их платежеспособности.</w:t>
      </w:r>
    </w:p>
    <w:p w:rsidR="00F55A02" w:rsidRDefault="00F55A02">
      <w:pPr>
        <w:widowControl/>
        <w:spacing w:line="288" w:lineRule="auto"/>
        <w:ind w:firstLine="720"/>
        <w:rPr>
          <w:sz w:val="26"/>
          <w:szCs w:val="26"/>
        </w:rPr>
      </w:pPr>
      <w:r>
        <w:rPr>
          <w:sz w:val="26"/>
          <w:szCs w:val="26"/>
        </w:rPr>
        <w:t>Нормы размещения средств активов страховщиком в различных странах установлены в зависимости от сложившихся в каждой стране собственных традиций. Возможные направления инвестиций средств страховых резервов установлены либо раздельно по страхованию жизни и иным, чем страхование жизни, видам, либо даже отдельно по каждому виду страховой деятельности, причем устанавливаются не только максимальные, но и минимальные квоты.</w:t>
      </w:r>
    </w:p>
    <w:p w:rsidR="00F55A02" w:rsidRDefault="00F55A02">
      <w:pPr>
        <w:widowControl/>
        <w:spacing w:line="288" w:lineRule="auto"/>
        <w:ind w:firstLine="720"/>
        <w:rPr>
          <w:sz w:val="26"/>
          <w:szCs w:val="26"/>
        </w:rPr>
      </w:pPr>
      <w:r>
        <w:rPr>
          <w:sz w:val="26"/>
          <w:szCs w:val="26"/>
        </w:rPr>
        <w:t>Итальянским законодательством, например, установлены максимальные и минимальные квоты как по каждому виду страховой деятельности (по страхованию жизни только максимальные), так и по каждому конкретному направлению из 8 возможных, которые, в свою очередь, включают в себя несколько возможных вариантов. Так, например, вложения в ценные бумаги ограничиваются максимумом и минимумом вложений по каждому виду ценных бумаг: государственные ценные бумаги, иные ценные бумаги, помимо частных, частные ценные бумаги, национальные ценные бумаги, иностранные государственные ценные бумаги, частные иностранные ценные бумаги.</w:t>
      </w:r>
    </w:p>
    <w:p w:rsidR="00F55A02" w:rsidRDefault="00F55A02">
      <w:pPr>
        <w:widowControl/>
        <w:spacing w:line="288" w:lineRule="auto"/>
        <w:ind w:firstLine="720"/>
        <w:rPr>
          <w:sz w:val="26"/>
          <w:szCs w:val="26"/>
        </w:rPr>
      </w:pPr>
      <w:r>
        <w:rPr>
          <w:sz w:val="26"/>
          <w:szCs w:val="26"/>
        </w:rPr>
        <w:t>Следует отметить, что в условиях развитых финансового и фондового рынков проведение инвестиционной деятельности позволяет западным страховщикам компенсировать потери от инфляции.</w:t>
      </w:r>
    </w:p>
    <w:p w:rsidR="00F55A02" w:rsidRDefault="00F55A02">
      <w:pPr>
        <w:widowControl/>
        <w:spacing w:line="288" w:lineRule="auto"/>
        <w:ind w:firstLine="720"/>
        <w:rPr>
          <w:sz w:val="26"/>
          <w:szCs w:val="26"/>
        </w:rPr>
      </w:pPr>
      <w:r>
        <w:rPr>
          <w:sz w:val="26"/>
          <w:szCs w:val="26"/>
        </w:rPr>
        <w:t>Размещение страховых резервов должно осуществляться страховщиками на условиях диверсификации, возвратности, прибыльности и ликвидности. Данные принципы являются на сегодня общепризнанными в мировой практике.</w:t>
      </w:r>
    </w:p>
    <w:p w:rsidR="00F55A02" w:rsidRDefault="00F55A02">
      <w:pPr>
        <w:spacing w:line="288" w:lineRule="auto"/>
        <w:ind w:firstLine="720"/>
        <w:rPr>
          <w:sz w:val="26"/>
          <w:szCs w:val="26"/>
        </w:rPr>
      </w:pPr>
      <w:r>
        <w:rPr>
          <w:sz w:val="26"/>
          <w:szCs w:val="26"/>
        </w:rPr>
        <w:t>С учетом изложенного, первый принцип размещения активов — принцип возвратности (или, по принятой за рубежом терминологии, “принцип гарантированности”). Следует отметить, что действие этого принципа в полной мере распространяется как на активы, покрывающие страховые резервы, так и на свободные активы. Данный принцип подразумевает максимально надежное размещение активов, обеспечивающее их возврат в полном объеме.</w:t>
      </w:r>
    </w:p>
    <w:p w:rsidR="00F55A02" w:rsidRDefault="00F55A02">
      <w:pPr>
        <w:spacing w:line="288" w:lineRule="auto"/>
        <w:ind w:firstLine="720"/>
        <w:rPr>
          <w:sz w:val="26"/>
          <w:szCs w:val="26"/>
        </w:rPr>
      </w:pPr>
      <w:r>
        <w:rPr>
          <w:sz w:val="26"/>
          <w:szCs w:val="26"/>
        </w:rPr>
        <w:t>Второй принцип — принцип ликвидности. Согласно этому принципу общая структура вложений должна быть такова, чтобы в любое время были в наличии ликвидные средства или капитальные вложения, без труда обращаемые в ликвидные средства. Иными словами, страховая компания в любой момент времени должна иметь в наличии сумму средств, обеспечивающую выплату страхователям огово</w:t>
      </w:r>
      <w:r>
        <w:rPr>
          <w:sz w:val="26"/>
          <w:szCs w:val="26"/>
        </w:rPr>
        <w:softHyphen/>
        <w:t>ренных договором сумм в пределах установленных сроков.</w:t>
      </w:r>
    </w:p>
    <w:p w:rsidR="00F55A02" w:rsidRDefault="00F55A02">
      <w:pPr>
        <w:spacing w:line="288" w:lineRule="auto"/>
        <w:ind w:firstLine="720"/>
        <w:rPr>
          <w:sz w:val="26"/>
          <w:szCs w:val="26"/>
        </w:rPr>
      </w:pPr>
      <w:r>
        <w:rPr>
          <w:sz w:val="26"/>
          <w:szCs w:val="26"/>
        </w:rPr>
        <w:t>Третий принцип —принцип диверсификации (или “принцип смешения и рассеивания”) вложений. Служит распределению инвестиционных рисков, которые преследует каждого инвестора на различные виды вложений и тем самым большей устойчивости инвестиционного портфеля страховщика. Согласно этому принципу, не должно допускаться превалирование какого-либо вида вложений над другими. Структура вложений капитала не должна быть однобокой, не должна допускаться региональная концентрация капитала. Необходимо избегать вложений средств в направлении одного дебитора.</w:t>
      </w:r>
    </w:p>
    <w:p w:rsidR="00F55A02" w:rsidRDefault="00F55A02">
      <w:pPr>
        <w:spacing w:line="288" w:lineRule="auto"/>
        <w:ind w:firstLine="720"/>
        <w:rPr>
          <w:sz w:val="26"/>
          <w:szCs w:val="26"/>
        </w:rPr>
      </w:pPr>
      <w:r>
        <w:rPr>
          <w:sz w:val="26"/>
          <w:szCs w:val="26"/>
        </w:rPr>
        <w:t>И четвертый принцип — прибыльность вложений (или “принцип рентабельности”). Согласно этому принципу активы должны размещаться при обеспечении названных выше принципов, с учетом ситуации на рынке капиталовложений и при этом приносить постоянный и достаточно высокий доход.</w:t>
      </w:r>
    </w:p>
    <w:p w:rsidR="00F55A02" w:rsidRDefault="00F55A02">
      <w:pPr>
        <w:spacing w:line="288" w:lineRule="auto"/>
        <w:ind w:firstLine="720"/>
        <w:rPr>
          <w:sz w:val="26"/>
          <w:szCs w:val="26"/>
        </w:rPr>
      </w:pPr>
      <w:r>
        <w:rPr>
          <w:sz w:val="26"/>
          <w:szCs w:val="26"/>
        </w:rPr>
        <w:t>Другими словами, страховщики в своей инвестиционной деятельности при управлении средствами страховых резервов должны обеспечивать высокую рентабельность вложений, позволяющую сохранить реальную стоимость вложенных средств в течение времени инвестирования, и, в случае необходимости, иметь возможность легко и быстро реализовать размещенные активы.</w:t>
      </w:r>
    </w:p>
    <w:p w:rsidR="00F55A02" w:rsidRDefault="00F55A02">
      <w:pPr>
        <w:spacing w:line="288" w:lineRule="auto"/>
        <w:ind w:firstLine="720"/>
        <w:jc w:val="center"/>
        <w:rPr>
          <w:b/>
          <w:bCs/>
          <w:sz w:val="30"/>
          <w:szCs w:val="30"/>
        </w:rPr>
      </w:pPr>
      <w:r>
        <w:rPr>
          <w:b/>
          <w:bCs/>
          <w:sz w:val="30"/>
          <w:szCs w:val="30"/>
        </w:rPr>
        <w:t>Инвестиционная деятельность белорусских страховщиков</w:t>
      </w:r>
    </w:p>
    <w:p w:rsidR="00F55A02" w:rsidRDefault="00F55A02">
      <w:pPr>
        <w:spacing w:line="288" w:lineRule="auto"/>
        <w:ind w:firstLine="720"/>
        <w:rPr>
          <w:sz w:val="26"/>
          <w:szCs w:val="26"/>
        </w:rPr>
      </w:pPr>
      <w:r>
        <w:rPr>
          <w:sz w:val="26"/>
          <w:szCs w:val="26"/>
        </w:rPr>
        <w:t>В соответствии со ст. 3 Закона Республики Беларусь “О страховании”, страхование представляет собой особые экономические отношения, связанные с защитой имущественных интересов физических и юридических лиц при наступлении страховых случаев за счет страховых резервов, формируемых из уплачиваемых ими страховых премий. В этих целях страховые организации аккумулируют страховые взносы, формируют страховые резервы и затем обеспечивают страховые выплаты пострадавшим.</w:t>
      </w:r>
    </w:p>
    <w:p w:rsidR="00F55A02" w:rsidRDefault="00F55A02">
      <w:pPr>
        <w:spacing w:line="288" w:lineRule="auto"/>
        <w:ind w:firstLine="720"/>
        <w:rPr>
          <w:sz w:val="26"/>
          <w:szCs w:val="26"/>
        </w:rPr>
      </w:pPr>
      <w:r>
        <w:rPr>
          <w:sz w:val="26"/>
          <w:szCs w:val="26"/>
        </w:rPr>
        <w:t>Для нормального функционирования страховой организации, для обеспечения гарантии выполнения своих обязательств перед застрахованными страховщики инвестируют на определенный период времени страховые резервы в собственные средства.</w:t>
      </w:r>
    </w:p>
    <w:p w:rsidR="00F55A02" w:rsidRDefault="00F55A02">
      <w:pPr>
        <w:spacing w:line="288" w:lineRule="auto"/>
        <w:ind w:firstLine="720"/>
        <w:rPr>
          <w:sz w:val="26"/>
          <w:szCs w:val="26"/>
        </w:rPr>
      </w:pPr>
      <w:r>
        <w:rPr>
          <w:sz w:val="26"/>
          <w:szCs w:val="26"/>
        </w:rPr>
        <w:t>В связи с тем, что от инвестиционной политики страховой организации в значительной степени зависит ее платежеспособность, надежность предоставляемой страховой защиты, законодательством нашей республики установлен ряд требований к осуществлению страховщиками этого вида деятельности.</w:t>
      </w:r>
    </w:p>
    <w:p w:rsidR="00F55A02" w:rsidRDefault="00F55A02">
      <w:pPr>
        <w:spacing w:line="288" w:lineRule="auto"/>
        <w:ind w:firstLine="720"/>
        <w:rPr>
          <w:sz w:val="26"/>
          <w:szCs w:val="26"/>
        </w:rPr>
      </w:pPr>
      <w:r>
        <w:rPr>
          <w:sz w:val="26"/>
          <w:szCs w:val="26"/>
        </w:rPr>
        <w:t>Остановимся кратко на этих требованиях.</w:t>
      </w:r>
    </w:p>
    <w:p w:rsidR="00F55A02" w:rsidRDefault="00F55A02">
      <w:pPr>
        <w:spacing w:line="288" w:lineRule="auto"/>
        <w:ind w:firstLine="720"/>
        <w:rPr>
          <w:sz w:val="26"/>
          <w:szCs w:val="26"/>
        </w:rPr>
      </w:pPr>
      <w:r>
        <w:rPr>
          <w:sz w:val="26"/>
          <w:szCs w:val="26"/>
        </w:rPr>
        <w:t>Инвестиционной   деятельностью   страховых   и   перестраховочных организаций является, согласно законоположению, вложение собственных средств и страховых резервов в проекты, обеспечивающие интересы страхователей и страховщиков. Согласно ст. 30 Закона Республики Беларусь “О страховании” инвестиционная деятельность страховщикам разрешена в целях получения дополнительных доходов для предоставления льгот страхователям, укрепления устойчивости страхования, обеспечения гарантий по выполнению обязательств. Ст.32 Закона “О страховании” содержит правовую норму о том, что страховые и перестраховочные организации вправе инвестировать или иным образом размещать страховые резервы в пределах, определяемых органом государственного надзора за страховой деятельностью, а ст.36 Закона “О страховании” устанавливает условия с соблюдением которых должно производиться размещение страховых резервов - это диверсификация, возвратность, прибыльность и ликвидность.</w:t>
      </w:r>
    </w:p>
    <w:p w:rsidR="00F55A02" w:rsidRDefault="00F55A02">
      <w:pPr>
        <w:widowControl/>
        <w:spacing w:line="288" w:lineRule="auto"/>
        <w:ind w:firstLine="720"/>
        <w:rPr>
          <w:snapToGrid w:val="0"/>
          <w:sz w:val="26"/>
          <w:szCs w:val="26"/>
        </w:rPr>
      </w:pPr>
      <w:r>
        <w:rPr>
          <w:snapToGrid w:val="0"/>
          <w:sz w:val="26"/>
          <w:szCs w:val="26"/>
        </w:rPr>
        <w:t>Требования к инвестированию средств страховых резервов, приведенные в Законе “О страховании”, развиты и конкретизированы в специальном постановлении правительства по этому вопросу. Так, в Порядке осуществления инвестиционной деятельности страховыми и перестраховочными организациями, утвержденном постановлением Совета Министров Республики Беларусь от 07.04.1997г № 287 установлены правила инвестирования только для страховых</w:t>
      </w:r>
      <w:r>
        <w:rPr>
          <w:sz w:val="26"/>
          <w:szCs w:val="26"/>
        </w:rPr>
        <w:t xml:space="preserve"> </w:t>
      </w:r>
      <w:r>
        <w:rPr>
          <w:snapToGrid w:val="0"/>
          <w:sz w:val="26"/>
          <w:szCs w:val="26"/>
        </w:rPr>
        <w:t>резервов, в связи с тем, что управление ими затрагивает интересы страхователей и существенно влияет на финансовую устойчивость страховщиков. Собственные средства страховых организаций инвестируются в соответствии с нормами общего права и к ним страховой надзор особого интереса не проявляет.</w:t>
      </w:r>
    </w:p>
    <w:p w:rsidR="00F55A02" w:rsidRDefault="00F55A02">
      <w:pPr>
        <w:widowControl/>
        <w:spacing w:line="288" w:lineRule="auto"/>
        <w:ind w:firstLine="720"/>
        <w:rPr>
          <w:snapToGrid w:val="0"/>
          <w:sz w:val="26"/>
          <w:szCs w:val="26"/>
        </w:rPr>
      </w:pPr>
      <w:r>
        <w:rPr>
          <w:snapToGrid w:val="0"/>
          <w:sz w:val="26"/>
          <w:szCs w:val="26"/>
        </w:rPr>
        <w:t>Что же касается страховых резервов, то к их инвестированию предъяв</w:t>
      </w:r>
      <w:r>
        <w:rPr>
          <w:snapToGrid w:val="0"/>
          <w:sz w:val="26"/>
          <w:szCs w:val="26"/>
        </w:rPr>
        <w:softHyphen/>
        <w:t>ляются определенные требования.</w:t>
      </w:r>
    </w:p>
    <w:p w:rsidR="00F55A02" w:rsidRDefault="00F55A02">
      <w:pPr>
        <w:widowControl/>
        <w:spacing w:line="288" w:lineRule="auto"/>
        <w:ind w:firstLine="720"/>
        <w:rPr>
          <w:snapToGrid w:val="0"/>
          <w:sz w:val="26"/>
          <w:szCs w:val="26"/>
        </w:rPr>
      </w:pPr>
      <w:r>
        <w:rPr>
          <w:snapToGrid w:val="0"/>
          <w:sz w:val="26"/>
          <w:szCs w:val="26"/>
        </w:rPr>
        <w:t>Прежде всего, из общей суммы страховых резервов не менее 10 процентов должны быть размещены на банковских счетах на случай, если придется выплатить страховое возмещение, а текущих поступлений в это время на расчетном счете будет недостаточно для полной страховой выплаты. Следовательно, для обеспечения гарантии   страховой   защиты   необходимы   дополнительные,   свободные, высоколиквидные финансовые ресурсы.</w:t>
      </w:r>
    </w:p>
    <w:p w:rsidR="00F55A02" w:rsidRDefault="00F55A02">
      <w:pPr>
        <w:widowControl/>
        <w:spacing w:line="288" w:lineRule="auto"/>
        <w:ind w:firstLine="720"/>
        <w:rPr>
          <w:snapToGrid w:val="0"/>
          <w:sz w:val="26"/>
          <w:szCs w:val="26"/>
        </w:rPr>
      </w:pPr>
      <w:r>
        <w:rPr>
          <w:snapToGrid w:val="0"/>
          <w:sz w:val="26"/>
          <w:szCs w:val="26"/>
        </w:rPr>
        <w:t>При этом, в одном банке может быть размещено не более 50 процентов указанной суммы. Это требование введено для обеспечения надежности, воз</w:t>
      </w:r>
      <w:r>
        <w:rPr>
          <w:snapToGrid w:val="0"/>
          <w:sz w:val="26"/>
          <w:szCs w:val="26"/>
        </w:rPr>
        <w:softHyphen/>
        <w:t>вратности средств с целью соблюдения диверсификации.</w:t>
      </w:r>
    </w:p>
    <w:p w:rsidR="00F55A02" w:rsidRDefault="00F55A02">
      <w:pPr>
        <w:widowControl/>
        <w:spacing w:line="288" w:lineRule="auto"/>
        <w:ind w:firstLine="720"/>
        <w:rPr>
          <w:snapToGrid w:val="0"/>
          <w:sz w:val="26"/>
          <w:szCs w:val="26"/>
        </w:rPr>
      </w:pPr>
      <w:r>
        <w:rPr>
          <w:snapToGrid w:val="0"/>
          <w:sz w:val="26"/>
          <w:szCs w:val="26"/>
        </w:rPr>
        <w:t>В связи с тем, что у страховых резервов по рисковым и по накопительным видам страхования разный период размещения, так как одни являются краткосрочными, а другие — долгосрочными, принято решение установить для них различные, то есть неодинаковые правила инвестирования. Так, страховые резервы по накопительным видам страхования, то есть по страхованию жизни, пенсий и медицинскому страхованию, за исключением 10 процентов, оставленных на банковских счетах, могут быть инвестированы:</w:t>
      </w:r>
    </w:p>
    <w:p w:rsidR="00F55A02" w:rsidRDefault="00F55A02">
      <w:pPr>
        <w:widowControl/>
        <w:spacing w:line="288" w:lineRule="auto"/>
        <w:ind w:firstLine="720"/>
        <w:rPr>
          <w:snapToGrid w:val="0"/>
          <w:sz w:val="26"/>
          <w:szCs w:val="26"/>
        </w:rPr>
      </w:pPr>
      <w:r>
        <w:rPr>
          <w:snapToGrid w:val="0"/>
          <w:sz w:val="26"/>
          <w:szCs w:val="26"/>
        </w:rPr>
        <w:t>- в государственные ценные бумаги - не менее 35 процентов;</w:t>
      </w:r>
    </w:p>
    <w:p w:rsidR="00F55A02" w:rsidRDefault="00F55A02">
      <w:pPr>
        <w:widowControl/>
        <w:spacing w:line="288" w:lineRule="auto"/>
        <w:ind w:firstLine="720"/>
        <w:rPr>
          <w:snapToGrid w:val="0"/>
          <w:sz w:val="26"/>
          <w:szCs w:val="26"/>
        </w:rPr>
      </w:pPr>
      <w:r>
        <w:rPr>
          <w:snapToGrid w:val="0"/>
          <w:sz w:val="26"/>
          <w:szCs w:val="26"/>
        </w:rPr>
        <w:t>- в ценные бумаги местных исполнительных и распорядительных органов -н^более 10 процентов.</w:t>
      </w:r>
    </w:p>
    <w:p w:rsidR="00F55A02" w:rsidRDefault="00F55A02">
      <w:pPr>
        <w:widowControl/>
        <w:spacing w:line="288" w:lineRule="auto"/>
        <w:ind w:firstLine="720"/>
        <w:rPr>
          <w:snapToGrid w:val="0"/>
          <w:sz w:val="26"/>
          <w:szCs w:val="26"/>
        </w:rPr>
      </w:pPr>
      <w:r>
        <w:rPr>
          <w:snapToGrid w:val="0"/>
          <w:sz w:val="26"/>
          <w:szCs w:val="26"/>
        </w:rPr>
        <w:t>В то же время, страховые резервы по рисковым видам страхования, то есть по имущественному страхованию и страхованию от несчастных случаев, за исключением 10 процентов, оставленных на банковских счетах, могут быть инвестированы:</w:t>
      </w:r>
    </w:p>
    <w:p w:rsidR="00F55A02" w:rsidRDefault="00F55A02">
      <w:pPr>
        <w:widowControl/>
        <w:spacing w:line="288" w:lineRule="auto"/>
        <w:ind w:firstLine="720"/>
        <w:rPr>
          <w:snapToGrid w:val="0"/>
          <w:sz w:val="26"/>
          <w:szCs w:val="26"/>
        </w:rPr>
      </w:pPr>
      <w:r>
        <w:rPr>
          <w:snapToGrid w:val="0"/>
          <w:sz w:val="26"/>
          <w:szCs w:val="26"/>
        </w:rPr>
        <w:t>- в государственные ценные бумаги - не менее 35 процентов;</w:t>
      </w:r>
    </w:p>
    <w:p w:rsidR="00F55A02" w:rsidRDefault="00F55A02">
      <w:pPr>
        <w:widowControl/>
        <w:spacing w:line="288" w:lineRule="auto"/>
        <w:ind w:firstLine="720"/>
        <w:rPr>
          <w:snapToGrid w:val="0"/>
          <w:sz w:val="26"/>
          <w:szCs w:val="26"/>
        </w:rPr>
      </w:pPr>
      <w:r>
        <w:rPr>
          <w:snapToGrid w:val="0"/>
          <w:sz w:val="26"/>
          <w:szCs w:val="26"/>
        </w:rPr>
        <w:t>- в ценные бумаги местных исполнительных и распорядительных органов -не более 10 процентов;</w:t>
      </w:r>
    </w:p>
    <w:p w:rsidR="00F55A02" w:rsidRDefault="00F55A02">
      <w:pPr>
        <w:widowControl/>
        <w:spacing w:line="288" w:lineRule="auto"/>
        <w:ind w:firstLine="720"/>
        <w:rPr>
          <w:snapToGrid w:val="0"/>
          <w:sz w:val="26"/>
          <w:szCs w:val="26"/>
        </w:rPr>
      </w:pPr>
      <w:r>
        <w:rPr>
          <w:snapToGrid w:val="0"/>
          <w:sz w:val="26"/>
          <w:szCs w:val="26"/>
        </w:rPr>
        <w:t>- в ценные бумаги субъектов хозяйствования - юридических лиц не более 15 процентов;</w:t>
      </w:r>
    </w:p>
    <w:p w:rsidR="00F55A02" w:rsidRDefault="00F55A02">
      <w:pPr>
        <w:widowControl/>
        <w:spacing w:line="288" w:lineRule="auto"/>
        <w:ind w:firstLine="720"/>
        <w:rPr>
          <w:snapToGrid w:val="0"/>
          <w:sz w:val="26"/>
          <w:szCs w:val="26"/>
        </w:rPr>
      </w:pPr>
      <w:r>
        <w:rPr>
          <w:snapToGrid w:val="0"/>
          <w:sz w:val="26"/>
          <w:szCs w:val="26"/>
        </w:rPr>
        <w:t>- в недвижимое имущество - не более 20 процентов. Для инвестирования страховых резервов по рисковым видам страхования введены два дополнительных ограничения:</w:t>
      </w:r>
    </w:p>
    <w:p w:rsidR="00F55A02" w:rsidRDefault="00F55A02">
      <w:pPr>
        <w:widowControl/>
        <w:spacing w:line="288" w:lineRule="auto"/>
        <w:ind w:firstLine="720"/>
        <w:rPr>
          <w:snapToGrid w:val="0"/>
          <w:sz w:val="26"/>
          <w:szCs w:val="26"/>
        </w:rPr>
      </w:pPr>
      <w:r>
        <w:rPr>
          <w:snapToGrid w:val="0"/>
          <w:sz w:val="26"/>
          <w:szCs w:val="26"/>
        </w:rPr>
        <w:t>1. Размещение средств страховых резервов в ценные бумаги одного субъекта хозяйствования - юридического лица не должно превышать 10 процентов средств, предусмотренных на эти цели (т.е. 10% от 15%);</w:t>
      </w:r>
    </w:p>
    <w:p w:rsidR="00F55A02" w:rsidRDefault="00F55A02">
      <w:pPr>
        <w:widowControl/>
        <w:spacing w:line="288" w:lineRule="auto"/>
        <w:ind w:firstLine="720"/>
        <w:rPr>
          <w:snapToGrid w:val="0"/>
          <w:sz w:val="26"/>
          <w:szCs w:val="26"/>
        </w:rPr>
      </w:pPr>
      <w:r>
        <w:rPr>
          <w:snapToGrid w:val="0"/>
          <w:sz w:val="26"/>
          <w:szCs w:val="26"/>
        </w:rPr>
        <w:t>2. Размещение средств страховых резервов в один земельный участок или в иной объект недвижимого имущества, которые могут рассматриваться как один объект инвестиций, не должно превышать 20 процентов средств, предусмотренных на эти цели (т.е. 20% от 20%).</w:t>
      </w:r>
    </w:p>
    <w:p w:rsidR="00F55A02" w:rsidRDefault="00F55A02">
      <w:pPr>
        <w:widowControl/>
        <w:spacing w:line="288" w:lineRule="auto"/>
        <w:ind w:firstLine="720"/>
        <w:rPr>
          <w:snapToGrid w:val="0"/>
          <w:sz w:val="26"/>
          <w:szCs w:val="26"/>
        </w:rPr>
      </w:pPr>
      <w:r>
        <w:rPr>
          <w:snapToGrid w:val="0"/>
          <w:sz w:val="26"/>
          <w:szCs w:val="26"/>
        </w:rPr>
        <w:t>Следует подчеркнуть, что действующее страховое законодательство разрешает 10 процентов страховых резервов инвестировать за пределами Республики Беларусь. При этом необходимо получить согласие Комитета по надзору за страховой деятельностью при Министерстве финансов Республики Беларусь. Остальные 90 процентов инвестируемых страховых резервов должны быть размещены на территории Республики Беларусь.</w:t>
      </w:r>
    </w:p>
    <w:p w:rsidR="00F55A02" w:rsidRDefault="00F55A02">
      <w:pPr>
        <w:widowControl/>
        <w:spacing w:line="288" w:lineRule="auto"/>
        <w:ind w:firstLine="720"/>
        <w:rPr>
          <w:snapToGrid w:val="0"/>
          <w:sz w:val="26"/>
          <w:szCs w:val="26"/>
        </w:rPr>
      </w:pPr>
      <w:r>
        <w:rPr>
          <w:snapToGrid w:val="0"/>
          <w:sz w:val="26"/>
          <w:szCs w:val="26"/>
        </w:rPr>
        <w:t>Инвестирование средств страховых резервов может осуществляться непосредственно страховыми организациями либо по договору поручения профессиональными участниками рынка ценных бумаг или организациями” осуществляющими в установленном порядке сделки с недвижимым имуществом.</w:t>
      </w:r>
    </w:p>
    <w:p w:rsidR="00F55A02" w:rsidRDefault="00F55A02">
      <w:pPr>
        <w:widowControl/>
        <w:spacing w:line="288" w:lineRule="auto"/>
        <w:ind w:firstLine="720"/>
        <w:rPr>
          <w:snapToGrid w:val="0"/>
          <w:sz w:val="26"/>
          <w:szCs w:val="26"/>
        </w:rPr>
      </w:pPr>
      <w:r>
        <w:rPr>
          <w:snapToGrid w:val="0"/>
          <w:sz w:val="26"/>
          <w:szCs w:val="26"/>
        </w:rPr>
        <w:t>В целях обеспечения надежности и возвратности инвестиционного портфеля в нашей республике запрещено страховые резервы инвестировать в векселя и жилые помещения. В соответствии со ст.З Закона Республики Беларусь “Об инвестиционной деятельности в Республике Беларусь” источниками инвестиций в уставные фонды банков могут быть только собственные средства инвестора. В связи с тем, что средства страховых резервов относятся не к собственным, а к привлеченным, то они не могут быть направлены на формирование и пополнение уставных фондов банков.</w:t>
      </w:r>
    </w:p>
    <w:p w:rsidR="00F55A02" w:rsidRDefault="00F55A02">
      <w:pPr>
        <w:widowControl/>
        <w:spacing w:line="288" w:lineRule="auto"/>
        <w:ind w:firstLine="720"/>
        <w:rPr>
          <w:snapToGrid w:val="0"/>
          <w:sz w:val="26"/>
          <w:szCs w:val="26"/>
        </w:rPr>
      </w:pPr>
      <w:r>
        <w:rPr>
          <w:snapToGrid w:val="0"/>
          <w:sz w:val="26"/>
          <w:szCs w:val="26"/>
        </w:rPr>
        <w:t>Основным правовым документом, регулирующим отношения между субъектами инвестиционной деятельности, является договор (контракт), который заключается на началах добровольности и равноправия сторон. При этом вмешательство государственных органов и должностных лиц в осуществление договорных отношений между субъектами инвестиционной деятельности не допускается.</w:t>
      </w:r>
    </w:p>
    <w:p w:rsidR="00F55A02" w:rsidRDefault="00F55A02">
      <w:pPr>
        <w:widowControl/>
        <w:spacing w:line="288" w:lineRule="auto"/>
        <w:ind w:firstLine="720"/>
        <w:rPr>
          <w:snapToGrid w:val="0"/>
          <w:sz w:val="26"/>
          <w:szCs w:val="26"/>
        </w:rPr>
      </w:pPr>
      <w:r>
        <w:rPr>
          <w:snapToGrid w:val="0"/>
          <w:sz w:val="26"/>
          <w:szCs w:val="26"/>
        </w:rPr>
        <w:t>Государственное регулирование условий и контроль за инвестиционной деятельностью страховых организаций осуществляет Комитет по надзору за страховой деятельностью при Министерстве финансов. С этой целью Комстрахнадзором введена специальная форма квартальной отчетности для стра</w:t>
      </w:r>
      <w:r>
        <w:rPr>
          <w:snapToGrid w:val="0"/>
          <w:sz w:val="26"/>
          <w:szCs w:val="26"/>
        </w:rPr>
        <w:softHyphen/>
        <w:t>ховщиков, с помощью которой осуществляется контроль за правильностью размещения средств страховых резервов, отслеживаются направления, пределы и условия инвестирования, контролируется доходность от размещения страховых резервов и т.д. В случае грубого нарушения страховщиками Порядка осуществления инвестиционной деятельности Комитет по надзору за страховой деятельностью при Министерстве финансов имеет право подвергнуть страховщика экономическим санкциям, выдать предписание на устранение допущенных отклонений от страхового законодательства.</w:t>
      </w:r>
    </w:p>
    <w:p w:rsidR="00F55A02" w:rsidRDefault="00F55A02">
      <w:pPr>
        <w:pStyle w:val="21"/>
        <w:rPr>
          <w:sz w:val="26"/>
          <w:szCs w:val="26"/>
        </w:rPr>
      </w:pPr>
      <w:r>
        <w:rPr>
          <w:sz w:val="26"/>
          <w:szCs w:val="26"/>
        </w:rPr>
        <w:t>На территории Республики Беларусь могут создаваться иностранные финансово-кредитные учреждения, их филиалы и представительства. Иностранные инвестиции в страхование могут осуществляться в форме долевого участия в уставном фонде страховой организации совместно с белорусскими юридическими и физическими лицами и организации дочерних предприятий.</w:t>
      </w:r>
    </w:p>
    <w:p w:rsidR="00F55A02" w:rsidRDefault="00F55A02">
      <w:pPr>
        <w:widowControl/>
        <w:spacing w:line="288" w:lineRule="auto"/>
        <w:ind w:firstLine="720"/>
        <w:rPr>
          <w:snapToGrid w:val="0"/>
          <w:sz w:val="26"/>
          <w:szCs w:val="26"/>
        </w:rPr>
      </w:pPr>
      <w:r>
        <w:rPr>
          <w:snapToGrid w:val="0"/>
          <w:sz w:val="26"/>
          <w:szCs w:val="26"/>
        </w:rPr>
        <w:t>Предприятия, в уставном фонде которых доля иностранного инвестора составляет более 30 процентов и вся его выручка образуется за счет реализации услуг и продукции собственного производства, освобождаются от уплаты налога на прибыль в течение трех лет с момента объявления ими прибыли, включая первый прибыльный год. В случае ликвидации предприятия с иностранными инвестициями в период его освобождения от уплаты налогов или в течение трех лет после истечения срока освобождения от уплаты налогов предприятие обязано уплатить налоги за тот период, в течение которого оно было освобождено от налогов.</w:t>
      </w:r>
    </w:p>
    <w:p w:rsidR="00F55A02" w:rsidRDefault="00F55A02">
      <w:pPr>
        <w:widowControl/>
        <w:spacing w:line="288" w:lineRule="auto"/>
        <w:ind w:firstLine="720"/>
        <w:rPr>
          <w:snapToGrid w:val="0"/>
          <w:sz w:val="26"/>
          <w:szCs w:val="26"/>
        </w:rPr>
      </w:pPr>
      <w:r>
        <w:rPr>
          <w:snapToGrid w:val="0"/>
          <w:sz w:val="26"/>
          <w:szCs w:val="26"/>
        </w:rPr>
        <w:t>В соответствии со ст. 15 Закона Республики Беларусь “Об инвестиционной деятельности в Республике Беларусь” иностранному инвестору гарантируется право собственности на иностранную валюту, причитающуюся ему в результате распределения доходов, включая перевод ее за границу, а также на возврат ему вклада в этой валюте при ликвидации совместного предприятия или выходе из него.</w:t>
      </w:r>
    </w:p>
    <w:p w:rsidR="00F55A02" w:rsidRDefault="00F55A02">
      <w:pPr>
        <w:widowControl/>
        <w:spacing w:line="288" w:lineRule="auto"/>
        <w:ind w:firstLine="720"/>
        <w:rPr>
          <w:snapToGrid w:val="0"/>
          <w:sz w:val="26"/>
          <w:szCs w:val="26"/>
        </w:rPr>
      </w:pPr>
      <w:r>
        <w:rPr>
          <w:snapToGrid w:val="0"/>
          <w:sz w:val="26"/>
          <w:szCs w:val="26"/>
        </w:rPr>
        <w:t>Таковы основные положения законодательства по инвестированию свободных финансовых ресурсов страховых организаций.</w:t>
      </w:r>
    </w:p>
    <w:p w:rsidR="00F55A02" w:rsidRDefault="00F55A02">
      <w:pPr>
        <w:widowControl/>
        <w:spacing w:line="288" w:lineRule="auto"/>
        <w:ind w:firstLine="720"/>
        <w:rPr>
          <w:snapToGrid w:val="0"/>
          <w:sz w:val="26"/>
          <w:szCs w:val="26"/>
        </w:rPr>
      </w:pPr>
      <w:r>
        <w:rPr>
          <w:snapToGrid w:val="0"/>
          <w:sz w:val="26"/>
          <w:szCs w:val="26"/>
        </w:rPr>
        <w:t>Рассмотрим теперь реальное состояние инвестиционной деятельности в страховых организациях республики.</w:t>
      </w:r>
    </w:p>
    <w:p w:rsidR="00F55A02" w:rsidRDefault="00F55A02">
      <w:pPr>
        <w:widowControl/>
        <w:spacing w:line="288" w:lineRule="auto"/>
        <w:ind w:firstLine="720"/>
        <w:rPr>
          <w:snapToGrid w:val="0"/>
          <w:sz w:val="26"/>
          <w:szCs w:val="26"/>
        </w:rPr>
      </w:pPr>
      <w:r>
        <w:rPr>
          <w:snapToGrid w:val="0"/>
          <w:sz w:val="26"/>
          <w:szCs w:val="26"/>
        </w:rPr>
        <w:t>Страховщики располагают страховыми резервами на общую сумму 10,7 млрд. деноминированных рублей, в том числе: по накопительным видам страхования 379 млн рублей и по рисковым видам страхования 10338 млн. рублей.</w:t>
      </w:r>
    </w:p>
    <w:p w:rsidR="00F55A02" w:rsidRDefault="00F55A02">
      <w:pPr>
        <w:widowControl/>
        <w:spacing w:line="288" w:lineRule="auto"/>
        <w:ind w:firstLine="720"/>
        <w:rPr>
          <w:snapToGrid w:val="0"/>
          <w:sz w:val="26"/>
          <w:szCs w:val="26"/>
        </w:rPr>
      </w:pPr>
      <w:r>
        <w:rPr>
          <w:snapToGrid w:val="0"/>
          <w:sz w:val="26"/>
          <w:szCs w:val="26"/>
        </w:rPr>
        <w:t>Из общей суммы страховых резервов 63 процента размещено на счетах в банках, остальные 37 процента инвестировано в различные объекты, в соответствии с действующим законодательством, в том числе:</w:t>
      </w:r>
    </w:p>
    <w:p w:rsidR="00F55A02" w:rsidRDefault="00F55A02">
      <w:pPr>
        <w:widowControl/>
        <w:spacing w:line="288" w:lineRule="auto"/>
        <w:ind w:firstLine="720"/>
        <w:rPr>
          <w:snapToGrid w:val="0"/>
          <w:sz w:val="26"/>
          <w:szCs w:val="26"/>
        </w:rPr>
      </w:pPr>
      <w:r>
        <w:rPr>
          <w:snapToGrid w:val="0"/>
          <w:sz w:val="26"/>
          <w:szCs w:val="26"/>
        </w:rPr>
        <w:t>Страховые резервы по долгосрочным накопительным видам страхования (страхованию жизни, пенсий и медицинскому страхованию) полностью проинвестированы в государственные ценные бумаги на общую сумму 205,3 млн. рублей.</w:t>
      </w:r>
    </w:p>
    <w:p w:rsidR="00F55A02" w:rsidRDefault="00F55A02">
      <w:pPr>
        <w:widowControl/>
        <w:spacing w:line="288" w:lineRule="auto"/>
        <w:ind w:firstLine="720"/>
        <w:rPr>
          <w:snapToGrid w:val="0"/>
          <w:sz w:val="26"/>
          <w:szCs w:val="26"/>
        </w:rPr>
      </w:pPr>
      <w:r>
        <w:rPr>
          <w:snapToGrid w:val="0"/>
          <w:sz w:val="26"/>
          <w:szCs w:val="26"/>
        </w:rPr>
        <w:t>Страховые резервы по краткосрочным рисковым видам страхования (по имущественному страхованию  и  страхованию  от  несчастных  случаев) проинвестированы также, в основном, в государственные ценные бумаги 3617,4млн. рублей или 96 процентов от их общей суммы. В акции субъектов хозяйствования проинвестировано только 9,3 млн. рублей, в недвижимость -148,1 млн. рублей.</w:t>
      </w:r>
    </w:p>
    <w:p w:rsidR="00F55A02" w:rsidRDefault="00F55A02">
      <w:pPr>
        <w:widowControl/>
        <w:spacing w:line="288" w:lineRule="auto"/>
        <w:ind w:firstLine="720"/>
        <w:rPr>
          <w:snapToGrid w:val="0"/>
          <w:sz w:val="26"/>
          <w:szCs w:val="26"/>
        </w:rPr>
      </w:pPr>
      <w:r>
        <w:rPr>
          <w:snapToGrid w:val="0"/>
          <w:sz w:val="26"/>
          <w:szCs w:val="26"/>
        </w:rPr>
        <w:t>Следует отметить, что иностранной валюты в пересчете на доллары США в страховых резервах имеется 12,2 млн. долларов.</w:t>
      </w:r>
    </w:p>
    <w:p w:rsidR="00F55A02" w:rsidRDefault="00F55A02">
      <w:pPr>
        <w:widowControl/>
        <w:spacing w:line="288" w:lineRule="auto"/>
        <w:ind w:firstLine="720"/>
        <w:rPr>
          <w:snapToGrid w:val="0"/>
          <w:sz w:val="26"/>
          <w:szCs w:val="26"/>
        </w:rPr>
      </w:pPr>
      <w:r>
        <w:rPr>
          <w:snapToGrid w:val="0"/>
          <w:sz w:val="26"/>
          <w:szCs w:val="26"/>
        </w:rPr>
        <w:t>Однако, для общей характеристики инвестиционного потенциала страховых организаций республики необходимо дополнительно принять во внимание Собственный капитал. К нему мы относим уставный фонд в денежной форме, резервный фонд и спецфонд в иностранной валюте, сформированные за счет чистой прибыли. Общая сумма, совокупный размер собственного капитала страховщиков республики составляет 1,4 млрд. рублей, в том числе 2,1 млн. долларов.</w:t>
      </w:r>
    </w:p>
    <w:p w:rsidR="00F55A02" w:rsidRDefault="00F55A02">
      <w:pPr>
        <w:widowControl/>
        <w:spacing w:line="288" w:lineRule="auto"/>
        <w:ind w:firstLine="720"/>
        <w:rPr>
          <w:snapToGrid w:val="0"/>
          <w:sz w:val="26"/>
          <w:szCs w:val="26"/>
        </w:rPr>
      </w:pPr>
      <w:r>
        <w:rPr>
          <w:snapToGrid w:val="0"/>
          <w:sz w:val="26"/>
          <w:szCs w:val="26"/>
        </w:rPr>
        <w:t>Таким образом, иностранной валюты на счетах белорусских страховщиков по состоянию на 01.01.2000г. имелось 14,3 млн. долларов.</w:t>
      </w:r>
    </w:p>
    <w:p w:rsidR="00F55A02" w:rsidRDefault="00F55A02">
      <w:pPr>
        <w:widowControl/>
        <w:spacing w:line="288" w:lineRule="auto"/>
        <w:ind w:firstLine="720"/>
        <w:rPr>
          <w:snapToGrid w:val="0"/>
          <w:sz w:val="26"/>
          <w:szCs w:val="26"/>
        </w:rPr>
      </w:pPr>
      <w:r>
        <w:rPr>
          <w:snapToGrid w:val="0"/>
          <w:sz w:val="26"/>
          <w:szCs w:val="26"/>
        </w:rPr>
        <w:t>Какие выводы можно сделать на основании проведенного анализа ин</w:t>
      </w:r>
      <w:r>
        <w:rPr>
          <w:snapToGrid w:val="0"/>
          <w:sz w:val="26"/>
          <w:szCs w:val="26"/>
        </w:rPr>
        <w:softHyphen/>
        <w:t>вестиционной деятельности страховых организаций ?</w:t>
      </w:r>
    </w:p>
    <w:p w:rsidR="00F55A02" w:rsidRDefault="00F55A02">
      <w:pPr>
        <w:widowControl/>
        <w:spacing w:line="288" w:lineRule="auto"/>
        <w:ind w:firstLine="720"/>
        <w:rPr>
          <w:snapToGrid w:val="0"/>
          <w:sz w:val="26"/>
          <w:szCs w:val="26"/>
        </w:rPr>
      </w:pPr>
      <w:r>
        <w:rPr>
          <w:snapToGrid w:val="0"/>
          <w:sz w:val="26"/>
          <w:szCs w:val="26"/>
        </w:rPr>
        <w:t>Вывод 1. Инвестиционный климат для страховщиков в нашей республике нельзя назвать благоприятным.</w:t>
      </w:r>
    </w:p>
    <w:p w:rsidR="00F55A02" w:rsidRDefault="00F55A02">
      <w:pPr>
        <w:pStyle w:val="21"/>
        <w:rPr>
          <w:sz w:val="26"/>
          <w:szCs w:val="26"/>
        </w:rPr>
      </w:pPr>
      <w:r>
        <w:rPr>
          <w:sz w:val="26"/>
          <w:szCs w:val="26"/>
        </w:rPr>
        <w:t>Вывод 2. Законодательство об инвестиционной деятельности не отвечает 'требованиям сегодняшнего дня и требует немедленного изменения.</w:t>
      </w:r>
    </w:p>
    <w:p w:rsidR="00F55A02" w:rsidRDefault="00F55A02">
      <w:pPr>
        <w:widowControl/>
        <w:spacing w:line="288" w:lineRule="auto"/>
        <w:ind w:firstLine="720"/>
        <w:rPr>
          <w:snapToGrid w:val="0"/>
          <w:sz w:val="27"/>
          <w:szCs w:val="27"/>
        </w:rPr>
      </w:pPr>
      <w:r>
        <w:rPr>
          <w:snapToGrid w:val="0"/>
          <w:sz w:val="26"/>
          <w:szCs w:val="26"/>
        </w:rPr>
        <w:t>Вывод 3. Инвестиционный потенциал белорусских страховщиков не высокий.</w:t>
      </w:r>
    </w:p>
    <w:p w:rsidR="00F55A02" w:rsidRDefault="00F55A02" w:rsidP="00F55A02">
      <w:pPr>
        <w:widowControl/>
        <w:spacing w:line="288" w:lineRule="auto"/>
        <w:ind w:firstLine="0"/>
        <w:rPr>
          <w:b/>
          <w:bCs/>
          <w:snapToGrid w:val="0"/>
          <w:sz w:val="27"/>
          <w:szCs w:val="27"/>
        </w:rPr>
      </w:pPr>
      <w:r>
        <w:rPr>
          <w:b/>
          <w:bCs/>
          <w:snapToGrid w:val="0"/>
          <w:sz w:val="27"/>
          <w:szCs w:val="27"/>
        </w:rPr>
        <w:t>Используемая литература.</w:t>
      </w:r>
    </w:p>
    <w:p w:rsidR="00F55A02" w:rsidRDefault="00F55A02">
      <w:pPr>
        <w:widowControl/>
        <w:spacing w:line="288" w:lineRule="auto"/>
        <w:ind w:firstLine="720"/>
        <w:rPr>
          <w:snapToGrid w:val="0"/>
          <w:sz w:val="27"/>
          <w:szCs w:val="27"/>
        </w:rPr>
      </w:pPr>
    </w:p>
    <w:p w:rsidR="00F55A02" w:rsidRDefault="00F55A02">
      <w:pPr>
        <w:widowControl/>
        <w:numPr>
          <w:ilvl w:val="0"/>
          <w:numId w:val="1"/>
        </w:numPr>
        <w:tabs>
          <w:tab w:val="clear" w:pos="360"/>
          <w:tab w:val="num" w:pos="1080"/>
        </w:tabs>
        <w:spacing w:line="288" w:lineRule="auto"/>
        <w:ind w:left="1080"/>
        <w:rPr>
          <w:snapToGrid w:val="0"/>
          <w:sz w:val="27"/>
          <w:szCs w:val="27"/>
        </w:rPr>
      </w:pPr>
      <w:r>
        <w:rPr>
          <w:snapToGrid w:val="0"/>
          <w:sz w:val="27"/>
          <w:szCs w:val="27"/>
        </w:rPr>
        <w:t>Асабина С. Инвестиционная деятельность страховых организаций. Российская и зарубежная практика государственного регулирования. // Страховое дело. 1999 №9.</w:t>
      </w:r>
    </w:p>
    <w:p w:rsidR="00F55A02" w:rsidRDefault="00F55A02">
      <w:pPr>
        <w:widowControl/>
        <w:numPr>
          <w:ilvl w:val="0"/>
          <w:numId w:val="1"/>
        </w:numPr>
        <w:tabs>
          <w:tab w:val="clear" w:pos="360"/>
          <w:tab w:val="num" w:pos="1080"/>
        </w:tabs>
        <w:spacing w:line="288" w:lineRule="auto"/>
        <w:ind w:left="1080"/>
        <w:rPr>
          <w:snapToGrid w:val="0"/>
          <w:sz w:val="27"/>
          <w:szCs w:val="27"/>
        </w:rPr>
      </w:pPr>
      <w:r>
        <w:rPr>
          <w:snapToGrid w:val="0"/>
          <w:sz w:val="27"/>
          <w:szCs w:val="27"/>
        </w:rPr>
        <w:t>Закон Республики Беларусь “Об инвестиционной деятельности в Республике Беларусь” от 29.05.1991.</w:t>
      </w:r>
    </w:p>
    <w:p w:rsidR="00F55A02" w:rsidRDefault="00F55A02">
      <w:pPr>
        <w:widowControl/>
        <w:numPr>
          <w:ilvl w:val="0"/>
          <w:numId w:val="1"/>
        </w:numPr>
        <w:tabs>
          <w:tab w:val="clear" w:pos="360"/>
          <w:tab w:val="num" w:pos="1080"/>
        </w:tabs>
        <w:spacing w:line="288" w:lineRule="auto"/>
        <w:ind w:left="1080"/>
        <w:rPr>
          <w:snapToGrid w:val="0"/>
          <w:sz w:val="27"/>
          <w:szCs w:val="27"/>
        </w:rPr>
      </w:pPr>
      <w:r>
        <w:rPr>
          <w:snapToGrid w:val="0"/>
          <w:sz w:val="27"/>
          <w:szCs w:val="27"/>
        </w:rPr>
        <w:t>Закон Республики Беларусь “О страховании” от 3.06.1993.</w:t>
      </w:r>
    </w:p>
    <w:p w:rsidR="00F55A02" w:rsidRDefault="00F55A02">
      <w:pPr>
        <w:widowControl/>
        <w:numPr>
          <w:ilvl w:val="0"/>
          <w:numId w:val="1"/>
        </w:numPr>
        <w:tabs>
          <w:tab w:val="clear" w:pos="360"/>
          <w:tab w:val="num" w:pos="1080"/>
        </w:tabs>
        <w:spacing w:line="288" w:lineRule="auto"/>
        <w:ind w:left="1080"/>
        <w:rPr>
          <w:snapToGrid w:val="0"/>
          <w:sz w:val="27"/>
          <w:szCs w:val="27"/>
        </w:rPr>
      </w:pPr>
      <w:r>
        <w:rPr>
          <w:snapToGrid w:val="0"/>
          <w:sz w:val="27"/>
          <w:szCs w:val="27"/>
        </w:rPr>
        <w:t>Пилипейко М. Страховой рынок слегка поредел // Национальная экономическая газета. №42.</w:t>
      </w:r>
    </w:p>
    <w:p w:rsidR="00F55A02" w:rsidRDefault="00F55A02">
      <w:pPr>
        <w:widowControl/>
        <w:numPr>
          <w:ilvl w:val="0"/>
          <w:numId w:val="1"/>
        </w:numPr>
        <w:tabs>
          <w:tab w:val="clear" w:pos="360"/>
          <w:tab w:val="num" w:pos="1080"/>
        </w:tabs>
        <w:spacing w:line="288" w:lineRule="auto"/>
        <w:ind w:left="1080"/>
        <w:rPr>
          <w:snapToGrid w:val="0"/>
          <w:sz w:val="27"/>
          <w:szCs w:val="27"/>
        </w:rPr>
      </w:pPr>
      <w:r>
        <w:rPr>
          <w:snapToGrid w:val="0"/>
          <w:sz w:val="27"/>
          <w:szCs w:val="27"/>
        </w:rPr>
        <w:t>Славников Д. В. Инвестиционная политика страховых организаций // Экономика Финансы Управление. 2000 №12.</w:t>
      </w:r>
    </w:p>
    <w:p w:rsidR="00F55A02" w:rsidRDefault="00F55A02">
      <w:pPr>
        <w:widowControl/>
        <w:numPr>
          <w:ilvl w:val="0"/>
          <w:numId w:val="1"/>
        </w:numPr>
        <w:tabs>
          <w:tab w:val="clear" w:pos="360"/>
          <w:tab w:val="num" w:pos="1080"/>
        </w:tabs>
        <w:spacing w:line="288" w:lineRule="auto"/>
        <w:ind w:left="1080"/>
        <w:rPr>
          <w:snapToGrid w:val="0"/>
          <w:sz w:val="27"/>
          <w:szCs w:val="27"/>
        </w:rPr>
      </w:pPr>
      <w:r>
        <w:rPr>
          <w:snapToGrid w:val="0"/>
          <w:sz w:val="27"/>
          <w:szCs w:val="27"/>
        </w:rPr>
        <w:t>Сухов В. А. Государственное регулирование финансовой устойчивости страховщиков. – М., 1995.</w:t>
      </w:r>
    </w:p>
    <w:p w:rsidR="00F55A02" w:rsidRDefault="00F55A02">
      <w:pPr>
        <w:widowControl/>
        <w:numPr>
          <w:ilvl w:val="0"/>
          <w:numId w:val="1"/>
        </w:numPr>
        <w:tabs>
          <w:tab w:val="clear" w:pos="360"/>
          <w:tab w:val="num" w:pos="1080"/>
        </w:tabs>
        <w:spacing w:line="288" w:lineRule="auto"/>
        <w:ind w:left="1080"/>
        <w:rPr>
          <w:snapToGrid w:val="0"/>
          <w:sz w:val="27"/>
          <w:szCs w:val="27"/>
        </w:rPr>
      </w:pPr>
      <w:r>
        <w:rPr>
          <w:snapToGrid w:val="0"/>
          <w:sz w:val="27"/>
          <w:szCs w:val="27"/>
        </w:rPr>
        <w:t>Сухов В. А. Страховой рынок России. – М., 1992.</w:t>
      </w:r>
    </w:p>
    <w:p w:rsidR="00F55A02" w:rsidRPr="00F55A02" w:rsidRDefault="00F55A02">
      <w:pPr>
        <w:widowControl/>
        <w:spacing w:line="288" w:lineRule="auto"/>
        <w:ind w:firstLine="0"/>
        <w:rPr>
          <w:snapToGrid w:val="0"/>
          <w:sz w:val="27"/>
          <w:szCs w:val="27"/>
        </w:rPr>
      </w:pPr>
    </w:p>
    <w:p w:rsidR="00F55A02" w:rsidRPr="00F55A02" w:rsidRDefault="00F55A02">
      <w:pPr>
        <w:widowControl/>
        <w:spacing w:line="288" w:lineRule="auto"/>
        <w:ind w:firstLine="0"/>
        <w:rPr>
          <w:snapToGrid w:val="0"/>
          <w:sz w:val="27"/>
          <w:szCs w:val="27"/>
        </w:rPr>
      </w:pPr>
    </w:p>
    <w:p w:rsidR="00F55A02" w:rsidRPr="00F55A02" w:rsidRDefault="00F55A02">
      <w:pPr>
        <w:widowControl/>
        <w:spacing w:line="288" w:lineRule="auto"/>
        <w:ind w:firstLine="0"/>
        <w:rPr>
          <w:snapToGrid w:val="0"/>
          <w:sz w:val="27"/>
          <w:szCs w:val="27"/>
        </w:rPr>
      </w:pPr>
    </w:p>
    <w:p w:rsidR="00F55A02" w:rsidRDefault="00F55A02">
      <w:pPr>
        <w:widowControl/>
        <w:spacing w:line="288" w:lineRule="auto"/>
        <w:ind w:firstLine="0"/>
        <w:rPr>
          <w:snapToGrid w:val="0"/>
          <w:sz w:val="27"/>
          <w:szCs w:val="27"/>
        </w:rPr>
      </w:pPr>
      <w:bookmarkStart w:id="0" w:name="_GoBack"/>
      <w:bookmarkEnd w:id="0"/>
    </w:p>
    <w:sectPr w:rsidR="00F55A02">
      <w:pgSz w:w="11900" w:h="16820"/>
      <w:pgMar w:top="567" w:right="567" w:bottom="567" w:left="1440" w:header="709" w:footer="709"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38" w:rsidRDefault="004B0238">
      <w:pPr>
        <w:spacing w:line="240" w:lineRule="auto"/>
      </w:pPr>
      <w:r>
        <w:separator/>
      </w:r>
    </w:p>
  </w:endnote>
  <w:endnote w:type="continuationSeparator" w:id="0">
    <w:p w:rsidR="004B0238" w:rsidRDefault="004B0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38" w:rsidRDefault="004B0238">
      <w:pPr>
        <w:spacing w:line="240" w:lineRule="auto"/>
      </w:pPr>
      <w:r>
        <w:separator/>
      </w:r>
    </w:p>
  </w:footnote>
  <w:footnote w:type="continuationSeparator" w:id="0">
    <w:p w:rsidR="004B0238" w:rsidRDefault="004B02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A02" w:rsidRDefault="00E84494">
    <w:pPr>
      <w:pStyle w:val="a4"/>
      <w:framePr w:wrap="auto" w:vAnchor="text" w:hAnchor="margin" w:xAlign="right" w:y="1"/>
      <w:rPr>
        <w:rStyle w:val="a6"/>
      </w:rPr>
    </w:pPr>
    <w:r>
      <w:rPr>
        <w:rStyle w:val="a6"/>
        <w:noProof/>
      </w:rPr>
      <w:t>1</w:t>
    </w:r>
  </w:p>
  <w:p w:rsidR="00F55A02" w:rsidRDefault="00F55A0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14E33"/>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AF4"/>
    <w:rsid w:val="004B0238"/>
    <w:rsid w:val="00B80D5C"/>
    <w:rsid w:val="00E047F2"/>
    <w:rsid w:val="00E84494"/>
    <w:rsid w:val="00F55A02"/>
    <w:rsid w:val="00FD3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EA6191-6625-4809-B942-FEC60DE5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0" w:lineRule="auto"/>
      <w:ind w:firstLine="560"/>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2">
    <w:name w:val="Body Text 2"/>
    <w:basedOn w:val="a"/>
    <w:link w:val="20"/>
    <w:uiPriority w:val="99"/>
    <w:pPr>
      <w:widowControl/>
      <w:spacing w:line="288" w:lineRule="auto"/>
      <w:ind w:firstLine="720"/>
    </w:pPr>
    <w:rPr>
      <w:sz w:val="28"/>
      <w:szCs w:val="28"/>
    </w:rPr>
  </w:style>
  <w:style w:type="character" w:customStyle="1" w:styleId="20">
    <w:name w:val="Основной текст 2 Знак"/>
    <w:link w:val="2"/>
    <w:uiPriority w:val="99"/>
    <w:semiHidden/>
    <w:rPr>
      <w:lang w:eastAsia="en-US"/>
    </w:rPr>
  </w:style>
  <w:style w:type="paragraph" w:styleId="21">
    <w:name w:val="Body Text Indent 2"/>
    <w:basedOn w:val="a"/>
    <w:link w:val="22"/>
    <w:uiPriority w:val="99"/>
    <w:pPr>
      <w:widowControl/>
      <w:spacing w:line="288" w:lineRule="auto"/>
      <w:ind w:firstLine="720"/>
    </w:pPr>
    <w:rPr>
      <w:sz w:val="27"/>
      <w:szCs w:val="27"/>
    </w:rPr>
  </w:style>
  <w:style w:type="character" w:customStyle="1" w:styleId="22">
    <w:name w:val="Основной текст с отступом 2 Знак"/>
    <w:link w:val="21"/>
    <w:uiPriority w:val="99"/>
    <w:semiHidden/>
    <w:rPr>
      <w:lang w:eastAsia="en-US"/>
    </w:rPr>
  </w:style>
  <w:style w:type="paragraph" w:styleId="a4">
    <w:name w:val="header"/>
    <w:basedOn w:val="a"/>
    <w:link w:val="a5"/>
    <w:uiPriority w:val="99"/>
    <w:pPr>
      <w:widowControl/>
      <w:tabs>
        <w:tab w:val="center" w:pos="4153"/>
        <w:tab w:val="right" w:pos="8306"/>
      </w:tabs>
      <w:spacing w:line="240" w:lineRule="auto"/>
      <w:ind w:firstLine="0"/>
      <w:jc w:val="left"/>
    </w:pPr>
    <w:rPr>
      <w:sz w:val="20"/>
      <w:szCs w:val="20"/>
    </w:rPr>
  </w:style>
  <w:style w:type="character" w:customStyle="1" w:styleId="a5">
    <w:name w:val="Верхний колонтитул Знак"/>
    <w:link w:val="a4"/>
    <w:uiPriority w:val="99"/>
    <w:semiHidden/>
    <w:rPr>
      <w:lang w:eastAsia="en-US"/>
    </w:rPr>
  </w:style>
  <w:style w:type="character" w:customStyle="1" w:styleId="a6">
    <w:name w:val="номер страницы"/>
    <w:uiPriority w:val="99"/>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3354</Words>
  <Characters>19118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Инвестиционная политика страховщиков</vt:lpstr>
    </vt:vector>
  </TitlesOfParts>
  <Company>NetLine</Company>
  <LinksUpToDate>false</LinksUpToDate>
  <CharactersWithSpaces>22428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Инвестиционная политика страховщиков</dc:title>
  <dc:subject/>
  <dc:creator>MoonShade</dc:creator>
  <cp:keywords/>
  <dc:description/>
  <cp:lastModifiedBy>admin</cp:lastModifiedBy>
  <cp:revision>2</cp:revision>
  <cp:lastPrinted>2000-11-01T21:39:00Z</cp:lastPrinted>
  <dcterms:created xsi:type="dcterms:W3CDTF">2014-02-17T18:30:00Z</dcterms:created>
  <dcterms:modified xsi:type="dcterms:W3CDTF">2014-02-17T18:30:00Z</dcterms:modified>
</cp:coreProperties>
</file>