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D29" w:rsidRDefault="00AA22F2">
      <w:pPr>
        <w:pStyle w:val="a6"/>
        <w:rPr>
          <w:sz w:val="24"/>
          <w:szCs w:val="24"/>
        </w:rPr>
      </w:pPr>
      <w:r>
        <w:rPr>
          <w:sz w:val="24"/>
          <w:szCs w:val="24"/>
        </w:rPr>
        <w:t>МИНИСТЕРСТВО ОБРАЗОВАНИЯ УКРАИНЫ</w:t>
      </w:r>
    </w:p>
    <w:p w:rsidR="00984D29" w:rsidRDefault="00AA22F2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ОДЕССКИЙ ГОСУДАРСТВЕННЫЙ ЭКОНОМИЧЕСКИЙ УНИВЕРСИТЕТ</w:t>
      </w: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AA22F2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Доклад</w:t>
      </w:r>
    </w:p>
    <w:p w:rsidR="00984D29" w:rsidRDefault="00AA22F2">
      <w:pPr>
        <w:spacing w:line="360" w:lineRule="auto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экологии на тему:</w:t>
      </w:r>
    </w:p>
    <w:p w:rsidR="00984D29" w:rsidRDefault="00984D29">
      <w:pPr>
        <w:spacing w:line="360" w:lineRule="auto"/>
        <w:ind w:firstLine="720"/>
        <w:jc w:val="center"/>
        <w:rPr>
          <w:sz w:val="28"/>
          <w:szCs w:val="28"/>
        </w:rPr>
      </w:pPr>
    </w:p>
    <w:p w:rsidR="00984D29" w:rsidRDefault="00AA22F2">
      <w:pPr>
        <w:spacing w:line="360" w:lineRule="auto"/>
        <w:ind w:firstLine="720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«Экологический мониторинг и система экологической информации. Экологическая экспертиза и проблемы ее организации»</w:t>
      </w:r>
    </w:p>
    <w:p w:rsidR="00984D29" w:rsidRDefault="00984D29">
      <w:pPr>
        <w:spacing w:line="360" w:lineRule="auto"/>
        <w:ind w:firstLine="720"/>
        <w:jc w:val="center"/>
        <w:rPr>
          <w:b/>
          <w:bCs/>
          <w:i/>
          <w:iCs/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center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AA22F2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студентки 17 группы УЭФ</w:t>
      </w:r>
    </w:p>
    <w:p w:rsidR="00984D29" w:rsidRDefault="00AA22F2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Биленко Оксаны</w:t>
      </w:r>
    </w:p>
    <w:p w:rsidR="00984D29" w:rsidRDefault="00AA22F2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преподаватель: </w:t>
      </w:r>
    </w:p>
    <w:p w:rsidR="00984D29" w:rsidRDefault="00AA22F2">
      <w:pPr>
        <w:spacing w:line="360" w:lineRule="auto"/>
        <w:ind w:firstLine="720"/>
        <w:jc w:val="right"/>
        <w:rPr>
          <w:sz w:val="24"/>
          <w:szCs w:val="24"/>
        </w:rPr>
      </w:pPr>
      <w:r>
        <w:rPr>
          <w:sz w:val="24"/>
          <w:szCs w:val="24"/>
        </w:rPr>
        <w:t>доцент Мозгалева В.М.</w:t>
      </w: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984D29">
      <w:pPr>
        <w:spacing w:line="360" w:lineRule="auto"/>
        <w:ind w:firstLine="720"/>
        <w:jc w:val="right"/>
        <w:rPr>
          <w:sz w:val="24"/>
          <w:szCs w:val="24"/>
        </w:rPr>
      </w:pPr>
    </w:p>
    <w:p w:rsidR="00984D29" w:rsidRDefault="00AA22F2">
      <w:pPr>
        <w:spacing w:line="360" w:lineRule="auto"/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Одесса 2000г.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ХХ веке в  науке возник термин </w:t>
      </w:r>
      <w:r>
        <w:rPr>
          <w:b/>
          <w:bCs/>
          <w:sz w:val="24"/>
          <w:szCs w:val="24"/>
        </w:rPr>
        <w:t>мониторинг</w:t>
      </w:r>
      <w:r>
        <w:rPr>
          <w:sz w:val="24"/>
          <w:szCs w:val="24"/>
        </w:rPr>
        <w:t xml:space="preserve"> для определения системы повторных целенаправленных наблюдений за элементами окружающей природной среды в пространстве и времени. 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последние десятилетия общество все шире использует в своей деятельности сведения о состоянии природной среды. Эта информация нужна в повседневной жизни людей, при ведении хозяйства, в строительстве, при чрезвычайных обстоятельствах — для оповещения о надвигающихся опасных явлениях природы. Но изменения в состоянии окружающей среды происходят и под воздействием биосферных процессов, связанных с деятельностью человека. Определение вклада антропогенных изменений представляет собой специфическую задачу. </w:t>
      </w:r>
    </w:p>
    <w:p w:rsidR="00984D29" w:rsidRDefault="00AA22F2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В соответствии со ставшим уже каноническим определением,</w:t>
      </w:r>
      <w:r>
        <w:rPr>
          <w:b/>
          <w:bCs/>
          <w:sz w:val="24"/>
          <w:szCs w:val="24"/>
        </w:rPr>
        <w:t xml:space="preserve"> экологический мониторинг</w:t>
      </w:r>
      <w:r>
        <w:rPr>
          <w:sz w:val="24"/>
          <w:szCs w:val="24"/>
        </w:rPr>
        <w:t xml:space="preserve"> —</w:t>
      </w:r>
      <w:r>
        <w:rPr>
          <w:i/>
          <w:iCs/>
          <w:sz w:val="24"/>
          <w:szCs w:val="24"/>
        </w:rPr>
        <w:t xml:space="preserve"> информационная система наблюдений, оценки и прогноза изменений в состоянии окружающей среды, созданная с целью выделения антропогенной составляющей этих изменений на фоне природных процессов.</w:t>
      </w:r>
    </w:p>
    <w:p w:rsidR="00984D29" w:rsidRDefault="00AA22F2">
      <w:pPr>
        <w:pStyle w:val="2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экологического мониторинга должна накапливать, систематизировать и анализировать информацию: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состоянии окружающей среды;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причинах наблюдаемых и вероятных изменений состояния (т.e. об источниках и факторах воздействия);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допустимости изменений и нагрузок на среду в целом;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существующих резервах биосферы. 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Таким образом, в систему экологического мониторинга входят наблюдения за состоянием элементов биосферы и наблюдения за источниками и факторами антропогенного воздействия.</w:t>
      </w:r>
    </w:p>
    <w:p w:rsidR="00984D29" w:rsidRDefault="00AA22F2">
      <w:pPr>
        <w:pStyle w:val="21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приведенными определениями и возложенными на систему функциями, мониторинг включает три основных направления деятельности: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наблюдения за факторами воздействия и состоянием среды;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оценку фактического состояния среды;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прогноз состояния окружающей природной среды и оценку прогнозируемого состояния. </w:t>
      </w:r>
    </w:p>
    <w:p w:rsidR="00984D29" w:rsidRDefault="00AA22F2">
      <w:pPr>
        <w:pStyle w:val="21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 xml:space="preserve">Следует принять во внимание, что сама система мониторинга не включает деятельность по управлению качеством среды, но является источником необходимой для принятия экологически значимых решений информации. </w:t>
      </w:r>
    </w:p>
    <w:p w:rsidR="00984D29" w:rsidRDefault="00984D29">
      <w:pPr>
        <w:jc w:val="both"/>
        <w:rPr>
          <w:sz w:val="24"/>
          <w:szCs w:val="24"/>
        </w:rPr>
      </w:pPr>
    </w:p>
    <w:p w:rsidR="00984D29" w:rsidRDefault="00691F1D">
      <w:pPr>
        <w:jc w:val="both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3in"/>
        </w:pic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мониторинга реализуется на нескольких уровнях, которым соответствуют специально разработанные программы: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импактном (изучение сильных воздействий в локальном масштабе);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региональном (проявление проблем миграции и трансформации загрязняющих веществ, совместного воздействия различных факторов, характерных для экономики региона);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фоновом (на базе биосферных заповедников, где исключена всякая хозяйственная деятельность). </w:t>
      </w:r>
    </w:p>
    <w:p w:rsidR="00984D29" w:rsidRDefault="00984D29">
      <w:pPr>
        <w:jc w:val="both"/>
        <w:rPr>
          <w:sz w:val="24"/>
          <w:szCs w:val="24"/>
        </w:rPr>
      </w:pP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1975г. была организована Глобальная система мониторинга окружающей среды (ГСМОС) под эгидой ООН, но эффективно действовать она начала только в последнее время. Эта система состоит из 5 взаимосвязанных подсистем: изучение климатических изменений, дальнего переноса загрязняющих среду веществ, гигиенических аспектов среды, исследования Мирового океана и ресурсов суши. Существуют 22 сети действующих станций системы глобального мониторинга, а также международные и национальные системы мониторинга. Одна из главных идей мониторинга – выход на принципиально новый уровень компетентности во время принятия решений локального, регионального и глобального масштабов.</w:t>
      </w:r>
    </w:p>
    <w:p w:rsidR="00984D29" w:rsidRDefault="00984D29">
      <w:pPr>
        <w:ind w:firstLine="720"/>
        <w:jc w:val="both"/>
        <w:rPr>
          <w:sz w:val="24"/>
          <w:szCs w:val="24"/>
        </w:rPr>
      </w:pPr>
    </w:p>
    <w:p w:rsidR="00984D29" w:rsidRDefault="00984D29">
      <w:pPr>
        <w:ind w:firstLine="720"/>
        <w:jc w:val="both"/>
        <w:rPr>
          <w:sz w:val="24"/>
          <w:szCs w:val="24"/>
        </w:rPr>
      </w:pP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</w:t>
      </w:r>
      <w:r>
        <w:rPr>
          <w:i/>
          <w:iCs/>
          <w:sz w:val="24"/>
          <w:szCs w:val="24"/>
        </w:rPr>
        <w:t>общественная экологическая экспертиза</w:t>
      </w:r>
      <w:r>
        <w:rPr>
          <w:sz w:val="24"/>
          <w:szCs w:val="24"/>
        </w:rPr>
        <w:t xml:space="preserve"> возникло в конце 80-х годов и быстро получило широкое распространение. 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Первоначальная трактовка этого термина была весьма широкой. Под </w:t>
      </w:r>
      <w:r>
        <w:rPr>
          <w:i/>
          <w:iCs/>
          <w:sz w:val="24"/>
          <w:szCs w:val="24"/>
        </w:rPr>
        <w:t>независимой экологической экспертизой</w:t>
      </w:r>
      <w:r>
        <w:rPr>
          <w:sz w:val="24"/>
          <w:szCs w:val="24"/>
        </w:rPr>
        <w:t xml:space="preserve"> подразумевали разнообразные способы получения и анализа информации (экологический мониторинг, оценка воздействия на окружающую среду, независимые исследования и т.д.). В настоящее время понятие </w:t>
      </w:r>
      <w:r>
        <w:rPr>
          <w:i/>
          <w:iCs/>
          <w:sz w:val="24"/>
          <w:szCs w:val="24"/>
        </w:rPr>
        <w:t>общественная экологическая экспертиза</w:t>
      </w:r>
      <w:r>
        <w:rPr>
          <w:sz w:val="24"/>
          <w:szCs w:val="24"/>
        </w:rPr>
        <w:t xml:space="preserve"> определено законодательно.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bCs/>
          <w:sz w:val="24"/>
          <w:szCs w:val="24"/>
        </w:rPr>
        <w:t>Экологическая экспертиза</w:t>
      </w:r>
      <w:r>
        <w:rPr>
          <w:sz w:val="24"/>
          <w:szCs w:val="24"/>
        </w:rPr>
        <w:t xml:space="preserve"> — установление соответствия намечаемой хозяйственной и иной деятельности экологическим требованиям и допустимости реализации объекта экспертизы в целях предупреждения возможных неблагоприятных воздействий этой деятельности на окружающую природную среду и связанных с ними социальных, экономических и иных последствий реализации объекта экологической экспертизы” </w:t>
      </w:r>
    </w:p>
    <w:p w:rsidR="00984D29" w:rsidRDefault="00AA22F2">
      <w:pPr>
        <w:pStyle w:val="2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Экологическая экспертиза может быть государственной и общественной.</w:t>
      </w:r>
    </w:p>
    <w:p w:rsidR="00984D29" w:rsidRDefault="00AA22F2">
      <w:pPr>
        <w:ind w:firstLine="720"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Общественная  экологическая экспертиза </w:t>
      </w:r>
      <w:r>
        <w:rPr>
          <w:i/>
          <w:iCs/>
          <w:sz w:val="24"/>
          <w:szCs w:val="24"/>
        </w:rPr>
        <w:t>проводится по инициативе граждан и общественных организаций (объединений), а также по инициативе органов местного самоуправления общественными организациями (объединениями).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Объектами государственной экологической экспертизы </w:t>
      </w:r>
      <w:r>
        <w:rPr>
          <w:sz w:val="24"/>
          <w:szCs w:val="24"/>
        </w:rPr>
        <w:t>являются: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проекты генеральных планов развития территорий</w:t>
      </w:r>
      <w:r>
        <w:rPr>
          <w:sz w:val="24"/>
          <w:szCs w:val="24"/>
        </w:rPr>
        <w:t xml:space="preserve">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все виды градостроительной документации</w:t>
      </w:r>
      <w:r>
        <w:rPr>
          <w:sz w:val="24"/>
          <w:szCs w:val="24"/>
        </w:rPr>
        <w:t xml:space="preserve"> (например, генеральный план, проект застройки),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проекты схем развития отраслей народного хозяйства</w:t>
      </w:r>
      <w:r>
        <w:rPr>
          <w:sz w:val="24"/>
          <w:szCs w:val="24"/>
        </w:rPr>
        <w:t xml:space="preserve">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проекты межгосударственных инвестиционных программ</w:t>
      </w:r>
      <w:r>
        <w:rPr>
          <w:sz w:val="24"/>
          <w:szCs w:val="24"/>
        </w:rPr>
        <w:t xml:space="preserve">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проекты комплексных схем охраны природы, схем охраны и использования природных ресурсов </w:t>
      </w:r>
      <w:r>
        <w:rPr>
          <w:sz w:val="24"/>
          <w:szCs w:val="24"/>
        </w:rPr>
        <w:t xml:space="preserve">(в т.ч. проекты землепользования и лесоустройства, материалы, обосновывающие перевод лесных земель в нелесные),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проекты международных договоров</w:t>
      </w:r>
      <w:r>
        <w:rPr>
          <w:sz w:val="24"/>
          <w:szCs w:val="24"/>
        </w:rPr>
        <w:t xml:space="preserve">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материалы обоснования лицензий на осуществление деятельности, способной оказать воздействие на окружающую среду</w:t>
      </w:r>
      <w:r>
        <w:rPr>
          <w:sz w:val="24"/>
          <w:szCs w:val="24"/>
        </w:rPr>
        <w:t xml:space="preserve">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технико-экономические обоснования и проекты строительства, реконструкции, расширения, технического перевооружения, консервации и ликвидации организаций и иных объектов хозяйственной деятельности, </w:t>
      </w:r>
      <w:r>
        <w:rPr>
          <w:b/>
          <w:bCs/>
          <w:i/>
          <w:iCs/>
          <w:sz w:val="24"/>
          <w:szCs w:val="24"/>
        </w:rPr>
        <w:t>независимо от их сметной стоимости, ведомственной принадлежности и форм собственности</w:t>
      </w:r>
      <w:r>
        <w:rPr>
          <w:sz w:val="24"/>
          <w:szCs w:val="24"/>
        </w:rPr>
        <w:t xml:space="preserve">, </w:t>
      </w:r>
    </w:p>
    <w:p w:rsidR="00984D29" w:rsidRDefault="00AA22F2">
      <w:pPr>
        <w:numPr>
          <w:ilvl w:val="0"/>
          <w:numId w:val="3"/>
        </w:numPr>
        <w:tabs>
          <w:tab w:val="left" w:pos="720"/>
        </w:tabs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проекты технической документации на новую технику, технологию, материалы, вещества, сертифицируемые товары и услуги.</w:t>
      </w:r>
      <w:r>
        <w:rPr>
          <w:sz w:val="24"/>
          <w:szCs w:val="24"/>
        </w:rPr>
        <w:t xml:space="preserve"> </w:t>
      </w:r>
    </w:p>
    <w:p w:rsidR="00984D29" w:rsidRDefault="00984D29">
      <w:pPr>
        <w:jc w:val="both"/>
        <w:rPr>
          <w:sz w:val="24"/>
          <w:szCs w:val="24"/>
        </w:rPr>
      </w:pP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Общественная экологическая экспертиза </w:t>
      </w:r>
      <w:r>
        <w:rPr>
          <w:sz w:val="24"/>
          <w:szCs w:val="24"/>
        </w:rPr>
        <w:t>может проводиться в отношении тех же объектов, что и государственная экологическая экспертиза, за исключением объектов, сведения о которых составляют государственную, коммерческую и (или) иную охраняемую законом тайну.</w:t>
      </w:r>
    </w:p>
    <w:p w:rsidR="00984D29" w:rsidRDefault="00AA22F2">
      <w:pPr>
        <w:pStyle w:val="21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экологической экспертизы является предупреждение возможных неблагоприятных воздействий намечаемой деятельности на окружающую среду и связанных с ними социально-экономических и иных последствий. 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Закону, экологическая экспертиза основывается на принципе </w:t>
      </w:r>
      <w:r>
        <w:rPr>
          <w:b/>
          <w:bCs/>
          <w:sz w:val="24"/>
          <w:szCs w:val="24"/>
        </w:rPr>
        <w:t xml:space="preserve">презумпции потенциальной экологической опасности любой намечаемой хозяйственной или иной деятельности. </w:t>
      </w:r>
      <w:r>
        <w:rPr>
          <w:sz w:val="24"/>
          <w:szCs w:val="24"/>
        </w:rPr>
        <w:t xml:space="preserve">Это означает, что обязанностью заказчика (“хозяина” намечаемой деятельности) является прогноз воздействия намечаемой деятельности на окружающую среду и обоснование допустимости этого воздействия. Заказчик также обязан </w:t>
      </w:r>
      <w:r>
        <w:rPr>
          <w:b/>
          <w:bCs/>
          <w:sz w:val="24"/>
          <w:szCs w:val="24"/>
        </w:rPr>
        <w:t>предусмотреть необходимые меры по защите окружающей среды</w:t>
      </w:r>
      <w:r>
        <w:rPr>
          <w:sz w:val="24"/>
          <w:szCs w:val="24"/>
        </w:rPr>
        <w:t xml:space="preserve"> и именно на нем лежит бремя доказательства экологической безопасности намечаемой деятельности. 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Зарубежный опыт свидетельствует о высокой экономической эффективности экологической экспертизы. Агентство по охране среды США  осуществило выборочный анализ заключений о воздействии на среду. В половине исследованных случаев отмечено снижение общей стоимости проектов за счет осуществления конструктивных природоохранных мероприятий. По данным Международного банка реконструкции и развития, возможное повышение стоимости проектов, связанное с проведением оценки воздействия на среду и последующим учетом в рабочих проектах экологических ограничений, окупается в среднем за 5-7 лет. По оценкам западных специалистов, включение экологических факторов в процесс принятия решений еще на стадии проектирования оказывается в 3-4 раза дешевле последующей доустановки очистного оборудования. </w:t>
      </w:r>
    </w:p>
    <w:p w:rsidR="00984D29" w:rsidRDefault="00AA22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Система наблюдений за состоянием окружающей среды Украины имеет разветвленную структуру. Режимные наблюдения за состоянием природных ресурсов осуществляют такие 10 министерств и ведомств: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 экологической безопасности Украины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национальное космическое агентство Украины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 охраны здоровья Украины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 сельского хозяйства и продовольствия Украины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министерство лесного хозяйства Украины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комитет Украины по гидрометеорологии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комитет Украины по водному хозяйству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комитет Украины по геологии и использованию недр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комитет Украины по земельным ресурсам</w:t>
      </w:r>
    </w:p>
    <w:p w:rsidR="00984D29" w:rsidRDefault="00AA22F2">
      <w:pPr>
        <w:numPr>
          <w:ilvl w:val="0"/>
          <w:numId w:val="1"/>
        </w:numPr>
        <w:tabs>
          <w:tab w:val="left" w:pos="1080"/>
          <w:tab w:val="left" w:pos="1155"/>
        </w:tabs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комитет Украины по жилищно-коммунальному хозяйству</w:t>
      </w:r>
    </w:p>
    <w:p w:rsidR="00984D29" w:rsidRDefault="00AA22F2">
      <w:pPr>
        <w:tabs>
          <w:tab w:val="left" w:pos="1155"/>
        </w:tabs>
        <w:jc w:val="both"/>
        <w:rPr>
          <w:sz w:val="24"/>
          <w:szCs w:val="24"/>
        </w:rPr>
      </w:pPr>
      <w:r>
        <w:rPr>
          <w:sz w:val="24"/>
          <w:szCs w:val="24"/>
        </w:rPr>
        <w:t>Они имеют ведомственные сети наблюдения, информационные каналы для передачи данных, центры для обработки, анализа и сохранения информации.</w:t>
      </w:r>
    </w:p>
    <w:p w:rsidR="00984D29" w:rsidRDefault="00984D29">
      <w:pPr>
        <w:pStyle w:val="110"/>
        <w:spacing w:line="200" w:lineRule="atLeast"/>
        <w:rPr>
          <w:sz w:val="24"/>
          <w:szCs w:val="24"/>
        </w:rPr>
      </w:pPr>
    </w:p>
    <w:p w:rsidR="00984D29" w:rsidRDefault="00AA22F2">
      <w:pPr>
        <w:pStyle w:val="110"/>
        <w:spacing w:line="200" w:lineRule="atLeast"/>
        <w:rPr>
          <w:sz w:val="24"/>
          <w:szCs w:val="24"/>
        </w:rPr>
      </w:pPr>
      <w:r>
        <w:rPr>
          <w:sz w:val="24"/>
          <w:szCs w:val="24"/>
        </w:rPr>
        <w:t>Список литературы</w:t>
      </w:r>
    </w:p>
    <w:p w:rsidR="00984D29" w:rsidRDefault="00AA22F2">
      <w:pPr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Бердій Я.І., Джигирей В.С., Кидисюк А.І. та ін. Основи екології та охрана навколишнього природного середовища. Навчальний посібник для вузів. Л, 1999г.</w:t>
      </w:r>
    </w:p>
    <w:p w:rsidR="00984D29" w:rsidRDefault="00AA22F2">
      <w:pPr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Білявський Г.О. та ін. Основи загальної екології: Підручник/ Г.О. Білявський, М.М. Падун, Р.С. Фуррдуй. – 2-е вид., зі змінами., К.: Либідь, 1995.-368с.</w:t>
      </w:r>
    </w:p>
    <w:p w:rsidR="00984D29" w:rsidRDefault="00AA22F2">
      <w:pPr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Экономика природопользования / Под. Ред. Т.С.Хачатурова, М.: Изд-во МГУ, 1991, 271 с.</w:t>
      </w:r>
    </w:p>
    <w:p w:rsidR="00984D29" w:rsidRDefault="00AA22F2">
      <w:pPr>
        <w:numPr>
          <w:ilvl w:val="0"/>
          <w:numId w:val="2"/>
        </w:numPr>
        <w:tabs>
          <w:tab w:val="left" w:pos="360"/>
        </w:tabs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Методологический центр ЭКОЛАЙН  </w:t>
      </w:r>
      <w:r w:rsidRPr="00691F1D">
        <w:rPr>
          <w:lang w:val="en-US"/>
        </w:rPr>
        <w:t>http://www.cci.glasnet.ru/books</w:t>
      </w:r>
      <w:r>
        <w:rPr>
          <w:sz w:val="24"/>
          <w:szCs w:val="24"/>
        </w:rPr>
        <w:t xml:space="preserve"> </w:t>
      </w:r>
    </w:p>
    <w:p w:rsidR="00984D29" w:rsidRDefault="00984D29">
      <w:pPr>
        <w:jc w:val="both"/>
        <w:rPr>
          <w:sz w:val="24"/>
          <w:szCs w:val="24"/>
        </w:rPr>
      </w:pPr>
    </w:p>
    <w:p w:rsidR="00984D29" w:rsidRDefault="00984D29">
      <w:pPr>
        <w:jc w:val="both"/>
        <w:rPr>
          <w:sz w:val="24"/>
          <w:szCs w:val="24"/>
        </w:rPr>
      </w:pPr>
    </w:p>
    <w:p w:rsidR="00984D29" w:rsidRDefault="00984D29">
      <w:pPr>
        <w:jc w:val="both"/>
        <w:rPr>
          <w:sz w:val="24"/>
          <w:szCs w:val="24"/>
        </w:rPr>
      </w:pPr>
      <w:bookmarkStart w:id="0" w:name="_GoBack"/>
      <w:bookmarkEnd w:id="0"/>
    </w:p>
    <w:sectPr w:rsidR="00984D29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Nimbus Sans L">
    <w:altName w:val="Arial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RTF_Num 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RTF_Num 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RTF_Num 5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3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22F2"/>
    <w:rsid w:val="00691F1D"/>
    <w:rsid w:val="00984D29"/>
    <w:rsid w:val="00AA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D8EB-9E31-4FDF-88E4-3CA442B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31">
    <w:name w:val="RTF_Num 3 1"/>
    <w:rPr>
      <w:rFonts w:ascii="Wingdings" w:eastAsia="Wingdings" w:hAnsi="Wingdings" w:cs="Wingdings"/>
    </w:rPr>
  </w:style>
  <w:style w:type="character" w:customStyle="1" w:styleId="RTFNum41">
    <w:name w:val="RTF_Num 4 1"/>
  </w:style>
  <w:style w:type="character" w:customStyle="1" w:styleId="1">
    <w:name w:val="Шрифт абзацу за промовчанням1"/>
  </w:style>
  <w:style w:type="character" w:styleId="a3">
    <w:name w:val="Hyperlink"/>
    <w:basedOn w:val="1"/>
    <w:semiHidden/>
    <w:rPr>
      <w:color w:val="0000FF"/>
      <w:u w:val="single"/>
    </w:rPr>
  </w:style>
  <w:style w:type="character" w:customStyle="1" w:styleId="10">
    <w:name w:val="Номер сторінки1"/>
    <w:basedOn w:val="1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Nimbus Sans L" w:hAnsi="Liberation Sans" w:cs="Nimbus Sans L"/>
      <w:sz w:val="28"/>
      <w:szCs w:val="28"/>
    </w:rPr>
  </w:style>
  <w:style w:type="paragraph" w:styleId="a4">
    <w:name w:val="Body Text"/>
    <w:basedOn w:val="a"/>
    <w:semiHidden/>
    <w:pPr>
      <w:spacing w:after="120"/>
    </w:pPr>
  </w:style>
  <w:style w:type="paragraph" w:styleId="a5">
    <w:name w:val="List"/>
    <w:basedOn w:val="a4"/>
    <w:semiHidden/>
    <w:rPr>
      <w:rFonts w:cs="Nimbus Sans L"/>
    </w:rPr>
  </w:style>
  <w:style w:type="paragraph" w:customStyle="1" w:styleId="1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Nimbus Sans L"/>
    </w:rPr>
  </w:style>
  <w:style w:type="paragraph" w:customStyle="1" w:styleId="110">
    <w:name w:val="Заголовок 11"/>
    <w:basedOn w:val="a"/>
    <w:next w:val="a"/>
    <w:pPr>
      <w:keepNext/>
      <w:tabs>
        <w:tab w:val="left" w:pos="1155"/>
      </w:tabs>
      <w:spacing w:line="360" w:lineRule="auto"/>
      <w:jc w:val="center"/>
    </w:pPr>
    <w:rPr>
      <w:sz w:val="28"/>
      <w:szCs w:val="28"/>
    </w:rPr>
  </w:style>
  <w:style w:type="paragraph" w:customStyle="1" w:styleId="21">
    <w:name w:val="Основний текст 21"/>
    <w:basedOn w:val="a"/>
    <w:pPr>
      <w:ind w:firstLine="360"/>
    </w:pPr>
    <w:rPr>
      <w:sz w:val="32"/>
      <w:szCs w:val="32"/>
    </w:rPr>
  </w:style>
  <w:style w:type="paragraph" w:customStyle="1" w:styleId="210">
    <w:name w:val="Основний текст з відступом 21"/>
    <w:basedOn w:val="a"/>
    <w:pPr>
      <w:spacing w:line="360" w:lineRule="auto"/>
      <w:ind w:firstLine="720"/>
      <w:jc w:val="both"/>
    </w:pPr>
    <w:rPr>
      <w:sz w:val="32"/>
      <w:szCs w:val="32"/>
    </w:rPr>
  </w:style>
  <w:style w:type="paragraph" w:customStyle="1" w:styleId="H3">
    <w:name w:val="H3"/>
    <w:basedOn w:val="a"/>
    <w:next w:val="a"/>
    <w:pPr>
      <w:keepNext/>
      <w:numPr>
        <w:ilvl w:val="3"/>
        <w:numId w:val="4"/>
      </w:numPr>
      <w:spacing w:before="100" w:after="100"/>
      <w:outlineLvl w:val="3"/>
    </w:pPr>
    <w:rPr>
      <w:b/>
      <w:bCs/>
      <w:sz w:val="28"/>
      <w:szCs w:val="28"/>
    </w:rPr>
  </w:style>
  <w:style w:type="paragraph" w:customStyle="1" w:styleId="12">
    <w:name w:val="Нижній колонтитул1"/>
    <w:basedOn w:val="a"/>
    <w:pPr>
      <w:tabs>
        <w:tab w:val="center" w:pos="4153"/>
        <w:tab w:val="right" w:pos="8306"/>
      </w:tabs>
    </w:pPr>
  </w:style>
  <w:style w:type="paragraph" w:customStyle="1" w:styleId="13">
    <w:name w:val="Схема документа1"/>
    <w:basedOn w:val="a"/>
    <w:rPr>
      <w:rFonts w:ascii="Tahoma" w:eastAsia="Tahoma" w:hAnsi="Tahoma" w:cs="Tahoma"/>
    </w:rPr>
  </w:style>
  <w:style w:type="paragraph" w:styleId="a6">
    <w:name w:val="Title"/>
    <w:basedOn w:val="a"/>
    <w:next w:val="a7"/>
    <w:qFormat/>
    <w:pPr>
      <w:spacing w:line="360" w:lineRule="auto"/>
      <w:ind w:firstLine="720"/>
      <w:jc w:val="center"/>
    </w:pPr>
    <w:rPr>
      <w:sz w:val="28"/>
      <w:szCs w:val="28"/>
    </w:rPr>
  </w:style>
  <w:style w:type="paragraph" w:styleId="a7">
    <w:name w:val="Subtitle"/>
    <w:basedOn w:val="Heading"/>
    <w:next w:val="a4"/>
    <w:qFormat/>
    <w:pPr>
      <w:jc w:val="center"/>
    </w:pPr>
    <w:rPr>
      <w:i/>
      <w:iCs/>
    </w:rPr>
  </w:style>
  <w:style w:type="paragraph" w:styleId="a8">
    <w:name w:val="footer"/>
    <w:basedOn w:val="a"/>
    <w:semiHidden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1302</Words>
  <Characters>7428</Characters>
  <Application>Microsoft Office Word</Application>
  <DocSecurity>0</DocSecurity>
  <Lines>61</Lines>
  <Paragraphs>17</Paragraphs>
  <ScaleCrop>false</ScaleCrop>
  <Company>diakov.net</Company>
  <LinksUpToDate>false</LinksUpToDate>
  <CharactersWithSpaces>8713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1899-12-31T22:00:00Z</cp:lastPrinted>
  <dcterms:created xsi:type="dcterms:W3CDTF">2014-10-31T13:18:00Z</dcterms:created>
  <dcterms:modified xsi:type="dcterms:W3CDTF">2014-10-31T13:18:00Z</dcterms:modified>
</cp:coreProperties>
</file>