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29" w:rsidRPr="0065187E" w:rsidRDefault="00CD3429" w:rsidP="00815BC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187E">
        <w:rPr>
          <w:b/>
          <w:color w:val="000000"/>
          <w:sz w:val="28"/>
          <w:szCs w:val="28"/>
        </w:rPr>
        <w:t>1.</w:t>
      </w:r>
      <w:r w:rsidR="00815BC2" w:rsidRPr="0065187E">
        <w:rPr>
          <w:b/>
          <w:color w:val="000000"/>
          <w:sz w:val="28"/>
          <w:szCs w:val="28"/>
        </w:rPr>
        <w:t xml:space="preserve"> </w:t>
      </w:r>
      <w:r w:rsidRPr="0065187E">
        <w:rPr>
          <w:b/>
          <w:color w:val="000000"/>
          <w:sz w:val="28"/>
          <w:szCs w:val="28"/>
        </w:rPr>
        <w:t>Сутність</w:t>
      </w:r>
      <w:r w:rsidR="00815BC2" w:rsidRPr="0065187E">
        <w:rPr>
          <w:b/>
          <w:color w:val="000000"/>
          <w:sz w:val="28"/>
          <w:szCs w:val="28"/>
        </w:rPr>
        <w:t xml:space="preserve"> </w:t>
      </w:r>
      <w:r w:rsidRPr="0065187E">
        <w:rPr>
          <w:b/>
          <w:color w:val="000000"/>
          <w:sz w:val="28"/>
          <w:szCs w:val="28"/>
        </w:rPr>
        <w:t>та</w:t>
      </w:r>
      <w:r w:rsidR="00815BC2" w:rsidRPr="0065187E">
        <w:rPr>
          <w:b/>
          <w:color w:val="000000"/>
          <w:sz w:val="28"/>
          <w:szCs w:val="28"/>
        </w:rPr>
        <w:t xml:space="preserve"> </w:t>
      </w:r>
      <w:r w:rsidRPr="0065187E">
        <w:rPr>
          <w:b/>
          <w:color w:val="000000"/>
          <w:sz w:val="28"/>
          <w:szCs w:val="28"/>
        </w:rPr>
        <w:t>призначення</w:t>
      </w:r>
      <w:r w:rsidR="00815BC2" w:rsidRPr="0065187E">
        <w:rPr>
          <w:b/>
          <w:color w:val="000000"/>
          <w:sz w:val="28"/>
          <w:szCs w:val="28"/>
        </w:rPr>
        <w:t xml:space="preserve"> </w:t>
      </w:r>
      <w:r w:rsidRPr="0065187E">
        <w:rPr>
          <w:b/>
          <w:color w:val="000000"/>
          <w:sz w:val="28"/>
          <w:szCs w:val="28"/>
        </w:rPr>
        <w:t>кредитних</w:t>
      </w:r>
      <w:r w:rsidR="00815BC2" w:rsidRPr="0065187E">
        <w:rPr>
          <w:b/>
          <w:color w:val="000000"/>
          <w:sz w:val="28"/>
          <w:szCs w:val="28"/>
        </w:rPr>
        <w:t xml:space="preserve"> </w:t>
      </w:r>
      <w:r w:rsidRPr="0065187E">
        <w:rPr>
          <w:b/>
          <w:color w:val="000000"/>
          <w:sz w:val="28"/>
          <w:szCs w:val="28"/>
        </w:rPr>
        <w:t>рейтингів</w:t>
      </w: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51D0D" w:rsidRPr="0065187E" w:rsidRDefault="00351D0D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Кредитний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–</w:t>
      </w:r>
      <w:r w:rsidR="004E2619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незалежна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експертна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оцінка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спеціалізованого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ступеню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вказує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ймовірність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непогашення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цього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(імовірність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дефолту).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351D0D" w:rsidRPr="0065187E" w:rsidRDefault="00351D0D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Кредитний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присвоюватися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окремим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інструментам</w:t>
      </w:r>
      <w:r w:rsidRPr="0065187E">
        <w:rPr>
          <w:color w:val="000000"/>
          <w:sz w:val="28"/>
          <w:szCs w:val="28"/>
          <w:lang w:val="uk-UA"/>
        </w:rPr>
        <w:t>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емітентам.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умовн</w:t>
      </w:r>
      <w:r w:rsidRPr="0065187E">
        <w:rPr>
          <w:color w:val="000000"/>
          <w:sz w:val="28"/>
          <w:szCs w:val="28"/>
          <w:lang w:val="uk-UA"/>
        </w:rPr>
        <w:t>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вираження</w:t>
      </w:r>
      <w:r w:rsidRPr="0065187E">
        <w:rPr>
          <w:color w:val="000000"/>
          <w:sz w:val="28"/>
          <w:szCs w:val="28"/>
          <w:lang w:val="uk-UA"/>
        </w:rPr>
        <w:t>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кредитоспроможності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цілому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позичальника)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або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окремих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інструментів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зобов'язання)</w:t>
      </w:r>
      <w:r w:rsidR="00815BC2" w:rsidRPr="0065187E">
        <w:rPr>
          <w:color w:val="000000"/>
          <w:sz w:val="28"/>
          <w:szCs w:val="28"/>
        </w:rPr>
        <w:t xml:space="preserve"> </w:t>
      </w:r>
      <w:r w:rsidR="004A2A9E" w:rsidRPr="0065187E">
        <w:rPr>
          <w:color w:val="000000"/>
          <w:sz w:val="28"/>
          <w:szCs w:val="28"/>
        </w:rPr>
        <w:t>[5]</w:t>
      </w:r>
      <w:r w:rsidRPr="0065187E">
        <w:rPr>
          <w:color w:val="000000"/>
          <w:sz w:val="28"/>
          <w:szCs w:val="28"/>
        </w:rPr>
        <w:t>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CD3429" w:rsidRPr="0065187E" w:rsidRDefault="00351D0D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Кредитні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</w:t>
      </w:r>
      <w:r w:rsidR="00CD3429" w:rsidRPr="0065187E">
        <w:rPr>
          <w:color w:val="000000"/>
          <w:sz w:val="28"/>
          <w:szCs w:val="28"/>
        </w:rPr>
        <w:t>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світових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фінансових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ринках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своєрідними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візитними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картками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емітентів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їх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паперів</w:t>
      </w:r>
      <w:r w:rsidRPr="0065187E">
        <w:rPr>
          <w:color w:val="000000"/>
          <w:sz w:val="28"/>
          <w:szCs w:val="28"/>
        </w:rPr>
        <w:t>,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які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вказують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якість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об'єкта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інвестування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(здатність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емітента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швидко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ефективно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погашати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свою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заборгованість).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Перші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паперів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були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надруковані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1909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року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Джоном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Муди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результатами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аналізу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інвестицій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цінні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папери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залізничних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компаній.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Попервах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подібна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інформація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сприйнялась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інвесторами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великим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ентузіазмом.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Але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реакція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багатьох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компаній-емітентів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банків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була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негативною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внаслідок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незадоволення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низькими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рейтингами,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наданими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їх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цінним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паперам.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351D0D" w:rsidRPr="0065187E" w:rsidRDefault="00351D0D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розрахунковими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показниками,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обчислюваними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замовленнями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незалежними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агентствами,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допомагають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інвесторам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посередникам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скласти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уявлення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щодо: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інвестиційного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клімату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країни,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знаходиться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емітент;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самого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показників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визначити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граничні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рівні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вкладання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коштів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порівняти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різні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можливості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інвестування.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CD3429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Величина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впливає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розмір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відсоткової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ставки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облігаціях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ринкову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вартість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компанії.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виділити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два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види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рейтингів: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CD3429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першої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групи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належать: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(суверенний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рейтинг)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окремих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територій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межах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іноземних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інвесторів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важливим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чинником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прийнятті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рішення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вкладення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капіталів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іншої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країни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країни-реципієнта.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CD3429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Кредитний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показником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оцінки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платоспроможності,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засвідчує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ступінь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неповернення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кредитів.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Вважається,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територій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усередині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компаній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території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можуть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перевищувати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Тобто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величина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своєрідним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обмеженням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місцевих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органів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влади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окремих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компаній.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CD3429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другої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групи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належать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конкретних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поділяються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короткострокові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довгострокові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(схеми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визначення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суттєво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різняться).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CD3429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Зовні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видаватися,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отримує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Але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фактично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присвоюється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конкретному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випуску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різні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присвоєні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різним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випускам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Так,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старших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бути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одного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класу,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молодших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іншого,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нижчого.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Таблиці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регулярно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публікуються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спеціальних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виданнях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розділах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періодики.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аналізі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платоспроможності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оцінюванні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невиконання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кожному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разі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використовують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особливі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прийоми.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Але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більшості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випадків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обчислення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враховується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декілька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факторів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4A2A9E" w:rsidRPr="0065187E">
        <w:rPr>
          <w:color w:val="000000"/>
          <w:sz w:val="28"/>
          <w:szCs w:val="28"/>
        </w:rPr>
        <w:t>[6]</w:t>
      </w:r>
      <w:r w:rsidRPr="0065187E">
        <w:rPr>
          <w:color w:val="000000"/>
          <w:sz w:val="28"/>
          <w:szCs w:val="28"/>
        </w:rPr>
        <w:t>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CD3429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підставі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робити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висновок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фірми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перспективи.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Всі,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хто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регулярно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слідкує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кон'юнктурою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ринку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(банки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небанківські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інституції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ринку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управляючі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інвестиційними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портфелями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нефінансових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компаній),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користуються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інформацією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звільняє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інвесторів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необхідності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самостійного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оцінювання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чи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іншого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випуску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паперів.</w:t>
      </w:r>
    </w:p>
    <w:p w:rsidR="00351D0D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Кредитний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використовується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учасниками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ринку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прийняття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рішень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кредитування,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страхування,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лізингу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будь-яких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інших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ситуаціях,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необхідна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оцінка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кредитоспроможності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стійкості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можливого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ділового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партнера.</w:t>
      </w:r>
    </w:p>
    <w:p w:rsidR="00351D0D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зазвичай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присвоюють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спеціалізовані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установи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інформаційно-аналітичного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профілю,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називаються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агентствами.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Найвідоміші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світі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агентства,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надають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такі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послуги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–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Standard&amp;Poor’s,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Moody’s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Fitch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IBSA.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Саме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мають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найдавнішу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історію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ринку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рейтингування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користуються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найбільшою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довірою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серед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учасників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ринку.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78092B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Рейтингова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оцінка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підвищує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прозорість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інформації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підприємство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або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емітента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цінних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паперів,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поліпшує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його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репутацію,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може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викликати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зниження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витрат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залученні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позикових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коштів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або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усунути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необхідність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одержання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гарантій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застав,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формує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позитивний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імідж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фінансовому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ринку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4A2A9E" w:rsidRPr="0065187E">
        <w:rPr>
          <w:color w:val="000000"/>
          <w:sz w:val="28"/>
          <w:szCs w:val="28"/>
          <w:lang w:val="uk-UA"/>
        </w:rPr>
        <w:t>[4]</w:t>
      </w:r>
      <w:r w:rsidRPr="0065187E">
        <w:rPr>
          <w:color w:val="000000"/>
          <w:sz w:val="28"/>
          <w:szCs w:val="28"/>
          <w:lang w:val="uk-UA"/>
        </w:rPr>
        <w:t>.</w:t>
      </w:r>
    </w:p>
    <w:p w:rsidR="00CD3429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CD3429" w:rsidRPr="0065187E" w:rsidRDefault="00351D0D" w:rsidP="00815BC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187E">
        <w:rPr>
          <w:b/>
          <w:color w:val="000000"/>
          <w:sz w:val="28"/>
          <w:szCs w:val="28"/>
        </w:rPr>
        <w:t>2.</w:t>
      </w:r>
      <w:r w:rsidR="00815BC2" w:rsidRPr="0065187E">
        <w:rPr>
          <w:b/>
          <w:color w:val="000000"/>
          <w:sz w:val="28"/>
          <w:szCs w:val="28"/>
        </w:rPr>
        <w:t xml:space="preserve"> </w:t>
      </w:r>
      <w:r w:rsidR="00BE0D7C" w:rsidRPr="0065187E">
        <w:rPr>
          <w:b/>
          <w:color w:val="000000"/>
          <w:sz w:val="28"/>
          <w:szCs w:val="28"/>
        </w:rPr>
        <w:t>Основні</w:t>
      </w:r>
      <w:r w:rsidR="00815BC2" w:rsidRPr="0065187E">
        <w:rPr>
          <w:b/>
          <w:color w:val="000000"/>
          <w:sz w:val="28"/>
          <w:szCs w:val="28"/>
        </w:rPr>
        <w:t xml:space="preserve"> </w:t>
      </w:r>
      <w:r w:rsidR="00BE0D7C" w:rsidRPr="0065187E">
        <w:rPr>
          <w:b/>
          <w:color w:val="000000"/>
          <w:sz w:val="28"/>
          <w:szCs w:val="28"/>
        </w:rPr>
        <w:t>засади</w:t>
      </w:r>
      <w:r w:rsidR="00815BC2" w:rsidRPr="0065187E">
        <w:rPr>
          <w:b/>
          <w:color w:val="000000"/>
          <w:sz w:val="28"/>
          <w:szCs w:val="28"/>
        </w:rPr>
        <w:t xml:space="preserve"> </w:t>
      </w:r>
      <w:r w:rsidRPr="0065187E">
        <w:rPr>
          <w:b/>
          <w:color w:val="000000"/>
          <w:sz w:val="28"/>
          <w:szCs w:val="28"/>
        </w:rPr>
        <w:t>визначення</w:t>
      </w:r>
      <w:r w:rsidR="00815BC2" w:rsidRPr="0065187E">
        <w:rPr>
          <w:b/>
          <w:color w:val="000000"/>
          <w:sz w:val="28"/>
          <w:szCs w:val="28"/>
        </w:rPr>
        <w:t xml:space="preserve"> </w:t>
      </w:r>
      <w:r w:rsidRPr="0065187E">
        <w:rPr>
          <w:b/>
          <w:color w:val="000000"/>
          <w:sz w:val="28"/>
          <w:szCs w:val="28"/>
        </w:rPr>
        <w:t>кредитних</w:t>
      </w:r>
      <w:r w:rsidR="00815BC2" w:rsidRPr="0065187E">
        <w:rPr>
          <w:b/>
          <w:color w:val="000000"/>
          <w:sz w:val="28"/>
          <w:szCs w:val="28"/>
        </w:rPr>
        <w:t xml:space="preserve"> </w:t>
      </w:r>
      <w:r w:rsidRPr="0065187E">
        <w:rPr>
          <w:b/>
          <w:color w:val="000000"/>
          <w:sz w:val="28"/>
          <w:szCs w:val="28"/>
        </w:rPr>
        <w:t>рейтингів</w:t>
      </w: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65E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Принципи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надання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послуг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–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принципи</w:t>
      </w:r>
      <w:r w:rsidR="00BE0D7C" w:rsidRPr="0065187E">
        <w:rPr>
          <w:color w:val="000000"/>
          <w:sz w:val="28"/>
          <w:szCs w:val="28"/>
        </w:rPr>
        <w:t>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працюють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агентства.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Найважливішими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є:</w:t>
      </w:r>
    </w:p>
    <w:p w:rsidR="003D65E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Цілісність: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співробітники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повинні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дотримуватись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усіх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чинних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законів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нормативно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правових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актів,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регулюють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діяльність</w:t>
      </w:r>
    </w:p>
    <w:p w:rsidR="003D65E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Незалежність: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незалежною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думкою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кредитоспроможності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3D65E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Публічність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аналітичних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критеріїв: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найважливіша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практика,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дає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інвесторам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повне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уявлення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методики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інформаційно-аналітичних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оцінки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ризиків.</w:t>
      </w:r>
    </w:p>
    <w:p w:rsidR="00040851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Колегіальність: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процедура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ухвалення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рішення,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дозволяє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виключити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будь-яку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можливість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маніпуляції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думкою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аналітиків,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відповідальних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аналіз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або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іншого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Зазвичай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створюється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комітет,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важливим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механізмом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процесі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присвоєння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гарантує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неупередженість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оцінки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аналітиків,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контроль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безперспективність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тиску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думку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аналітиків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стороніх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осіб.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Інтерактивність: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принцип,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побудовано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взаємодію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емітентом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процесі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присвоєння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подальшого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спостереження.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аналізі,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перш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все,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бере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інформацію,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одержану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самого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детальне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обговорення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всіх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можливих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ситуацій,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здатних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вплинути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кредитоспроможність.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Інтерактивність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має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увазі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регулярні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зустрічі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керівництвом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постійний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інформаційний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контакт,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дозволяє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оперативно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реагувати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зміни,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відбуваються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управлінні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компанії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стані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4A2A9E" w:rsidRPr="0065187E">
        <w:rPr>
          <w:color w:val="000000"/>
          <w:sz w:val="28"/>
          <w:szCs w:val="28"/>
        </w:rPr>
        <w:t>[2]</w:t>
      </w:r>
      <w:r w:rsidRPr="0065187E">
        <w:rPr>
          <w:color w:val="000000"/>
          <w:sz w:val="28"/>
          <w:szCs w:val="28"/>
        </w:rPr>
        <w:t>.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Обчислення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потребує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окремого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розгляду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політичних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ризиків.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Показники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політичного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відображають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бажання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реципієнта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платити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зобов'язаннях,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показники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відповідають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запитання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можливості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платити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зобов'язаннях.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Кожне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агентство,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звичайно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ж,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має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методики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обчислення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але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всі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такі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враховують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економічний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політичний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країни.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Перелік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інформації,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використовується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обчисленні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включає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такі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«опорні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пункти»: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Політичні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ризики: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форма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правління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політичні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інститути;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демократичність;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порядок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зміни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керівництва;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можливість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досягнення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угоди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економічній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політиці;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ступінь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інтегрованості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світову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торговельну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фінансову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системи;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зовнішня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внутрішня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безпека.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Доходи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економічна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структура: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рівень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життя,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доходів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розподіл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благ;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ринковість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економіки;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багатство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ресурсів,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рівень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диверсифікації.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Прогноз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економічного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зростання: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розмір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склад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накопичень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інвестицій;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рівень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модель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економічного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зростання.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Гнучкість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фіскальної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політики: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стан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державного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бюджету;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податкова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система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гнучкість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податкових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ставок;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видатки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бюджету.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Борги: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загальні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активи;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капіта</w:t>
      </w:r>
      <w:r w:rsidR="00557928" w:rsidRPr="0065187E">
        <w:rPr>
          <w:color w:val="000000"/>
          <w:sz w:val="28"/>
          <w:szCs w:val="28"/>
          <w:lang w:val="uk-UA"/>
        </w:rPr>
        <w:t>льна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557928"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557928" w:rsidRPr="0065187E">
        <w:rPr>
          <w:color w:val="000000"/>
          <w:sz w:val="28"/>
          <w:szCs w:val="28"/>
          <w:lang w:val="uk-UA"/>
        </w:rPr>
        <w:t>поточна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557928" w:rsidRPr="0065187E">
        <w:rPr>
          <w:color w:val="000000"/>
          <w:sz w:val="28"/>
          <w:szCs w:val="28"/>
          <w:lang w:val="uk-UA"/>
        </w:rPr>
        <w:t>заборгованість;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валютний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склад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структура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боргу;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Пенсійний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фонд;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непередбачені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видатки.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Стабільність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цін: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тенденції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цін;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рівень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зростання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грошової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маси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кредитів;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політика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обмінного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курсу;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рівень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автономності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Центрального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банку.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Гнучкість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платіжного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балансу: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вплив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фіскальної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грошової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політики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зовнішні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рахунки;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структура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балансу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поточних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операцій;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склад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балансу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руху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капіталів.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Зовнішній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ліквідність:</w:t>
      </w:r>
    </w:p>
    <w:p w:rsidR="00BE0D7C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розмір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валютний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склад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зовнішнього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боргу;</w:t>
      </w:r>
    </w:p>
    <w:p w:rsidR="00BE0D7C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роль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банків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формуванні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ресурсів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держави;</w:t>
      </w:r>
    </w:p>
    <w:p w:rsidR="00BE0D7C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структура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(коротко-,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довгостроковий)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вартість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обслуговування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зовнішнього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боргу;</w:t>
      </w:r>
    </w:p>
    <w:p w:rsidR="00BE0D7C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кредитна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історія;</w:t>
      </w:r>
    </w:p>
    <w:p w:rsidR="00040851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рівень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склад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резервів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інших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активів.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</w:p>
    <w:p w:rsidR="00040851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Окрім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наведеного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переліку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обчисленні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певної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держави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враховуються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різноманітні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специфічні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чинники.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557928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обчислення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необхідною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платоспроможності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обсягу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структури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боргу,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стабільності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грошових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потоків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тощо.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відсутності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достатньої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встановлюється.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Постійної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формули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розрахунку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існує.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Але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практика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показує,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переліку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чинників,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враховуються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обчисленні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облігацій,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входять: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різноманітні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коефіцієнти,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що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характеризують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надійність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повернення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зобов'язання;</w:t>
      </w:r>
    </w:p>
    <w:p w:rsidR="00557928" w:rsidRPr="0065187E" w:rsidRDefault="00040851" w:rsidP="00815BC2">
      <w:pPr>
        <w:tabs>
          <w:tab w:val="num" w:pos="90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забезпеченість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заставою;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підпорядкованість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даної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облігації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557928" w:rsidRPr="0065187E">
        <w:rPr>
          <w:color w:val="000000"/>
          <w:sz w:val="28"/>
          <w:szCs w:val="28"/>
          <w:lang w:val="uk-UA"/>
        </w:rPr>
        <w:t>іншому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557928" w:rsidRPr="0065187E">
        <w:rPr>
          <w:color w:val="000000"/>
          <w:sz w:val="28"/>
          <w:szCs w:val="28"/>
          <w:lang w:val="uk-UA"/>
        </w:rPr>
        <w:t>борговому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557928" w:rsidRPr="0065187E">
        <w:rPr>
          <w:color w:val="000000"/>
          <w:sz w:val="28"/>
          <w:szCs w:val="28"/>
          <w:lang w:val="uk-UA"/>
        </w:rPr>
        <w:t>зобов'язанню;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наявність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гарантій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облігаціях;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наявність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грошового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фонду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(амортизаційного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фонду)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для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забезпечення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регулярних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відсоткових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плате</w:t>
      </w:r>
      <w:r w:rsidR="00557928" w:rsidRPr="0065187E">
        <w:rPr>
          <w:color w:val="000000"/>
          <w:sz w:val="28"/>
          <w:szCs w:val="28"/>
          <w:lang w:val="uk-UA"/>
        </w:rPr>
        <w:t>жів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557928" w:rsidRPr="0065187E">
        <w:rPr>
          <w:color w:val="000000"/>
          <w:sz w:val="28"/>
          <w:szCs w:val="28"/>
          <w:lang w:val="uk-UA"/>
        </w:rPr>
        <w:t>по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557928" w:rsidRPr="0065187E">
        <w:rPr>
          <w:color w:val="000000"/>
          <w:sz w:val="28"/>
          <w:szCs w:val="28"/>
          <w:lang w:val="uk-UA"/>
        </w:rPr>
        <w:t>боргових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557928" w:rsidRPr="0065187E">
        <w:rPr>
          <w:color w:val="000000"/>
          <w:sz w:val="28"/>
          <w:szCs w:val="28"/>
          <w:lang w:val="uk-UA"/>
        </w:rPr>
        <w:t>цінних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557928" w:rsidRPr="0065187E">
        <w:rPr>
          <w:color w:val="000000"/>
          <w:sz w:val="28"/>
          <w:szCs w:val="28"/>
          <w:lang w:val="uk-UA"/>
        </w:rPr>
        <w:t>паперах;</w:t>
      </w:r>
    </w:p>
    <w:p w:rsidR="00557928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строк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платежу;</w:t>
      </w:r>
    </w:p>
    <w:p w:rsidR="00A64824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стабільність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компанії-емітента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(стабільність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отримання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компанією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доходів,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числі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прибутків);</w:t>
      </w:r>
    </w:p>
    <w:p w:rsidR="00A64824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ступінь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регульованості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компанії-емітента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боку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державного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місцевого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законодавства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(це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особливо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важливо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для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переробних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підприємств,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залізниць,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телефонних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компаній);</w:t>
      </w:r>
    </w:p>
    <w:p w:rsidR="00A64824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чи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підпадають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дії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компанії-емітента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під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положення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антимонопольного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законодавства;</w:t>
      </w:r>
    </w:p>
    <w:p w:rsidR="00A64824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частка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зовнішніх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операцій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діяльності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компанії;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політичний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клімат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країни,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здійснюються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такі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операції:</w:t>
      </w:r>
    </w:p>
    <w:p w:rsidR="00A64824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наявність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необхідність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значних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витрат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компанії-емітента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обладнання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для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контролю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станом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навколишнього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середовища;</w:t>
      </w:r>
    </w:p>
    <w:p w:rsidR="00A64824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надійність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товарів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послуг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компанії-емітента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позицій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сприйняття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їх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ринком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(наприклад,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негативне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сприйняття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споживачами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продукції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тютюнових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компаній);</w:t>
      </w:r>
    </w:p>
    <w:p w:rsidR="00A64824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наявність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компанії-емітента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пенсійних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зобов'язань,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забезпечених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реальними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грошовими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потоками;</w:t>
      </w:r>
    </w:p>
    <w:p w:rsidR="00A64824" w:rsidRPr="0065187E" w:rsidRDefault="00040851" w:rsidP="00815BC2">
      <w:pPr>
        <w:numPr>
          <w:ilvl w:val="0"/>
          <w:numId w:val="1"/>
        </w:numPr>
        <w:tabs>
          <w:tab w:val="clear" w:pos="1080"/>
          <w:tab w:val="num" w:pos="9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можливість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виникнення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трудових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конфліктів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компанії-емітента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(це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може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бути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актуальним,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наприклад,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для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авіакомпаній);</w:t>
      </w:r>
    </w:p>
    <w:p w:rsidR="00040851" w:rsidRPr="0065187E" w:rsidRDefault="00040851" w:rsidP="00815BC2">
      <w:pPr>
        <w:tabs>
          <w:tab w:val="num" w:pos="90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облікова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політика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компанії-емітента.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</w:p>
    <w:p w:rsidR="00A64824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Залежно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від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ризику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несплати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цінні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папери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розподіляються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такі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класи:</w:t>
      </w:r>
    </w:p>
    <w:p w:rsidR="00A64824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1)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папери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найвищої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якості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</w:t>
      </w:r>
      <w:r w:rsidRPr="0065187E">
        <w:rPr>
          <w:color w:val="000000"/>
          <w:sz w:val="28"/>
          <w:szCs w:val="28"/>
          <w:lang w:val="en-US"/>
        </w:rPr>
        <w:t>highest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en-US"/>
        </w:rPr>
        <w:t>quality</w:t>
      </w:r>
      <w:r w:rsidRPr="0065187E">
        <w:rPr>
          <w:color w:val="000000"/>
          <w:sz w:val="28"/>
          <w:szCs w:val="28"/>
          <w:lang w:val="uk-UA"/>
        </w:rPr>
        <w:t>);</w:t>
      </w:r>
    </w:p>
    <w:p w:rsidR="00A64824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2)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папери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дуже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хорошої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якості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</w:t>
      </w:r>
      <w:r w:rsidRPr="0065187E">
        <w:rPr>
          <w:color w:val="000000"/>
          <w:sz w:val="28"/>
          <w:szCs w:val="28"/>
        </w:rPr>
        <w:t>very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good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quality</w:t>
      </w:r>
      <w:r w:rsidRPr="0065187E">
        <w:rPr>
          <w:color w:val="000000"/>
          <w:sz w:val="28"/>
          <w:szCs w:val="28"/>
          <w:lang w:val="uk-UA"/>
        </w:rPr>
        <w:t>);</w:t>
      </w:r>
    </w:p>
    <w:p w:rsidR="00A64824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3)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папери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хорошої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якості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</w:t>
      </w:r>
      <w:r w:rsidRPr="0065187E">
        <w:rPr>
          <w:color w:val="000000"/>
          <w:sz w:val="28"/>
          <w:szCs w:val="28"/>
        </w:rPr>
        <w:t>good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quality</w:t>
      </w:r>
      <w:r w:rsidRPr="0065187E">
        <w:rPr>
          <w:color w:val="000000"/>
          <w:sz w:val="28"/>
          <w:szCs w:val="28"/>
          <w:lang w:val="uk-UA"/>
        </w:rPr>
        <w:t>);</w:t>
      </w:r>
    </w:p>
    <w:p w:rsidR="00A64824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4)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папери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середнього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класу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</w:t>
      </w:r>
      <w:r w:rsidRPr="0065187E">
        <w:rPr>
          <w:color w:val="000000"/>
          <w:sz w:val="28"/>
          <w:szCs w:val="28"/>
        </w:rPr>
        <w:t>medium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grade</w:t>
      </w:r>
      <w:r w:rsidRPr="0065187E">
        <w:rPr>
          <w:color w:val="000000"/>
          <w:sz w:val="28"/>
          <w:szCs w:val="28"/>
          <w:lang w:val="uk-UA"/>
        </w:rPr>
        <w:t>);</w:t>
      </w:r>
    </w:p>
    <w:p w:rsidR="00A64824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5)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папери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нижчого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середнього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класу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</w:t>
      </w:r>
      <w:r w:rsidRPr="0065187E">
        <w:rPr>
          <w:color w:val="000000"/>
          <w:sz w:val="28"/>
          <w:szCs w:val="28"/>
        </w:rPr>
        <w:t>lower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madium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grade</w:t>
      </w:r>
      <w:r w:rsidRPr="0065187E">
        <w:rPr>
          <w:color w:val="000000"/>
          <w:sz w:val="28"/>
          <w:szCs w:val="28"/>
          <w:lang w:val="uk-UA"/>
        </w:rPr>
        <w:t>);</w:t>
      </w:r>
    </w:p>
    <w:p w:rsidR="00A64824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6)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папери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низької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якості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</w:t>
      </w:r>
      <w:r w:rsidRPr="0065187E">
        <w:rPr>
          <w:color w:val="000000"/>
          <w:sz w:val="28"/>
          <w:szCs w:val="28"/>
        </w:rPr>
        <w:t>poor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quality</w:t>
      </w:r>
      <w:r w:rsidRPr="0065187E">
        <w:rPr>
          <w:color w:val="000000"/>
          <w:sz w:val="28"/>
          <w:szCs w:val="28"/>
          <w:lang w:val="uk-UA"/>
        </w:rPr>
        <w:t>);</w:t>
      </w:r>
    </w:p>
    <w:p w:rsidR="00A64824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7)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спекулятивні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папери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</w:t>
      </w:r>
      <w:r w:rsidRPr="0065187E">
        <w:rPr>
          <w:color w:val="000000"/>
          <w:sz w:val="28"/>
          <w:szCs w:val="28"/>
        </w:rPr>
        <w:t>speculative</w:t>
      </w:r>
      <w:r w:rsidRPr="0065187E">
        <w:rPr>
          <w:color w:val="000000"/>
          <w:sz w:val="28"/>
          <w:szCs w:val="28"/>
          <w:lang w:val="uk-UA"/>
        </w:rPr>
        <w:t>);</w:t>
      </w:r>
    </w:p>
    <w:p w:rsidR="00040851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8)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папери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найнижчої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якості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</w:t>
      </w:r>
      <w:r w:rsidRPr="0065187E">
        <w:rPr>
          <w:color w:val="000000"/>
          <w:sz w:val="28"/>
          <w:szCs w:val="28"/>
        </w:rPr>
        <w:t>lowest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quality</w:t>
      </w:r>
      <w:r w:rsidRPr="0065187E">
        <w:rPr>
          <w:color w:val="000000"/>
          <w:sz w:val="28"/>
          <w:szCs w:val="28"/>
          <w:lang w:val="uk-UA"/>
        </w:rPr>
        <w:t>/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default</w:t>
      </w:r>
      <w:r w:rsidRPr="0065187E">
        <w:rPr>
          <w:color w:val="000000"/>
          <w:sz w:val="28"/>
          <w:szCs w:val="28"/>
          <w:lang w:val="uk-UA"/>
        </w:rPr>
        <w:t>).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</w:p>
    <w:p w:rsidR="00E179D0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Кожен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класів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має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свій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символ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класифікацією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інвестиційних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4A2A9E" w:rsidRPr="0065187E">
        <w:rPr>
          <w:color w:val="000000"/>
          <w:sz w:val="28"/>
          <w:szCs w:val="28"/>
        </w:rPr>
        <w:t>[4]</w:t>
      </w:r>
      <w:r w:rsidR="00E179D0" w:rsidRPr="0065187E">
        <w:rPr>
          <w:color w:val="000000"/>
          <w:sz w:val="28"/>
          <w:szCs w:val="28"/>
          <w:lang w:val="uk-UA"/>
        </w:rPr>
        <w:t>.</w:t>
      </w:r>
    </w:p>
    <w:p w:rsidR="00E179D0" w:rsidRPr="0065187E" w:rsidRDefault="00E179D0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40851" w:rsidRPr="0065187E" w:rsidRDefault="00E179D0" w:rsidP="00815BC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5187E">
        <w:rPr>
          <w:b/>
          <w:color w:val="000000"/>
          <w:sz w:val="28"/>
          <w:szCs w:val="28"/>
          <w:lang w:val="uk-UA"/>
        </w:rPr>
        <w:t>3.</w:t>
      </w:r>
      <w:r w:rsidR="00815BC2" w:rsidRPr="0065187E">
        <w:rPr>
          <w:b/>
          <w:color w:val="000000"/>
          <w:sz w:val="28"/>
          <w:szCs w:val="28"/>
          <w:lang w:val="uk-UA"/>
        </w:rPr>
        <w:t xml:space="preserve"> </w:t>
      </w:r>
      <w:r w:rsidRPr="0065187E">
        <w:rPr>
          <w:b/>
          <w:color w:val="000000"/>
          <w:sz w:val="28"/>
          <w:szCs w:val="28"/>
          <w:lang w:val="uk-UA"/>
        </w:rPr>
        <w:t>Зарубіжний</w:t>
      </w:r>
      <w:r w:rsidR="00815BC2" w:rsidRPr="0065187E">
        <w:rPr>
          <w:b/>
          <w:color w:val="000000"/>
          <w:sz w:val="28"/>
          <w:szCs w:val="28"/>
          <w:lang w:val="uk-UA"/>
        </w:rPr>
        <w:t xml:space="preserve"> </w:t>
      </w:r>
      <w:r w:rsidRPr="0065187E">
        <w:rPr>
          <w:b/>
          <w:color w:val="000000"/>
          <w:sz w:val="28"/>
          <w:szCs w:val="28"/>
          <w:lang w:val="uk-UA"/>
        </w:rPr>
        <w:t>досвід</w:t>
      </w:r>
      <w:r w:rsidR="00815BC2" w:rsidRPr="0065187E">
        <w:rPr>
          <w:b/>
          <w:color w:val="000000"/>
          <w:sz w:val="28"/>
          <w:szCs w:val="28"/>
          <w:lang w:val="uk-UA"/>
        </w:rPr>
        <w:t xml:space="preserve"> </w:t>
      </w:r>
      <w:r w:rsidRPr="0065187E">
        <w:rPr>
          <w:b/>
          <w:color w:val="000000"/>
          <w:sz w:val="28"/>
          <w:szCs w:val="28"/>
          <w:lang w:val="uk-UA"/>
        </w:rPr>
        <w:t>та</w:t>
      </w:r>
      <w:r w:rsidR="00815BC2" w:rsidRPr="0065187E">
        <w:rPr>
          <w:b/>
          <w:color w:val="000000"/>
          <w:sz w:val="28"/>
          <w:szCs w:val="28"/>
          <w:lang w:val="uk-UA"/>
        </w:rPr>
        <w:t xml:space="preserve"> </w:t>
      </w:r>
      <w:r w:rsidRPr="0065187E">
        <w:rPr>
          <w:b/>
          <w:color w:val="000000"/>
          <w:sz w:val="28"/>
          <w:szCs w:val="28"/>
          <w:lang w:val="uk-UA"/>
        </w:rPr>
        <w:t>вітчизняні</w:t>
      </w:r>
      <w:r w:rsidR="00815BC2" w:rsidRPr="0065187E">
        <w:rPr>
          <w:b/>
          <w:color w:val="000000"/>
          <w:sz w:val="28"/>
          <w:szCs w:val="28"/>
          <w:lang w:val="uk-UA"/>
        </w:rPr>
        <w:t xml:space="preserve"> </w:t>
      </w:r>
      <w:r w:rsidRPr="0065187E">
        <w:rPr>
          <w:b/>
          <w:color w:val="000000"/>
          <w:sz w:val="28"/>
          <w:szCs w:val="28"/>
          <w:lang w:val="uk-UA"/>
        </w:rPr>
        <w:t>методики</w:t>
      </w:r>
      <w:r w:rsidR="00815BC2" w:rsidRPr="0065187E">
        <w:rPr>
          <w:b/>
          <w:color w:val="000000"/>
          <w:sz w:val="28"/>
          <w:szCs w:val="28"/>
          <w:lang w:val="uk-UA"/>
        </w:rPr>
        <w:t xml:space="preserve"> </w:t>
      </w:r>
      <w:r w:rsidRPr="0065187E">
        <w:rPr>
          <w:b/>
          <w:color w:val="000000"/>
          <w:sz w:val="28"/>
          <w:szCs w:val="28"/>
          <w:lang w:val="uk-UA"/>
        </w:rPr>
        <w:t>рейтингування</w:t>
      </w: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0851" w:rsidRPr="0065187E" w:rsidRDefault="00040851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теперішній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час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світі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існує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ціла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низка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агентств,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проте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найбільшою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популярністю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користуються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обчислені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всесвітньо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відомими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фірмами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Мудиз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(Moody's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Investors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Service,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Moody's),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Стандард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енд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Пурз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(Standard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&amp;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Poor's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Corporation,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S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&amp;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P)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Фіч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Інвесторз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(Fitch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Investors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Service)</w:t>
      </w:r>
      <w:r w:rsidR="00815BC2" w:rsidRPr="0065187E">
        <w:rPr>
          <w:color w:val="000000"/>
          <w:sz w:val="28"/>
          <w:szCs w:val="28"/>
        </w:rPr>
        <w:t xml:space="preserve"> </w:t>
      </w:r>
      <w:r w:rsidR="004A2A9E" w:rsidRPr="0065187E">
        <w:rPr>
          <w:color w:val="000000"/>
          <w:sz w:val="28"/>
          <w:szCs w:val="28"/>
        </w:rPr>
        <w:t>(</w:t>
      </w:r>
      <w:r w:rsidR="004A2A9E" w:rsidRPr="0065187E">
        <w:rPr>
          <w:color w:val="000000"/>
          <w:sz w:val="28"/>
          <w:szCs w:val="28"/>
          <w:lang w:val="uk-UA"/>
        </w:rPr>
        <w:t>табл.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4A2A9E" w:rsidRPr="0065187E">
        <w:rPr>
          <w:color w:val="000000"/>
          <w:sz w:val="28"/>
          <w:szCs w:val="28"/>
          <w:lang w:val="uk-UA"/>
        </w:rPr>
        <w:t>1</w:t>
      </w:r>
      <w:r w:rsidR="004A2A9E" w:rsidRPr="0065187E">
        <w:rPr>
          <w:color w:val="000000"/>
          <w:sz w:val="28"/>
          <w:szCs w:val="28"/>
        </w:rPr>
        <w:t>)</w:t>
      </w:r>
      <w:r w:rsidRPr="0065187E">
        <w:rPr>
          <w:color w:val="000000"/>
          <w:sz w:val="28"/>
          <w:szCs w:val="28"/>
        </w:rPr>
        <w:t>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766151" w:rsidRPr="0065187E" w:rsidRDefault="007661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загальному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вигляді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класи,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що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присвоюються,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означають:</w:t>
      </w:r>
    </w:p>
    <w:p w:rsidR="00766151" w:rsidRPr="0065187E" w:rsidRDefault="007661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Клас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Можливості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виплати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відсотків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високі</w:t>
      </w:r>
    </w:p>
    <w:p w:rsidR="00766151" w:rsidRPr="0065187E" w:rsidRDefault="007661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Клас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Можливості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виплати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відсотків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залежать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внутрішньої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економічної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ситуації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цей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час</w:t>
      </w:r>
    </w:p>
    <w:p w:rsidR="00040851" w:rsidRPr="0065187E" w:rsidRDefault="007661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Клас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Платоспроможність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надто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залежить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внутрішньоекономічної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ситуації</w:t>
      </w:r>
    </w:p>
    <w:p w:rsidR="00766151" w:rsidRPr="0065187E" w:rsidRDefault="00766151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Клас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en-US"/>
        </w:rPr>
        <w:t>D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–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дефолт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4A2A9E" w:rsidRPr="0065187E">
        <w:rPr>
          <w:color w:val="000000"/>
          <w:sz w:val="28"/>
          <w:szCs w:val="28"/>
          <w:lang w:val="uk-UA"/>
        </w:rPr>
        <w:t>[4]</w:t>
      </w:r>
      <w:r w:rsidRPr="0065187E">
        <w:rPr>
          <w:color w:val="000000"/>
          <w:sz w:val="28"/>
          <w:szCs w:val="28"/>
          <w:lang w:val="uk-UA"/>
        </w:rPr>
        <w:t>.</w:t>
      </w: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 xml:space="preserve">Таблиця 1 - Шкала кредитних рейтингів агенцій </w:t>
      </w:r>
      <w:r w:rsidRPr="0065187E">
        <w:rPr>
          <w:color w:val="000000"/>
          <w:sz w:val="28"/>
          <w:szCs w:val="28"/>
          <w:lang w:val="en-US"/>
        </w:rPr>
        <w:t>Moody</w:t>
      </w:r>
      <w:r w:rsidRPr="0065187E">
        <w:rPr>
          <w:color w:val="000000"/>
          <w:sz w:val="28"/>
          <w:szCs w:val="28"/>
          <w:lang w:val="uk-UA"/>
        </w:rPr>
        <w:t>’</w:t>
      </w:r>
      <w:r w:rsidRPr="0065187E">
        <w:rPr>
          <w:color w:val="000000"/>
          <w:sz w:val="28"/>
          <w:szCs w:val="28"/>
          <w:lang w:val="en-US"/>
        </w:rPr>
        <w:t>s</w:t>
      </w:r>
      <w:r w:rsidRPr="0065187E">
        <w:rPr>
          <w:color w:val="000000"/>
          <w:sz w:val="28"/>
          <w:szCs w:val="28"/>
          <w:lang w:val="uk-UA"/>
        </w:rPr>
        <w:t xml:space="preserve">, </w:t>
      </w:r>
      <w:r w:rsidRPr="0065187E">
        <w:rPr>
          <w:color w:val="000000"/>
          <w:sz w:val="28"/>
          <w:szCs w:val="28"/>
          <w:lang w:val="en-US"/>
        </w:rPr>
        <w:t>Standard</w:t>
      </w:r>
      <w:r w:rsidRPr="0065187E">
        <w:rPr>
          <w:color w:val="000000"/>
          <w:sz w:val="28"/>
          <w:szCs w:val="28"/>
          <w:lang w:val="uk-UA"/>
        </w:rPr>
        <w:t>&amp;</w:t>
      </w:r>
      <w:r w:rsidRPr="0065187E">
        <w:rPr>
          <w:color w:val="000000"/>
          <w:sz w:val="28"/>
          <w:szCs w:val="28"/>
          <w:lang w:val="en-US"/>
        </w:rPr>
        <w:t>Poor</w:t>
      </w:r>
      <w:r w:rsidRPr="0065187E">
        <w:rPr>
          <w:color w:val="000000"/>
          <w:sz w:val="28"/>
          <w:szCs w:val="28"/>
          <w:lang w:val="uk-UA"/>
        </w:rPr>
        <w:t>’</w:t>
      </w:r>
      <w:r w:rsidRPr="0065187E">
        <w:rPr>
          <w:color w:val="000000"/>
          <w:sz w:val="28"/>
          <w:szCs w:val="28"/>
          <w:lang w:val="en-US"/>
        </w:rPr>
        <w:t>s</w:t>
      </w:r>
      <w:r w:rsidRPr="0065187E">
        <w:rPr>
          <w:color w:val="000000"/>
          <w:sz w:val="28"/>
          <w:szCs w:val="28"/>
          <w:lang w:val="uk-UA"/>
        </w:rPr>
        <w:t xml:space="preserve"> і </w:t>
      </w:r>
      <w:r w:rsidRPr="0065187E">
        <w:rPr>
          <w:color w:val="000000"/>
          <w:sz w:val="28"/>
          <w:szCs w:val="28"/>
          <w:lang w:val="en-US"/>
        </w:rPr>
        <w:t>Fitch</w:t>
      </w:r>
    </w:p>
    <w:p w:rsidR="00766151" w:rsidRPr="0065187E" w:rsidRDefault="002D22BA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447.75pt">
            <v:imagedata r:id="rId7" o:title=""/>
          </v:shape>
        </w:pict>
      </w:r>
    </w:p>
    <w:p w:rsidR="00BE0D7C" w:rsidRPr="0065187E" w:rsidRDefault="004E2619" w:rsidP="004E26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en-US"/>
        </w:rPr>
        <w:br w:type="page"/>
      </w:r>
      <w:r w:rsidR="00BE0D7C" w:rsidRPr="0065187E">
        <w:rPr>
          <w:color w:val="000000"/>
          <w:sz w:val="28"/>
          <w:szCs w:val="28"/>
        </w:rPr>
        <w:t>Фахівці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провідних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рейтингових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агенцій</w:t>
      </w:r>
      <w:r w:rsidR="00BE0D7C" w:rsidRPr="0065187E">
        <w:rPr>
          <w:color w:val="000000"/>
          <w:sz w:val="28"/>
          <w:szCs w:val="28"/>
          <w:lang w:val="en-US"/>
        </w:rPr>
        <w:t>,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зазвичай</w:t>
      </w:r>
      <w:r w:rsidR="00BE0D7C" w:rsidRPr="0065187E">
        <w:rPr>
          <w:color w:val="000000"/>
          <w:sz w:val="28"/>
          <w:szCs w:val="28"/>
          <w:lang w:val="en-US"/>
        </w:rPr>
        <w:t>,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виставляють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свої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оцінки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так</w:t>
      </w:r>
      <w:r w:rsidR="00BE0D7C" w:rsidRPr="0065187E">
        <w:rPr>
          <w:color w:val="000000"/>
          <w:sz w:val="28"/>
          <w:szCs w:val="28"/>
          <w:lang w:val="en-US"/>
        </w:rPr>
        <w:t>,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щоб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кредитоспроможності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окремої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компанії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не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був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вищим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суверенний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держави</w:t>
      </w:r>
      <w:r w:rsidR="00BE0D7C" w:rsidRPr="0065187E">
        <w:rPr>
          <w:color w:val="000000"/>
          <w:sz w:val="28"/>
          <w:szCs w:val="28"/>
          <w:lang w:val="en-US"/>
        </w:rPr>
        <w:t>,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якій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її</w:t>
      </w:r>
      <w:r w:rsidR="00815BC2" w:rsidRPr="0065187E">
        <w:rPr>
          <w:color w:val="000000"/>
          <w:sz w:val="28"/>
          <w:szCs w:val="28"/>
          <w:lang w:val="en-US"/>
        </w:rPr>
        <w:t xml:space="preserve"> </w:t>
      </w:r>
      <w:r w:rsidR="00BE0D7C" w:rsidRPr="0065187E">
        <w:rPr>
          <w:color w:val="000000"/>
          <w:sz w:val="28"/>
          <w:szCs w:val="28"/>
        </w:rPr>
        <w:t>зареєстровано</w:t>
      </w:r>
      <w:r w:rsidR="00BE0D7C" w:rsidRPr="0065187E">
        <w:rPr>
          <w:color w:val="000000"/>
          <w:sz w:val="28"/>
          <w:szCs w:val="28"/>
          <w:lang w:val="en-US"/>
        </w:rPr>
        <w:t>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E54BF" w:rsidRPr="0065187E">
        <w:rPr>
          <w:color w:val="000000"/>
          <w:sz w:val="28"/>
          <w:szCs w:val="28"/>
          <w:lang w:val="uk-UA"/>
        </w:rPr>
        <w:t>Рейтинг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E54BF" w:rsidRPr="0065187E">
        <w:rPr>
          <w:color w:val="000000"/>
          <w:sz w:val="28"/>
          <w:szCs w:val="28"/>
          <w:lang w:val="uk-UA"/>
        </w:rPr>
        <w:t>України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E54BF" w:rsidRPr="0065187E">
        <w:rPr>
          <w:color w:val="000000"/>
          <w:sz w:val="28"/>
          <w:szCs w:val="28"/>
          <w:lang w:val="uk-UA"/>
        </w:rPr>
        <w:t>серед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E54BF" w:rsidRPr="0065187E">
        <w:rPr>
          <w:color w:val="000000"/>
          <w:sz w:val="28"/>
          <w:szCs w:val="28"/>
          <w:lang w:val="uk-UA"/>
        </w:rPr>
        <w:t>інших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E54BF" w:rsidRPr="0065187E">
        <w:rPr>
          <w:color w:val="000000"/>
          <w:sz w:val="28"/>
          <w:szCs w:val="28"/>
          <w:lang w:val="uk-UA"/>
        </w:rPr>
        <w:t>держав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E54BF" w:rsidRPr="0065187E">
        <w:rPr>
          <w:color w:val="000000"/>
          <w:sz w:val="28"/>
          <w:szCs w:val="28"/>
          <w:lang w:val="uk-UA"/>
        </w:rPr>
        <w:t>наведений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E54BF"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E54BF" w:rsidRPr="0065187E">
        <w:rPr>
          <w:color w:val="000000"/>
          <w:sz w:val="28"/>
          <w:szCs w:val="28"/>
          <w:lang w:val="uk-UA"/>
        </w:rPr>
        <w:t>додатку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E54BF" w:rsidRPr="0065187E">
        <w:rPr>
          <w:color w:val="000000"/>
          <w:sz w:val="28"/>
          <w:szCs w:val="28"/>
          <w:lang w:val="uk-UA"/>
        </w:rPr>
        <w:t>1.</w:t>
      </w:r>
    </w:p>
    <w:p w:rsidR="00030CD4" w:rsidRPr="0065187E" w:rsidRDefault="00E179D0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Зважаючи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те,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України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негативно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впливають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репутацію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окремих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була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розроблена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</w:t>
      </w:r>
      <w:r w:rsidR="00CD3429" w:rsidRPr="0065187E">
        <w:rPr>
          <w:color w:val="000000"/>
          <w:sz w:val="28"/>
          <w:szCs w:val="28"/>
        </w:rPr>
        <w:t>аціональна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рейтингова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шкала</w:t>
      </w:r>
      <w:r w:rsidRPr="0065187E">
        <w:rPr>
          <w:color w:val="000000"/>
          <w:sz w:val="28"/>
          <w:szCs w:val="28"/>
        </w:rPr>
        <w:t>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Це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шкала,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яка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поділена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визначені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групи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рівнів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рівні,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кожен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яких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характеризує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здатність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своєчасно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повному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обсязі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виплачувати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відсотки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основну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суму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своїми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борговими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зобов’язаннями,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також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="00CD3429" w:rsidRPr="0065187E">
        <w:rPr>
          <w:color w:val="000000"/>
          <w:sz w:val="28"/>
          <w:szCs w:val="28"/>
        </w:rPr>
        <w:t>платоспроможність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4A2A9E" w:rsidRPr="0065187E">
        <w:rPr>
          <w:color w:val="000000"/>
          <w:sz w:val="28"/>
          <w:szCs w:val="28"/>
        </w:rPr>
        <w:t>[1]</w:t>
      </w:r>
      <w:r w:rsidR="00CD3429" w:rsidRPr="0065187E">
        <w:rPr>
          <w:color w:val="000000"/>
          <w:sz w:val="28"/>
          <w:szCs w:val="28"/>
        </w:rPr>
        <w:t>.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Національна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шкала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використовується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оцінки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–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органу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місцевого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самоврядування,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суб’єкта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господарювання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окремих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інструментів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–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облігацій,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іпотечних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цінних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паперів,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позик.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допомогою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визначаються: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Довгострокові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1.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Інвестиційного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рівня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uaAAA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винятковий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(найвищий)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рівень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спроможності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своєчасно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повному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обсязі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виплачувати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відсотки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основну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суму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uaAA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дуже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високий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рівень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спроможності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своєчасно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повному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обсязі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виплачувати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відсотки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основну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суму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uaA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високий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рівень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спроможності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своєчасно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повному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обсязі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виплачувати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відсотки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основну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суму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Однак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такий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чутливий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несприятливих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змін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комерційних,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умовах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порівняно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більш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високими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рейтингами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uaBBB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достатня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спроможність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своєчасно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повному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обсязі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виплачувати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відсотки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основну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зобов'язаннями.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Однак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такий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перебуває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під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впливом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несприятливих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змін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комерційних,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умовах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порівняно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більш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високими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рейтингами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2.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Спекулятивного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рівня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uaBB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найменшою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мірою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піддаються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невиплати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порівняно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рейтингами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спекулятивного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рівня.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Однак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можуть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виникнути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труднощі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своєчасною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повному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обсязі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виплатою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відсотків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основної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разі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несприятливих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змін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комерційних,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умовах,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хоча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найближчим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часом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вірогідність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невиконання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позичальником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мінімальна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uaB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даний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час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спроможний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виплачувати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відсотки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основну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суму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але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має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більш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високу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вірогідність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дефолту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ніж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рейтингом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"</w:t>
      </w:r>
      <w:r w:rsidRPr="0065187E">
        <w:rPr>
          <w:color w:val="000000"/>
          <w:sz w:val="28"/>
          <w:szCs w:val="28"/>
        </w:rPr>
        <w:t>uaBB</w:t>
      </w:r>
      <w:r w:rsidRPr="0065187E">
        <w:rPr>
          <w:color w:val="000000"/>
          <w:sz w:val="28"/>
          <w:szCs w:val="28"/>
          <w:lang w:val="uk-UA"/>
        </w:rPr>
        <w:t>".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перебуває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під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впливом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несприятливих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змін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комерційних,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фінансових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економічних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умовах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порівняно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позичальниками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більш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високими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рейтингами,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що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може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послабити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його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спроможність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своєчасно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повному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обсязі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виплачувати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відсотки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основну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суму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uaCCC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існує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вірогідність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дефолту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Своєчасність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обсяг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виплати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відсотків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основної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значною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мірою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залежать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комерційних,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економічних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умов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uaCC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існує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висока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вірогідність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дефолту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комерційних,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фінансових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економічних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умовах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uaC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найближчим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часом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очікується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дефолт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(зокрема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разі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порушення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справи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банкрутство,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анулювання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ліцензії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провадження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основної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діяльності,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очікуваної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ліквідації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позичальника,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винесення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судового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рішення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накладення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стягнення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майно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чи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іншому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аналогічному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випадку),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але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виплати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даний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час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припинені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uaD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виплати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відсотків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основної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суму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припинені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позичальником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без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досягнення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згоди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кредиторів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щодо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реструктуризації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заборгованості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настання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строку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платежу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II</w:t>
      </w:r>
      <w:r w:rsidRPr="0065187E">
        <w:rPr>
          <w:color w:val="000000"/>
          <w:sz w:val="28"/>
          <w:szCs w:val="28"/>
          <w:lang w:val="uk-UA"/>
        </w:rPr>
        <w:t>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Короткострокові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кредитні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рейтинги</w:t>
      </w:r>
    </w:p>
    <w:p w:rsidR="00E179D0" w:rsidRPr="0065187E" w:rsidRDefault="00CD3429" w:rsidP="00815BC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Інвестиційного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рівня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uaK</w:t>
      </w:r>
      <w:r w:rsidRPr="0065187E">
        <w:rPr>
          <w:color w:val="000000"/>
          <w:sz w:val="28"/>
          <w:szCs w:val="28"/>
          <w:lang w:val="uk-UA"/>
        </w:rPr>
        <w:t>1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винятковий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(найвищий)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рівень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спроможності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позичальника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своєчасно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та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повному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обсязі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виплачувати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відсотки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основну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суму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борговими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зобов'язаннями.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Фінансовий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дає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змогу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запобігти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будь-яким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ризикам,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можуть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виникнути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короткостроковому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періоді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uaK2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дуже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високий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рівень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спроможності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своєчасно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повному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обсязі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виплачувати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відсотки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основну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зобов'язаннями.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дає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змогу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запобігти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передбачуваним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ризикам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короткостроковому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періоді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uaK3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достатня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спроможність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своєчасно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повному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обсязі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виплачувати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відсотки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основну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зобов'язаннями.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задовільний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того,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щоб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запобігти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передбачуваним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ризикам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короткостроковому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періоді</w:t>
      </w:r>
    </w:p>
    <w:p w:rsidR="00E179D0" w:rsidRPr="0065187E" w:rsidRDefault="00CD3429" w:rsidP="00815BC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Спекулятивного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рівня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uaK4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сумнівна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спроможність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своєчасно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повному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обсязі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виплачувати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відсотки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основну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зобов'язаннями.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найвірогідніше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недостатньо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високим,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щоб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запобігти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передбачуваним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ризикам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короткостроковому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періоді</w:t>
      </w:r>
    </w:p>
    <w:p w:rsidR="00E179D0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uaK5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вірогідна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неспроможність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своєчасно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повному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обсязі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виплачувати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відсотки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основну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зобов'язаннями.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стан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такого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дає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змоги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запобігти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передбачуваним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ризикам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короткостроковому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періоді</w:t>
      </w:r>
    </w:p>
    <w:p w:rsidR="00CD3429" w:rsidRPr="0065187E" w:rsidRDefault="00CD3429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</w:rPr>
        <w:t>uaKD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оголосив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дефолт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зобов'язаннями.</w:t>
      </w:r>
    </w:p>
    <w:p w:rsidR="001242FC" w:rsidRPr="0065187E" w:rsidRDefault="001242FC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65187E">
        <w:rPr>
          <w:bCs/>
          <w:color w:val="000000"/>
          <w:sz w:val="28"/>
          <w:szCs w:val="28"/>
          <w:lang w:val="uk-UA"/>
        </w:rPr>
        <w:t>З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наведеними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рівнями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можуть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застосовуватися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наступні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позначення:</w:t>
      </w:r>
    </w:p>
    <w:p w:rsidR="001242FC" w:rsidRPr="0065187E" w:rsidRDefault="001242FC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65187E">
        <w:rPr>
          <w:bCs/>
          <w:color w:val="000000"/>
          <w:sz w:val="28"/>
          <w:szCs w:val="28"/>
        </w:rPr>
        <w:t>+</w:t>
      </w:r>
      <w:r w:rsidR="00815BC2" w:rsidRPr="0065187E">
        <w:rPr>
          <w:bCs/>
          <w:color w:val="000000"/>
          <w:sz w:val="28"/>
          <w:szCs w:val="28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або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-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-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проміжні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категорії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відносно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основних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рівнів.</w:t>
      </w:r>
    </w:p>
    <w:p w:rsidR="001242FC" w:rsidRPr="0065187E" w:rsidRDefault="001242FC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65187E">
        <w:rPr>
          <w:bCs/>
          <w:color w:val="000000"/>
          <w:sz w:val="28"/>
          <w:szCs w:val="28"/>
          <w:lang w:val="uk-UA"/>
        </w:rPr>
        <w:t>Контрольний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список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–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агентство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розглядає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питання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зміну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зв’язку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з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поді</w:t>
      </w:r>
      <w:r w:rsidR="007502E6" w:rsidRPr="0065187E">
        <w:rPr>
          <w:bCs/>
          <w:color w:val="000000"/>
          <w:sz w:val="28"/>
          <w:szCs w:val="28"/>
          <w:lang w:val="uk-UA"/>
        </w:rPr>
        <w:t>я</w:t>
      </w:r>
      <w:r w:rsidRPr="0065187E">
        <w:rPr>
          <w:bCs/>
          <w:color w:val="000000"/>
          <w:sz w:val="28"/>
          <w:szCs w:val="28"/>
          <w:lang w:val="uk-UA"/>
        </w:rPr>
        <w:t>ми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чи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тенденціями,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що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можуть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суттєво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вплинути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кредитоспроможність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володаря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такого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рейтингу.</w:t>
      </w:r>
    </w:p>
    <w:p w:rsidR="001242FC" w:rsidRPr="0065187E" w:rsidRDefault="001242FC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65187E">
        <w:rPr>
          <w:bCs/>
          <w:color w:val="000000"/>
          <w:sz w:val="28"/>
          <w:szCs w:val="28"/>
          <w:lang w:val="uk-UA"/>
        </w:rPr>
        <w:t>Відізваний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–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відізвано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через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те,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що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володар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не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надає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необхідної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інформації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для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оновлення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або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з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інших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причин.</w:t>
      </w:r>
    </w:p>
    <w:p w:rsidR="001242FC" w:rsidRPr="0065187E" w:rsidRDefault="001242FC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65187E">
        <w:rPr>
          <w:bCs/>
          <w:color w:val="000000"/>
          <w:sz w:val="28"/>
          <w:szCs w:val="28"/>
          <w:lang w:val="uk-UA"/>
        </w:rPr>
        <w:t>Призупинений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–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призупинено,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як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проміжний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етап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перед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можливим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відкликанням,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якщо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не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надається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необхідна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інформація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для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оновлення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чи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інших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причин.</w:t>
      </w:r>
    </w:p>
    <w:p w:rsidR="001242FC" w:rsidRPr="0065187E" w:rsidRDefault="001242FC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65187E">
        <w:rPr>
          <w:bCs/>
          <w:color w:val="000000"/>
          <w:sz w:val="28"/>
          <w:szCs w:val="28"/>
        </w:rPr>
        <w:t>Прогноз</w:t>
      </w:r>
      <w:r w:rsidRPr="0065187E">
        <w:rPr>
          <w:bCs/>
          <w:color w:val="000000"/>
          <w:sz w:val="28"/>
          <w:szCs w:val="28"/>
          <w:lang w:val="uk-UA"/>
        </w:rPr>
        <w:t>и</w:t>
      </w:r>
      <w:r w:rsidR="00815BC2" w:rsidRPr="0065187E">
        <w:rPr>
          <w:bCs/>
          <w:color w:val="000000"/>
          <w:sz w:val="28"/>
          <w:szCs w:val="28"/>
        </w:rPr>
        <w:t xml:space="preserve"> </w:t>
      </w:r>
      <w:r w:rsidRPr="0065187E">
        <w:rPr>
          <w:bCs/>
          <w:color w:val="000000"/>
          <w:sz w:val="28"/>
          <w:szCs w:val="28"/>
        </w:rPr>
        <w:t>кредитн</w:t>
      </w:r>
      <w:r w:rsidRPr="0065187E">
        <w:rPr>
          <w:bCs/>
          <w:color w:val="000000"/>
          <w:sz w:val="28"/>
          <w:szCs w:val="28"/>
          <w:lang w:val="uk-UA"/>
        </w:rPr>
        <w:t>и</w:t>
      </w:r>
      <w:r w:rsidRPr="0065187E">
        <w:rPr>
          <w:bCs/>
          <w:color w:val="000000"/>
          <w:sz w:val="28"/>
          <w:szCs w:val="28"/>
        </w:rPr>
        <w:t>х</w:t>
      </w:r>
      <w:r w:rsidR="00815BC2" w:rsidRPr="0065187E">
        <w:rPr>
          <w:bCs/>
          <w:color w:val="000000"/>
          <w:sz w:val="28"/>
          <w:szCs w:val="28"/>
        </w:rPr>
        <w:t xml:space="preserve"> </w:t>
      </w:r>
      <w:r w:rsidRPr="0065187E">
        <w:rPr>
          <w:bCs/>
          <w:color w:val="000000"/>
          <w:sz w:val="28"/>
          <w:szCs w:val="28"/>
        </w:rPr>
        <w:t>рейтинг</w:t>
      </w:r>
      <w:r w:rsidRPr="0065187E">
        <w:rPr>
          <w:bCs/>
          <w:color w:val="000000"/>
          <w:sz w:val="28"/>
          <w:szCs w:val="28"/>
          <w:lang w:val="uk-UA"/>
        </w:rPr>
        <w:t>і</w:t>
      </w:r>
      <w:r w:rsidRPr="0065187E">
        <w:rPr>
          <w:bCs/>
          <w:color w:val="000000"/>
          <w:sz w:val="28"/>
          <w:szCs w:val="28"/>
        </w:rPr>
        <w:t>в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можуть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бути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наступні:</w:t>
      </w:r>
    </w:p>
    <w:p w:rsidR="001242FC" w:rsidRPr="0065187E" w:rsidRDefault="001242FC" w:rsidP="00815BC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65187E">
        <w:rPr>
          <w:bCs/>
          <w:color w:val="000000"/>
          <w:sz w:val="28"/>
          <w:szCs w:val="28"/>
          <w:lang w:val="uk-UA"/>
        </w:rPr>
        <w:t>стабільний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–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даний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момент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відсутні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передумови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для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зміни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протязі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року;</w:t>
      </w:r>
    </w:p>
    <w:p w:rsidR="001242FC" w:rsidRPr="0065187E" w:rsidRDefault="001242FC" w:rsidP="00815BC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65187E">
        <w:rPr>
          <w:bCs/>
          <w:color w:val="000000"/>
          <w:sz w:val="28"/>
          <w:szCs w:val="28"/>
          <w:lang w:val="uk-UA"/>
        </w:rPr>
        <w:t>позитивний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-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вказує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можливість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підвищення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протязі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року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збереженні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позитивних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тенденцій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нівелюванні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поточних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ризиків;</w:t>
      </w:r>
    </w:p>
    <w:p w:rsidR="001242FC" w:rsidRPr="0065187E" w:rsidRDefault="001242FC" w:rsidP="00815BC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65187E">
        <w:rPr>
          <w:bCs/>
          <w:color w:val="000000"/>
          <w:sz w:val="28"/>
          <w:szCs w:val="28"/>
          <w:lang w:val="uk-UA"/>
        </w:rPr>
        <w:t>негативний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-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можливість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погіршення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на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протязі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року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збереженні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негативних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тенденцій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і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реалізації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поточних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ризиків;</w:t>
      </w:r>
    </w:p>
    <w:p w:rsidR="001242FC" w:rsidRPr="0065187E" w:rsidRDefault="001242FC" w:rsidP="00815BC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65187E">
        <w:rPr>
          <w:bCs/>
          <w:color w:val="000000"/>
          <w:sz w:val="28"/>
          <w:szCs w:val="28"/>
          <w:lang w:val="uk-UA"/>
        </w:rPr>
        <w:t>розвиваючийся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–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підвищена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вірогідність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зміни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рейтингу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протягом</w:t>
      </w:r>
      <w:r w:rsidR="00815BC2" w:rsidRPr="0065187E">
        <w:rPr>
          <w:bCs/>
          <w:color w:val="000000"/>
          <w:sz w:val="28"/>
          <w:szCs w:val="28"/>
          <w:lang w:val="uk-UA"/>
        </w:rPr>
        <w:t xml:space="preserve"> </w:t>
      </w:r>
      <w:r w:rsidRPr="0065187E">
        <w:rPr>
          <w:bCs/>
          <w:color w:val="000000"/>
          <w:sz w:val="28"/>
          <w:szCs w:val="28"/>
          <w:lang w:val="uk-UA"/>
        </w:rPr>
        <w:t>року</w:t>
      </w:r>
      <w:r w:rsidR="00815BC2" w:rsidRPr="0065187E">
        <w:rPr>
          <w:bCs/>
          <w:color w:val="000000"/>
          <w:sz w:val="28"/>
          <w:szCs w:val="28"/>
        </w:rPr>
        <w:t xml:space="preserve"> </w:t>
      </w:r>
      <w:r w:rsidR="004A2A9E" w:rsidRPr="0065187E">
        <w:rPr>
          <w:bCs/>
          <w:color w:val="000000"/>
          <w:sz w:val="28"/>
          <w:szCs w:val="28"/>
        </w:rPr>
        <w:t>[1]</w:t>
      </w:r>
      <w:r w:rsidRPr="0065187E">
        <w:rPr>
          <w:bCs/>
          <w:color w:val="000000"/>
          <w:sz w:val="28"/>
          <w:szCs w:val="28"/>
          <w:lang w:val="uk-UA"/>
        </w:rPr>
        <w:t>.</w:t>
      </w:r>
    </w:p>
    <w:p w:rsidR="00E179D0" w:rsidRPr="0065187E" w:rsidRDefault="003D65E8" w:rsidP="00815BC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Провідним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вітчизняним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рейтинговим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агентством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„Кредит-Рейтинг”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–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незалежна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приватна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компанія,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структурі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якої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представлені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державні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органи,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фінансові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установи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чи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інвестиційні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компанії.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</w:p>
    <w:p w:rsidR="003D65E8" w:rsidRPr="0065187E" w:rsidRDefault="003D4B0B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Це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перше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Україні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(з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2001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року)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спеціалізоване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агентство,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що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надає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послуги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області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незалежної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оцінки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кредитоспроможності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суб’єктів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привласненням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кредитних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рейтингів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Національній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рейтинговій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шкалі.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="003D65E8" w:rsidRPr="0065187E">
        <w:rPr>
          <w:color w:val="000000"/>
          <w:sz w:val="28"/>
          <w:szCs w:val="28"/>
        </w:rPr>
        <w:t>2003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року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оц</w:t>
      </w:r>
      <w:r w:rsidRPr="0065187E">
        <w:rPr>
          <w:color w:val="000000"/>
          <w:sz w:val="28"/>
          <w:szCs w:val="28"/>
          <w:lang w:val="uk-UA"/>
        </w:rPr>
        <w:t>і</w:t>
      </w:r>
      <w:r w:rsidRPr="0065187E">
        <w:rPr>
          <w:color w:val="000000"/>
          <w:sz w:val="28"/>
          <w:szCs w:val="28"/>
        </w:rPr>
        <w:t>нки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агенства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оф</w:t>
      </w:r>
      <w:r w:rsidRPr="0065187E">
        <w:rPr>
          <w:color w:val="000000"/>
          <w:sz w:val="28"/>
          <w:szCs w:val="28"/>
          <w:lang w:val="uk-UA"/>
        </w:rPr>
        <w:t>і</w:t>
      </w:r>
      <w:r w:rsidRPr="0065187E">
        <w:rPr>
          <w:color w:val="000000"/>
          <w:sz w:val="28"/>
          <w:szCs w:val="28"/>
        </w:rPr>
        <w:t>ц</w:t>
      </w:r>
      <w:r w:rsidRPr="0065187E">
        <w:rPr>
          <w:color w:val="000000"/>
          <w:sz w:val="28"/>
          <w:szCs w:val="28"/>
          <w:lang w:val="uk-UA"/>
        </w:rPr>
        <w:t>ій</w:t>
      </w:r>
      <w:r w:rsidR="003D65E8" w:rsidRPr="0065187E">
        <w:rPr>
          <w:color w:val="000000"/>
          <w:sz w:val="28"/>
          <w:szCs w:val="28"/>
        </w:rPr>
        <w:t>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визнаються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</w:t>
      </w:r>
      <w:r w:rsidRPr="0065187E">
        <w:rPr>
          <w:color w:val="000000"/>
          <w:sz w:val="28"/>
          <w:szCs w:val="28"/>
          <w:lang w:val="uk-UA"/>
        </w:rPr>
        <w:t>і</w:t>
      </w:r>
      <w:r w:rsidRPr="0065187E">
        <w:rPr>
          <w:color w:val="000000"/>
          <w:sz w:val="28"/>
          <w:szCs w:val="28"/>
        </w:rPr>
        <w:t>н</w:t>
      </w:r>
      <w:r w:rsidRPr="0065187E">
        <w:rPr>
          <w:color w:val="000000"/>
          <w:sz w:val="28"/>
          <w:szCs w:val="28"/>
          <w:lang w:val="uk-UA"/>
        </w:rPr>
        <w:t>і</w:t>
      </w:r>
      <w:r w:rsidR="003D65E8" w:rsidRPr="0065187E">
        <w:rPr>
          <w:color w:val="000000"/>
          <w:sz w:val="28"/>
          <w:szCs w:val="28"/>
        </w:rPr>
        <w:t>стерством</w:t>
      </w:r>
      <w:r w:rsidR="00815BC2" w:rsidRPr="0065187E">
        <w:rPr>
          <w:color w:val="000000"/>
          <w:sz w:val="28"/>
          <w:szCs w:val="28"/>
        </w:rPr>
        <w:t xml:space="preserve"> </w:t>
      </w:r>
      <w:r w:rsidR="003D65E8" w:rsidRPr="0065187E">
        <w:rPr>
          <w:color w:val="000000"/>
          <w:sz w:val="28"/>
          <w:szCs w:val="28"/>
        </w:rPr>
        <w:t>ф</w:t>
      </w:r>
      <w:r w:rsidRPr="0065187E">
        <w:rPr>
          <w:color w:val="000000"/>
          <w:sz w:val="28"/>
          <w:szCs w:val="28"/>
          <w:lang w:val="uk-UA"/>
        </w:rPr>
        <w:t>і</w:t>
      </w:r>
      <w:r w:rsidRPr="0065187E">
        <w:rPr>
          <w:color w:val="000000"/>
          <w:sz w:val="28"/>
          <w:szCs w:val="28"/>
        </w:rPr>
        <w:t>нанс</w:t>
      </w:r>
      <w:r w:rsidRPr="0065187E">
        <w:rPr>
          <w:color w:val="000000"/>
          <w:sz w:val="28"/>
          <w:szCs w:val="28"/>
          <w:lang w:val="uk-UA"/>
        </w:rPr>
        <w:t>і</w:t>
      </w:r>
      <w:r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Укра</w:t>
      </w:r>
      <w:r w:rsidRPr="0065187E">
        <w:rPr>
          <w:color w:val="000000"/>
          <w:sz w:val="28"/>
          <w:szCs w:val="28"/>
          <w:lang w:val="uk-UA"/>
        </w:rPr>
        <w:t>ї</w:t>
      </w:r>
      <w:r w:rsidRPr="0065187E">
        <w:rPr>
          <w:color w:val="000000"/>
          <w:sz w:val="28"/>
          <w:szCs w:val="28"/>
        </w:rPr>
        <w:t>н</w:t>
      </w:r>
      <w:r w:rsidRPr="0065187E">
        <w:rPr>
          <w:color w:val="000000"/>
          <w:sz w:val="28"/>
          <w:szCs w:val="28"/>
          <w:lang w:val="uk-UA"/>
        </w:rPr>
        <w:t>и</w:t>
      </w:r>
      <w:r w:rsidRPr="0065187E">
        <w:rPr>
          <w:color w:val="000000"/>
          <w:sz w:val="28"/>
          <w:szCs w:val="28"/>
        </w:rPr>
        <w:t>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="003D65E8" w:rsidRPr="0065187E">
        <w:rPr>
          <w:color w:val="000000"/>
          <w:sz w:val="28"/>
          <w:szCs w:val="28"/>
        </w:rPr>
        <w:t>2004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року</w:t>
      </w:r>
      <w:r w:rsidR="00815BC2" w:rsidRPr="0065187E">
        <w:rPr>
          <w:color w:val="000000"/>
          <w:sz w:val="28"/>
          <w:szCs w:val="28"/>
        </w:rPr>
        <w:t xml:space="preserve"> </w:t>
      </w:r>
      <w:r w:rsidR="003D65E8" w:rsidRPr="0065187E">
        <w:rPr>
          <w:color w:val="000000"/>
          <w:sz w:val="28"/>
          <w:szCs w:val="28"/>
        </w:rPr>
        <w:t>"Кредит-Рейтинг"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="003D65E8" w:rsidRPr="0065187E">
        <w:rPr>
          <w:color w:val="000000"/>
          <w:sz w:val="28"/>
          <w:szCs w:val="28"/>
        </w:rPr>
        <w:t>упо</w:t>
      </w:r>
      <w:r w:rsidRPr="0065187E">
        <w:rPr>
          <w:color w:val="000000"/>
          <w:sz w:val="28"/>
          <w:szCs w:val="28"/>
          <w:lang w:val="uk-UA"/>
        </w:rPr>
        <w:t>вноваженим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агентством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ДКЦПФР</w:t>
      </w:r>
      <w:r w:rsidR="00815BC2" w:rsidRPr="0065187E">
        <w:rPr>
          <w:color w:val="000000"/>
          <w:sz w:val="28"/>
          <w:szCs w:val="28"/>
        </w:rPr>
        <w:t xml:space="preserve"> </w:t>
      </w:r>
      <w:r w:rsidR="003D65E8"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="003D65E8" w:rsidRPr="0065187E">
        <w:rPr>
          <w:color w:val="000000"/>
          <w:sz w:val="28"/>
          <w:szCs w:val="28"/>
        </w:rPr>
        <w:t>при</w:t>
      </w:r>
      <w:r w:rsidRPr="0065187E">
        <w:rPr>
          <w:color w:val="000000"/>
          <w:sz w:val="28"/>
          <w:szCs w:val="28"/>
          <w:lang w:val="uk-UA"/>
        </w:rPr>
        <w:t>власнення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</w:t>
      </w:r>
      <w:r w:rsidRPr="0065187E">
        <w:rPr>
          <w:color w:val="000000"/>
          <w:sz w:val="28"/>
          <w:szCs w:val="28"/>
          <w:lang w:val="uk-UA"/>
        </w:rPr>
        <w:t>и</w:t>
      </w:r>
      <w:r w:rsidRPr="0065187E">
        <w:rPr>
          <w:color w:val="000000"/>
          <w:sz w:val="28"/>
          <w:szCs w:val="28"/>
        </w:rPr>
        <w:t>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Pr="0065187E">
        <w:rPr>
          <w:color w:val="000000"/>
          <w:sz w:val="28"/>
          <w:szCs w:val="28"/>
          <w:lang w:val="uk-UA"/>
        </w:rPr>
        <w:t>і</w:t>
      </w:r>
      <w:r w:rsidR="003D65E8"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суб’єктам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господарювання,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галузям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економіки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регіонам.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2007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</w:t>
      </w:r>
      <w:r w:rsidRPr="0065187E">
        <w:rPr>
          <w:color w:val="000000"/>
          <w:sz w:val="28"/>
          <w:szCs w:val="28"/>
        </w:rPr>
        <w:t>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аген</w:t>
      </w:r>
      <w:r w:rsidR="003D65E8" w:rsidRPr="0065187E">
        <w:rPr>
          <w:color w:val="000000"/>
          <w:sz w:val="28"/>
          <w:szCs w:val="28"/>
        </w:rPr>
        <w:t>ство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надає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послуги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привласнення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рейтингів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корпоративного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управління.</w:t>
      </w:r>
    </w:p>
    <w:p w:rsidR="003D4B0B" w:rsidRPr="0065187E" w:rsidRDefault="003D4B0B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Рейтингова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процедура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включає:</w:t>
      </w:r>
    </w:p>
    <w:p w:rsidR="003D4B0B" w:rsidRPr="0065187E" w:rsidRDefault="003D4B0B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rStyle w:val="a5"/>
          <w:b w:val="0"/>
          <w:color w:val="000000"/>
          <w:sz w:val="28"/>
          <w:szCs w:val="28"/>
          <w:lang w:val="uk-UA"/>
        </w:rPr>
        <w:t>1.</w:t>
      </w:r>
      <w:r w:rsidR="00815BC2" w:rsidRPr="0065187E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65187E">
        <w:rPr>
          <w:rStyle w:val="a5"/>
          <w:b w:val="0"/>
          <w:color w:val="000000"/>
          <w:sz w:val="28"/>
          <w:szCs w:val="28"/>
        </w:rPr>
        <w:t>З</w:t>
      </w:r>
      <w:r w:rsidRPr="0065187E">
        <w:rPr>
          <w:rStyle w:val="a5"/>
          <w:b w:val="0"/>
          <w:color w:val="000000"/>
          <w:sz w:val="28"/>
          <w:szCs w:val="28"/>
          <w:lang w:val="uk-UA"/>
        </w:rPr>
        <w:t>аявка</w:t>
      </w:r>
    </w:p>
    <w:p w:rsidR="003D4B0B" w:rsidRPr="0065187E" w:rsidRDefault="003D4B0B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rStyle w:val="a5"/>
          <w:b w:val="0"/>
          <w:color w:val="000000"/>
          <w:sz w:val="28"/>
          <w:szCs w:val="28"/>
          <w:lang w:val="uk-UA"/>
        </w:rPr>
        <w:t>2.</w:t>
      </w:r>
      <w:r w:rsidR="00815BC2" w:rsidRPr="0065187E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65187E">
        <w:rPr>
          <w:rStyle w:val="a5"/>
          <w:b w:val="0"/>
          <w:color w:val="000000"/>
          <w:sz w:val="28"/>
          <w:szCs w:val="28"/>
          <w:lang w:val="uk-UA"/>
        </w:rPr>
        <w:t>Формування</w:t>
      </w:r>
      <w:r w:rsidR="00815BC2" w:rsidRPr="0065187E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65187E">
        <w:rPr>
          <w:rStyle w:val="a5"/>
          <w:b w:val="0"/>
          <w:color w:val="000000"/>
          <w:sz w:val="28"/>
          <w:szCs w:val="28"/>
          <w:lang w:val="uk-UA"/>
        </w:rPr>
        <w:t>аналітичної</w:t>
      </w:r>
      <w:r w:rsidR="00815BC2" w:rsidRPr="0065187E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65187E">
        <w:rPr>
          <w:rStyle w:val="a5"/>
          <w:b w:val="0"/>
          <w:color w:val="000000"/>
          <w:sz w:val="28"/>
          <w:szCs w:val="28"/>
          <w:lang w:val="uk-UA"/>
        </w:rPr>
        <w:t>групи</w:t>
      </w:r>
    </w:p>
    <w:p w:rsidR="003D4B0B" w:rsidRPr="0065187E" w:rsidRDefault="003D4B0B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3.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Направлення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інформаційних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вимог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клієнту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</w:p>
    <w:p w:rsidR="003D4B0B" w:rsidRPr="0065187E" w:rsidRDefault="003D4B0B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4.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Зустрічі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керівництвом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</w:p>
    <w:p w:rsidR="003D4B0B" w:rsidRPr="0065187E" w:rsidRDefault="003D4B0B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5.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Аналіз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</w:p>
    <w:p w:rsidR="001242FC" w:rsidRPr="0065187E" w:rsidRDefault="001242FC" w:rsidP="00815BC2">
      <w:pPr>
        <w:pStyle w:val="a3"/>
        <w:numPr>
          <w:ilvl w:val="0"/>
          <w:numId w:val="3"/>
        </w:numPr>
        <w:tabs>
          <w:tab w:val="clear" w:pos="720"/>
          <w:tab w:val="num" w:pos="18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якісний</w:t>
      </w:r>
      <w:r w:rsidR="00815BC2" w:rsidRPr="0065187E">
        <w:rPr>
          <w:color w:val="000000"/>
          <w:sz w:val="28"/>
          <w:szCs w:val="28"/>
        </w:rPr>
        <w:t xml:space="preserve"> </w:t>
      </w:r>
    </w:p>
    <w:p w:rsidR="001242FC" w:rsidRPr="0065187E" w:rsidRDefault="001242FC" w:rsidP="00815BC2">
      <w:pPr>
        <w:pStyle w:val="a3"/>
        <w:numPr>
          <w:ilvl w:val="0"/>
          <w:numId w:val="3"/>
        </w:numPr>
        <w:tabs>
          <w:tab w:val="clear" w:pos="720"/>
          <w:tab w:val="num" w:pos="18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кількісний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</w:p>
    <w:p w:rsidR="001242FC" w:rsidRPr="0065187E" w:rsidRDefault="001242FC" w:rsidP="00815BC2">
      <w:pPr>
        <w:pStyle w:val="a3"/>
        <w:numPr>
          <w:ilvl w:val="0"/>
          <w:numId w:val="3"/>
        </w:numPr>
        <w:tabs>
          <w:tab w:val="clear" w:pos="720"/>
          <w:tab w:val="num" w:pos="18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правовий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</w:p>
    <w:p w:rsidR="003D4B0B" w:rsidRPr="0065187E" w:rsidRDefault="001242FC" w:rsidP="00815BC2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5187E">
        <w:rPr>
          <w:rStyle w:val="a5"/>
          <w:b w:val="0"/>
          <w:color w:val="000000"/>
          <w:sz w:val="28"/>
          <w:szCs w:val="28"/>
          <w:lang w:val="uk-UA"/>
        </w:rPr>
        <w:t>Рішення</w:t>
      </w:r>
      <w:r w:rsidR="00815BC2" w:rsidRPr="0065187E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65187E">
        <w:rPr>
          <w:rStyle w:val="a5"/>
          <w:b w:val="0"/>
          <w:color w:val="000000"/>
          <w:sz w:val="28"/>
          <w:szCs w:val="28"/>
          <w:lang w:val="uk-UA"/>
        </w:rPr>
        <w:t>рейтингового</w:t>
      </w:r>
      <w:r w:rsidR="00815BC2" w:rsidRPr="0065187E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65187E">
        <w:rPr>
          <w:rStyle w:val="a5"/>
          <w:b w:val="0"/>
          <w:color w:val="000000"/>
          <w:sz w:val="28"/>
          <w:szCs w:val="28"/>
          <w:lang w:val="uk-UA"/>
        </w:rPr>
        <w:t>комітету</w:t>
      </w:r>
      <w:r w:rsidR="00815BC2" w:rsidRPr="0065187E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65187E">
        <w:rPr>
          <w:rStyle w:val="a5"/>
          <w:b w:val="0"/>
          <w:color w:val="000000"/>
          <w:sz w:val="28"/>
          <w:szCs w:val="28"/>
          <w:lang w:val="uk-UA"/>
        </w:rPr>
        <w:t>про</w:t>
      </w:r>
      <w:r w:rsidR="00815BC2" w:rsidRPr="0065187E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65187E">
        <w:rPr>
          <w:rStyle w:val="a5"/>
          <w:b w:val="0"/>
          <w:color w:val="000000"/>
          <w:sz w:val="28"/>
          <w:szCs w:val="28"/>
          <w:lang w:val="uk-UA"/>
        </w:rPr>
        <w:t>привласнення</w:t>
      </w:r>
      <w:r w:rsidR="00815BC2" w:rsidRPr="0065187E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65187E">
        <w:rPr>
          <w:rStyle w:val="a5"/>
          <w:b w:val="0"/>
          <w:color w:val="000000"/>
          <w:sz w:val="28"/>
          <w:szCs w:val="28"/>
          <w:lang w:val="uk-UA"/>
        </w:rPr>
        <w:t>рейтингу</w:t>
      </w:r>
    </w:p>
    <w:p w:rsidR="003D4B0B" w:rsidRPr="0065187E" w:rsidRDefault="001242FC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7.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Опублікування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рейтингу8.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Апеляція</w:t>
      </w:r>
      <w:r w:rsidR="00815BC2" w:rsidRPr="0065187E">
        <w:rPr>
          <w:color w:val="000000"/>
          <w:sz w:val="28"/>
          <w:szCs w:val="28"/>
        </w:rPr>
        <w:t xml:space="preserve"> </w:t>
      </w:r>
      <w:r w:rsidR="004A2A9E" w:rsidRPr="0065187E">
        <w:rPr>
          <w:color w:val="000000"/>
          <w:sz w:val="28"/>
          <w:szCs w:val="28"/>
        </w:rPr>
        <w:t>[3]</w:t>
      </w:r>
      <w:r w:rsidRPr="0065187E">
        <w:rPr>
          <w:color w:val="000000"/>
          <w:sz w:val="28"/>
          <w:szCs w:val="28"/>
          <w:lang w:val="uk-UA"/>
        </w:rPr>
        <w:t>.</w:t>
      </w:r>
    </w:p>
    <w:p w:rsidR="003D4B0B" w:rsidRPr="0065187E" w:rsidRDefault="00D96722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П</w:t>
      </w:r>
      <w:r w:rsidR="001242FC" w:rsidRPr="0065187E">
        <w:rPr>
          <w:color w:val="000000"/>
          <w:sz w:val="28"/>
          <w:szCs w:val="28"/>
          <w:lang w:val="uk-UA"/>
        </w:rPr>
        <w:t>ослуги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</w:rPr>
        <w:t>Fitch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з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підтримки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рейтингу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коштують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близько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$50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тис.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рік,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тоді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як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аналогічні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послуги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</w:rPr>
        <w:t>Moody</w:t>
      </w:r>
      <w:r w:rsidR="001242FC" w:rsidRPr="0065187E">
        <w:rPr>
          <w:color w:val="000000"/>
          <w:sz w:val="28"/>
          <w:szCs w:val="28"/>
          <w:lang w:val="uk-UA"/>
        </w:rPr>
        <w:t>’</w:t>
      </w:r>
      <w:r w:rsidR="001242FC" w:rsidRPr="0065187E">
        <w:rPr>
          <w:color w:val="000000"/>
          <w:sz w:val="28"/>
          <w:szCs w:val="28"/>
        </w:rPr>
        <w:t>s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близько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$40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тис.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у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="001242FC" w:rsidRPr="0065187E">
        <w:rPr>
          <w:color w:val="000000"/>
          <w:sz w:val="28"/>
          <w:szCs w:val="28"/>
          <w:lang w:val="uk-UA"/>
        </w:rPr>
        <w:t>рік.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порівняння: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рейтінг</w:t>
      </w:r>
      <w:r w:rsidRPr="0065187E">
        <w:rPr>
          <w:color w:val="000000"/>
          <w:sz w:val="28"/>
          <w:szCs w:val="28"/>
          <w:lang w:val="uk-UA"/>
        </w:rPr>
        <w:t>у</w:t>
      </w:r>
      <w:r w:rsidRPr="0065187E">
        <w:rPr>
          <w:color w:val="000000"/>
          <w:sz w:val="28"/>
          <w:szCs w:val="28"/>
        </w:rPr>
        <w:t>ван</w:t>
      </w:r>
      <w:r w:rsidRPr="0065187E">
        <w:rPr>
          <w:color w:val="000000"/>
          <w:sz w:val="28"/>
          <w:szCs w:val="28"/>
          <w:lang w:val="uk-UA"/>
        </w:rPr>
        <w:t>ня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від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внутрішніх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агентств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3-5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разів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дешевше,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але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таких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агентств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не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коти</w:t>
      </w:r>
      <w:r w:rsidRPr="0065187E">
        <w:rPr>
          <w:color w:val="000000"/>
          <w:sz w:val="28"/>
          <w:szCs w:val="28"/>
        </w:rPr>
        <w:t>руються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кордоном.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Крім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того,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є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накладні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витрати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комунікації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агентствами,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підготовку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звітів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все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це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коштує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дорого</w:t>
      </w:r>
      <w:r w:rsidR="001242FC" w:rsidRPr="0065187E">
        <w:rPr>
          <w:color w:val="000000"/>
          <w:sz w:val="28"/>
          <w:szCs w:val="28"/>
        </w:rPr>
        <w:t>.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В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результаті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вартість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підтримки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тільки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одного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агентства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досягає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$100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тис.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="001242FC" w:rsidRPr="0065187E">
        <w:rPr>
          <w:color w:val="000000"/>
          <w:sz w:val="28"/>
          <w:szCs w:val="28"/>
        </w:rPr>
        <w:t>рік</w:t>
      </w:r>
      <w:r w:rsidR="00815BC2" w:rsidRPr="0065187E">
        <w:rPr>
          <w:color w:val="000000"/>
          <w:sz w:val="28"/>
          <w:szCs w:val="28"/>
        </w:rPr>
        <w:t xml:space="preserve"> </w:t>
      </w:r>
      <w:r w:rsidR="004A2A9E" w:rsidRPr="0065187E">
        <w:rPr>
          <w:color w:val="000000"/>
          <w:sz w:val="28"/>
          <w:szCs w:val="28"/>
        </w:rPr>
        <w:t>[4]</w:t>
      </w:r>
      <w:r w:rsidRPr="0065187E">
        <w:rPr>
          <w:color w:val="000000"/>
          <w:sz w:val="28"/>
          <w:szCs w:val="28"/>
          <w:lang w:val="uk-UA"/>
        </w:rPr>
        <w:t>.</w:t>
      </w: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0CD4" w:rsidRPr="0065187E" w:rsidRDefault="00030CD4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54BF" w:rsidRPr="0065187E" w:rsidRDefault="001E54BF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  <w:sectPr w:rsidR="001E54BF" w:rsidRPr="0065187E" w:rsidSect="004E2619">
          <w:headerReference w:type="even" r:id="rId8"/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F6889" w:rsidRPr="0065187E" w:rsidRDefault="00AF6889" w:rsidP="00815BC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65187E">
        <w:rPr>
          <w:b/>
          <w:color w:val="000000"/>
          <w:sz w:val="28"/>
          <w:szCs w:val="28"/>
          <w:lang w:val="uk-UA"/>
        </w:rPr>
        <w:t>Висновки</w:t>
      </w: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F6889" w:rsidRPr="0065187E" w:rsidRDefault="00AF6889" w:rsidP="00815BC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87E">
        <w:rPr>
          <w:rFonts w:ascii="Times New Roman" w:hAnsi="Times New Roman" w:cs="Times New Roman"/>
          <w:color w:val="000000"/>
          <w:sz w:val="28"/>
          <w:szCs w:val="28"/>
        </w:rPr>
        <w:t>Фінансові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ризики,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які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супроводжують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операції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запозичення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суб’єктів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господарювання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макро-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мікрорівнях,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досить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проблематично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піддаються</w:t>
      </w:r>
    </w:p>
    <w:p w:rsidR="00AF6889" w:rsidRPr="0065187E" w:rsidRDefault="00AF6889" w:rsidP="004E261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87E">
        <w:rPr>
          <w:rFonts w:ascii="Times New Roman" w:hAnsi="Times New Roman" w:cs="Times New Roman"/>
          <w:color w:val="000000"/>
          <w:sz w:val="28"/>
          <w:szCs w:val="28"/>
        </w:rPr>
        <w:t>статистичній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формалізації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використанням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кількісних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оцінок.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Одночасно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така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оцінка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необхідною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врахування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ризику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як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чинників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дохідності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боргових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інструментів.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міжнародній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і,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віднедавна,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вітчизняній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практиці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зазначена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проблема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вирішується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рейтингів.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2A73" w:rsidRPr="0065187E" w:rsidRDefault="00092A73" w:rsidP="00815BC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87E">
        <w:rPr>
          <w:rFonts w:ascii="Times New Roman" w:hAnsi="Times New Roman" w:cs="Times New Roman"/>
          <w:color w:val="000000"/>
          <w:sz w:val="28"/>
          <w:szCs w:val="28"/>
        </w:rPr>
        <w:t>Світова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передбачає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рейтингів,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встановлюються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спеціалізованими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рейтинговими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агентствами,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як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інформативних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індикаторів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безпечності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боргового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фінансування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(позиція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кредитора)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одночасно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спорідненою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оцінкою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кредитоспроможності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позичальника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(позиція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дебітора).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Кредитний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відіграє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роль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лакмусового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папірця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визначенні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ступеня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довіри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економічного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контрагента-позичальника.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Слід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зазначити,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рейтингові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корисними,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першу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чергу,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обопільно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обох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сторін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кредиторів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позичальників.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Перші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оцінюють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ризики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як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екзогенне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ринкове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середовище,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другі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підтверджують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чи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спростовують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власну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кредитоспроможність.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користувачами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рейтингових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широке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коло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потенційних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учасників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ринку,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т.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аналітично-дослідницького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спрямування.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2A73" w:rsidRPr="0065187E" w:rsidRDefault="00092A73" w:rsidP="00815BC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65187E">
        <w:rPr>
          <w:rFonts w:ascii="Times New Roman" w:hAnsi="Times New Roman" w:cs="Times New Roman"/>
          <w:color w:val="000000"/>
          <w:sz w:val="28"/>
          <w:szCs w:val="28"/>
        </w:rPr>
        <w:t>Загальнодоступна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інформація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щодо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ризиків,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надана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оприлюднення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кредитного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рейтингу,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знижує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витрати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постачальників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капіталу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дослідження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системних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індивідуальних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ринкових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ризиків.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кредитного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підтримує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інтерес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потенційних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дійсних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кредиторів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емітентів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їх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зобов’язань.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позичальників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загалом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більш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вигідний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низький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ніж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його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відсутність.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Хоча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отримання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формальн</w:t>
      </w:r>
      <w:r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обов’язковою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умовою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виходу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міжнародні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боргові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ринки,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але,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оцінками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аналітиків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швейцарського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Банку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міжнародних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порівнянь,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розвито</w:t>
      </w:r>
      <w:r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вторинного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ринку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цінних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паперів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емітентів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їх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рейтингової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практично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87E">
        <w:rPr>
          <w:rFonts w:ascii="Times New Roman" w:hAnsi="Times New Roman" w:cs="Times New Roman"/>
          <w:color w:val="000000"/>
          <w:sz w:val="28"/>
          <w:szCs w:val="28"/>
        </w:rPr>
        <w:t>неможливий</w:t>
      </w:r>
      <w:r w:rsidR="00815BC2" w:rsidRPr="0065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A9E" w:rsidRPr="0065187E">
        <w:rPr>
          <w:rFonts w:ascii="Times New Roman" w:hAnsi="Times New Roman" w:cs="Times New Roman"/>
          <w:color w:val="000000"/>
          <w:sz w:val="28"/>
          <w:szCs w:val="28"/>
        </w:rPr>
        <w:t>[7]</w:t>
      </w:r>
      <w:r w:rsidRPr="0065187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F6889" w:rsidRPr="0065187E" w:rsidRDefault="00092A73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Отже,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  <w:lang w:val="uk-UA"/>
        </w:rPr>
        <w:t>к</w:t>
      </w:r>
      <w:r w:rsidR="00AF6889" w:rsidRPr="0065187E">
        <w:rPr>
          <w:color w:val="000000"/>
          <w:sz w:val="28"/>
          <w:szCs w:val="28"/>
        </w:rPr>
        <w:t>редитний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="00AF6889"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="00AF6889" w:rsidRPr="0065187E">
        <w:rPr>
          <w:color w:val="000000"/>
          <w:sz w:val="28"/>
          <w:szCs w:val="28"/>
        </w:rPr>
        <w:t>дозволяє</w:t>
      </w:r>
      <w:r w:rsidR="00815BC2" w:rsidRPr="0065187E">
        <w:rPr>
          <w:color w:val="000000"/>
          <w:sz w:val="28"/>
          <w:szCs w:val="28"/>
        </w:rPr>
        <w:t xml:space="preserve"> </w:t>
      </w:r>
      <w:r w:rsidR="00AF6889"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="00AF6889" w:rsidRPr="0065187E">
        <w:rPr>
          <w:color w:val="000000"/>
          <w:sz w:val="28"/>
          <w:szCs w:val="28"/>
        </w:rPr>
        <w:t>власникові:</w:t>
      </w:r>
    </w:p>
    <w:p w:rsidR="00AF6889" w:rsidRPr="0065187E" w:rsidRDefault="00AF688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зміцнити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взаємовідносини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усіма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типами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контрагентів;</w:t>
      </w:r>
    </w:p>
    <w:p w:rsidR="00AF6889" w:rsidRPr="0065187E" w:rsidRDefault="00AF688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виділити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себе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серед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інших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українських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привернути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увагу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інвесторів;</w:t>
      </w:r>
    </w:p>
    <w:p w:rsidR="00AF6889" w:rsidRPr="0065187E" w:rsidRDefault="00AF688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заявити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ефективну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діяльність,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розголошуючи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цьому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конфіденційну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інформацію;</w:t>
      </w:r>
    </w:p>
    <w:p w:rsidR="00AF6889" w:rsidRPr="0065187E" w:rsidRDefault="00AF688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зробити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успішне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розміщення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облігацій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або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інших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боргових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інструментів;</w:t>
      </w:r>
    </w:p>
    <w:p w:rsidR="00AF6889" w:rsidRPr="0065187E" w:rsidRDefault="00AF688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створити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сприятливу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історію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фінансову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репутацію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наступного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виходу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ринки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капіталу;</w:t>
      </w:r>
    </w:p>
    <w:p w:rsidR="00AF6889" w:rsidRPr="0065187E" w:rsidRDefault="00AF688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різноманітити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інструменти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запозичень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здешевленні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вартості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їхнього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обслуговування;</w:t>
      </w:r>
    </w:p>
    <w:p w:rsidR="00AF6889" w:rsidRPr="0065187E" w:rsidRDefault="00AF688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оцінити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свої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показники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роботи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"з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боку";</w:t>
      </w:r>
    </w:p>
    <w:p w:rsidR="00AF6889" w:rsidRPr="0065187E" w:rsidRDefault="00AF6889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>-</w:t>
      </w:r>
      <w:r w:rsidR="00815BC2" w:rsidRPr="0065187E">
        <w:rPr>
          <w:color w:val="000000"/>
          <w:sz w:val="28"/>
          <w:szCs w:val="28"/>
          <w:lang w:val="uk-UA"/>
        </w:rPr>
        <w:t xml:space="preserve"> </w:t>
      </w:r>
      <w:r w:rsidRPr="0065187E">
        <w:rPr>
          <w:color w:val="000000"/>
          <w:sz w:val="28"/>
          <w:szCs w:val="28"/>
        </w:rPr>
        <w:t>визначити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ключові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стратегічні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фактори,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впливають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кредитоспроможність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="004A2A9E" w:rsidRPr="0065187E">
        <w:rPr>
          <w:color w:val="000000"/>
          <w:sz w:val="28"/>
          <w:szCs w:val="28"/>
        </w:rPr>
        <w:t>[3]</w:t>
      </w:r>
      <w:r w:rsidRPr="0065187E">
        <w:rPr>
          <w:color w:val="000000"/>
          <w:sz w:val="28"/>
          <w:szCs w:val="28"/>
        </w:rPr>
        <w:t>.</w:t>
      </w:r>
    </w:p>
    <w:p w:rsidR="00AF6889" w:rsidRPr="0065187E" w:rsidRDefault="00AF6889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Кредитний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Національною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шкалою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необхідний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використання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внутрішньому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ринку.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Основна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перевага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міжнародного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порівнянність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рівня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кредитного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всіма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позичальниками,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незалежно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від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країни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їхнього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місця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розташування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-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обертається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недоліком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країнах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перехідною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економікою.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пов'язане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тим,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позичальника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(емітента)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або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його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боргового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інструменту,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правило,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бути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вище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суверенного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країни,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якій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розташований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емітент.</w:t>
      </w:r>
    </w:p>
    <w:p w:rsidR="00AF6889" w:rsidRPr="0065187E" w:rsidRDefault="00AF6889" w:rsidP="00815BC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</w:rPr>
        <w:t>Наразі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суверенні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України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перебувають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низькому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(спекулятивн</w:t>
      </w:r>
      <w:r w:rsidR="001E54BF" w:rsidRPr="0065187E">
        <w:rPr>
          <w:color w:val="000000"/>
          <w:sz w:val="28"/>
          <w:szCs w:val="28"/>
        </w:rPr>
        <w:t>ому)</w:t>
      </w:r>
      <w:r w:rsidR="00815BC2" w:rsidRPr="0065187E">
        <w:rPr>
          <w:color w:val="000000"/>
          <w:sz w:val="28"/>
          <w:szCs w:val="28"/>
        </w:rPr>
        <w:t xml:space="preserve"> </w:t>
      </w:r>
      <w:r w:rsidR="001E54BF" w:rsidRPr="0065187E">
        <w:rPr>
          <w:color w:val="000000"/>
          <w:sz w:val="28"/>
          <w:szCs w:val="28"/>
        </w:rPr>
        <w:t>рівні</w:t>
      </w:r>
      <w:r w:rsidRPr="0065187E">
        <w:rPr>
          <w:color w:val="000000"/>
          <w:sz w:val="28"/>
          <w:szCs w:val="28"/>
        </w:rPr>
        <w:t>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Це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призводить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того,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що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працюючий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внутрішньому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ринку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інвестор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може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ефективно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використати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міжнародні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для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оцінки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ризиків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вкладень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внутрішньому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ринку.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Таку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можливість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дають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тільки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рейтинги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за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національною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рейтинговою</w:t>
      </w:r>
      <w:r w:rsidR="00815BC2" w:rsidRPr="0065187E">
        <w:rPr>
          <w:color w:val="000000"/>
          <w:sz w:val="28"/>
          <w:szCs w:val="28"/>
        </w:rPr>
        <w:t xml:space="preserve"> </w:t>
      </w:r>
      <w:r w:rsidRPr="0065187E">
        <w:rPr>
          <w:color w:val="000000"/>
          <w:sz w:val="28"/>
          <w:szCs w:val="28"/>
        </w:rPr>
        <w:t>шкалою</w:t>
      </w:r>
      <w:r w:rsidR="00310877" w:rsidRPr="0065187E">
        <w:rPr>
          <w:color w:val="000000"/>
          <w:sz w:val="28"/>
          <w:szCs w:val="28"/>
        </w:rPr>
        <w:t>.</w:t>
      </w:r>
    </w:p>
    <w:p w:rsidR="001E54BF" w:rsidRPr="0065187E" w:rsidRDefault="00815BC2" w:rsidP="00815BC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br w:type="page"/>
      </w:r>
      <w:r w:rsidR="001E54BF" w:rsidRPr="0065187E">
        <w:rPr>
          <w:b/>
          <w:color w:val="000000"/>
          <w:sz w:val="28"/>
          <w:szCs w:val="28"/>
          <w:lang w:val="uk-UA"/>
        </w:rPr>
        <w:t>Додаток</w:t>
      </w:r>
      <w:r w:rsidRPr="0065187E">
        <w:rPr>
          <w:b/>
          <w:color w:val="000000"/>
          <w:sz w:val="28"/>
          <w:szCs w:val="28"/>
          <w:lang w:val="uk-UA"/>
        </w:rPr>
        <w:t xml:space="preserve"> </w:t>
      </w:r>
    </w:p>
    <w:p w:rsidR="00815BC2" w:rsidRPr="0065187E" w:rsidRDefault="00815BC2" w:rsidP="00815BC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5187E">
        <w:rPr>
          <w:color w:val="000000"/>
          <w:sz w:val="28"/>
          <w:szCs w:val="28"/>
          <w:lang w:val="uk-UA"/>
        </w:rPr>
        <w:t>Таблиця 1 – Рейтингові оцінки деяких країн на 01.01.09 р. (</w:t>
      </w:r>
      <w:r w:rsidRPr="0065187E">
        <w:rPr>
          <w:color w:val="000000"/>
          <w:sz w:val="28"/>
          <w:szCs w:val="28"/>
          <w:lang w:val="en-US"/>
        </w:rPr>
        <w:t>S</w:t>
      </w:r>
      <w:r w:rsidRPr="0065187E">
        <w:rPr>
          <w:color w:val="000000"/>
          <w:sz w:val="28"/>
          <w:szCs w:val="28"/>
        </w:rPr>
        <w:t>&amp;</w:t>
      </w:r>
      <w:r w:rsidRPr="0065187E">
        <w:rPr>
          <w:color w:val="000000"/>
          <w:sz w:val="28"/>
          <w:szCs w:val="28"/>
          <w:lang w:val="en-US"/>
        </w:rPr>
        <w:t>P</w:t>
      </w:r>
      <w:r w:rsidRPr="0065187E">
        <w:rPr>
          <w:color w:val="000000"/>
          <w:sz w:val="28"/>
          <w:szCs w:val="28"/>
          <w:lang w:val="uk-UA"/>
        </w:rPr>
        <w:t>)</w:t>
      </w:r>
    </w:p>
    <w:p w:rsidR="00815BC2" w:rsidRPr="0065187E" w:rsidRDefault="002D22BA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6" type="#_x0000_t75" style="width:301.5pt;height:210.75pt">
            <v:imagedata r:id="rId10" o:title=""/>
          </v:shape>
        </w:pict>
      </w:r>
    </w:p>
    <w:p w:rsidR="001E54BF" w:rsidRPr="0065187E" w:rsidRDefault="001E54BF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t xml:space="preserve">Таблиця 2 </w:t>
      </w:r>
      <w:r w:rsidRPr="0065187E">
        <w:rPr>
          <w:color w:val="000000"/>
          <w:sz w:val="28"/>
          <w:szCs w:val="28"/>
        </w:rPr>
        <w:t xml:space="preserve">- </w:t>
      </w:r>
      <w:r w:rsidRPr="0065187E">
        <w:rPr>
          <w:color w:val="000000"/>
          <w:sz w:val="28"/>
          <w:szCs w:val="28"/>
          <w:lang w:val="uk-UA"/>
        </w:rPr>
        <w:t>Економічні показники деяких країн з низькими рейтингами на 01.01.09 р.</w:t>
      </w:r>
      <w:r w:rsidRPr="0065187E">
        <w:rPr>
          <w:color w:val="000000"/>
          <w:sz w:val="28"/>
          <w:szCs w:val="28"/>
        </w:rPr>
        <w:t xml:space="preserve"> (</w:t>
      </w:r>
      <w:r w:rsidRPr="0065187E">
        <w:rPr>
          <w:color w:val="000000"/>
          <w:sz w:val="28"/>
          <w:szCs w:val="28"/>
          <w:lang w:val="en-US"/>
        </w:rPr>
        <w:t>S</w:t>
      </w:r>
      <w:r w:rsidRPr="0065187E">
        <w:rPr>
          <w:color w:val="000000"/>
          <w:sz w:val="28"/>
          <w:szCs w:val="28"/>
        </w:rPr>
        <w:t>&amp;</w:t>
      </w:r>
      <w:r w:rsidRPr="0065187E">
        <w:rPr>
          <w:color w:val="000000"/>
          <w:sz w:val="28"/>
          <w:szCs w:val="28"/>
          <w:lang w:val="en-US"/>
        </w:rPr>
        <w:t>P</w:t>
      </w:r>
      <w:r w:rsidRPr="0065187E">
        <w:rPr>
          <w:color w:val="000000"/>
          <w:sz w:val="28"/>
          <w:szCs w:val="28"/>
        </w:rPr>
        <w:t>)</w:t>
      </w:r>
    </w:p>
    <w:p w:rsidR="001E54BF" w:rsidRPr="0065187E" w:rsidRDefault="002D22BA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7" type="#_x0000_t75" style="width:281.25pt;height:198pt">
            <v:imagedata r:id="rId11" o:title=""/>
          </v:shape>
        </w:pict>
      </w: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15BC2" w:rsidRPr="0065187E" w:rsidRDefault="00815BC2" w:rsidP="0081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87E">
        <w:rPr>
          <w:color w:val="000000"/>
          <w:sz w:val="28"/>
          <w:szCs w:val="28"/>
          <w:lang w:val="uk-UA"/>
        </w:rPr>
        <w:br w:type="page"/>
        <w:t>Таблиця 3 – Динаміка рейтингу України за 2001 – 2009 рр. (</w:t>
      </w:r>
      <w:r w:rsidRPr="0065187E">
        <w:rPr>
          <w:color w:val="000000"/>
          <w:sz w:val="28"/>
          <w:szCs w:val="28"/>
          <w:lang w:val="en-US"/>
        </w:rPr>
        <w:t>S</w:t>
      </w:r>
      <w:r w:rsidRPr="0065187E">
        <w:rPr>
          <w:color w:val="000000"/>
          <w:sz w:val="28"/>
          <w:szCs w:val="28"/>
        </w:rPr>
        <w:t>&amp;</w:t>
      </w:r>
      <w:r w:rsidRPr="0065187E">
        <w:rPr>
          <w:color w:val="000000"/>
          <w:sz w:val="28"/>
          <w:szCs w:val="28"/>
          <w:lang w:val="en-US"/>
        </w:rPr>
        <w:t>P</w:t>
      </w:r>
      <w:r w:rsidRPr="0065187E">
        <w:rPr>
          <w:color w:val="000000"/>
          <w:sz w:val="28"/>
          <w:szCs w:val="28"/>
        </w:rPr>
        <w:t>)</w:t>
      </w:r>
    </w:p>
    <w:p w:rsidR="00815BC2" w:rsidRPr="0065187E" w:rsidRDefault="002D22BA" w:rsidP="0065019A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8" type="#_x0000_t75" style="width:294.75pt;height:293.25pt">
            <v:imagedata r:id="rId12" o:title=""/>
          </v:shape>
        </w:pict>
      </w:r>
      <w:bookmarkStart w:id="0" w:name="_GoBack"/>
      <w:bookmarkEnd w:id="0"/>
    </w:p>
    <w:sectPr w:rsidR="00815BC2" w:rsidRPr="0065187E" w:rsidSect="00815B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87E" w:rsidRDefault="0065187E">
      <w:r>
        <w:separator/>
      </w:r>
    </w:p>
  </w:endnote>
  <w:endnote w:type="continuationSeparator" w:id="0">
    <w:p w:rsidR="0065187E" w:rsidRDefault="0065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87E" w:rsidRDefault="0065187E">
      <w:r>
        <w:separator/>
      </w:r>
    </w:p>
  </w:footnote>
  <w:footnote w:type="continuationSeparator" w:id="0">
    <w:p w:rsidR="0065187E" w:rsidRDefault="00651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5CF" w:rsidRDefault="008C75CF" w:rsidP="00E02FD9">
    <w:pPr>
      <w:pStyle w:val="a6"/>
      <w:framePr w:wrap="around" w:vAnchor="text" w:hAnchor="margin" w:xAlign="right" w:y="1"/>
      <w:rPr>
        <w:rStyle w:val="a8"/>
      </w:rPr>
    </w:pPr>
  </w:p>
  <w:p w:rsidR="008C75CF" w:rsidRDefault="008C75CF" w:rsidP="008C75C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5CF" w:rsidRDefault="008C75CF" w:rsidP="008C75C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744B4"/>
    <w:multiLevelType w:val="hybridMultilevel"/>
    <w:tmpl w:val="5E9C0608"/>
    <w:lvl w:ilvl="0" w:tplc="09A43E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66ADE"/>
    <w:multiLevelType w:val="hybridMultilevel"/>
    <w:tmpl w:val="882A27B2"/>
    <w:lvl w:ilvl="0" w:tplc="6234B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171779"/>
    <w:multiLevelType w:val="multilevel"/>
    <w:tmpl w:val="59A2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C85333"/>
    <w:multiLevelType w:val="hybridMultilevel"/>
    <w:tmpl w:val="4EEC310C"/>
    <w:lvl w:ilvl="0" w:tplc="9AC87614">
      <w:start w:val="2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7491BF6"/>
    <w:multiLevelType w:val="hybridMultilevel"/>
    <w:tmpl w:val="F8EAC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5D279DF"/>
    <w:multiLevelType w:val="hybridMultilevel"/>
    <w:tmpl w:val="138A08F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190"/>
    <w:rsid w:val="00030CD4"/>
    <w:rsid w:val="00040851"/>
    <w:rsid w:val="00092A73"/>
    <w:rsid w:val="00097E99"/>
    <w:rsid w:val="001242FC"/>
    <w:rsid w:val="001E54BF"/>
    <w:rsid w:val="002D22BA"/>
    <w:rsid w:val="00310877"/>
    <w:rsid w:val="00351D0D"/>
    <w:rsid w:val="00393674"/>
    <w:rsid w:val="003D4B0B"/>
    <w:rsid w:val="003D65E8"/>
    <w:rsid w:val="004931F9"/>
    <w:rsid w:val="004A2A9E"/>
    <w:rsid w:val="004E2619"/>
    <w:rsid w:val="00557928"/>
    <w:rsid w:val="005C2053"/>
    <w:rsid w:val="0065019A"/>
    <w:rsid w:val="0065187E"/>
    <w:rsid w:val="00693190"/>
    <w:rsid w:val="00743AE5"/>
    <w:rsid w:val="007502E6"/>
    <w:rsid w:val="00766151"/>
    <w:rsid w:val="0078092B"/>
    <w:rsid w:val="00815BC2"/>
    <w:rsid w:val="008C75CF"/>
    <w:rsid w:val="00A64824"/>
    <w:rsid w:val="00AF6889"/>
    <w:rsid w:val="00B87FEE"/>
    <w:rsid w:val="00BE0D7C"/>
    <w:rsid w:val="00C651B8"/>
    <w:rsid w:val="00C90713"/>
    <w:rsid w:val="00CD3429"/>
    <w:rsid w:val="00D96722"/>
    <w:rsid w:val="00DF4198"/>
    <w:rsid w:val="00E02FD9"/>
    <w:rsid w:val="00E179D0"/>
    <w:rsid w:val="00E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DCDCA09E-9F12-408E-BE25-E52FF76B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408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CD3429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CD3429"/>
    <w:rPr>
      <w:rFonts w:cs="Times New Roman"/>
      <w:i/>
      <w:iCs/>
    </w:rPr>
  </w:style>
  <w:style w:type="character" w:styleId="a5">
    <w:name w:val="Strong"/>
    <w:uiPriority w:val="22"/>
    <w:qFormat/>
    <w:rsid w:val="00CD3429"/>
    <w:rPr>
      <w:rFonts w:cs="Times New Roman"/>
      <w:b/>
      <w:bCs/>
    </w:rPr>
  </w:style>
  <w:style w:type="paragraph" w:customStyle="1" w:styleId="style82">
    <w:name w:val="style82"/>
    <w:basedOn w:val="a"/>
    <w:rsid w:val="00351D0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AF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8C75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8C75CF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815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15BC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2</cp:revision>
  <cp:lastPrinted>2009-10-06T20:58:00Z</cp:lastPrinted>
  <dcterms:created xsi:type="dcterms:W3CDTF">2014-03-23T21:44:00Z</dcterms:created>
  <dcterms:modified xsi:type="dcterms:W3CDTF">2014-03-23T21:44:00Z</dcterms:modified>
</cp:coreProperties>
</file>