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30F" w:rsidRDefault="000360D3" w:rsidP="00F2630F">
      <w:pPr>
        <w:autoSpaceDE w:val="0"/>
        <w:autoSpaceDN w:val="0"/>
        <w:adjustRightInd w:val="0"/>
        <w:spacing w:line="360" w:lineRule="auto"/>
        <w:ind w:left="709"/>
        <w:jc w:val="both"/>
        <w:rPr>
          <w:b/>
          <w:bCs/>
          <w:caps/>
          <w:kern w:val="28"/>
          <w:sz w:val="28"/>
          <w:szCs w:val="28"/>
          <w:lang w:val="en-US"/>
        </w:rPr>
      </w:pPr>
      <w:r w:rsidRPr="00F2630F">
        <w:rPr>
          <w:b/>
          <w:bCs/>
          <w:caps/>
          <w:kern w:val="28"/>
          <w:sz w:val="28"/>
          <w:szCs w:val="28"/>
        </w:rPr>
        <w:t xml:space="preserve">Использование имущественных прав на товарные знаки иностранных юридических лиц: </w:t>
      </w:r>
    </w:p>
    <w:p w:rsidR="000360D3" w:rsidRPr="00F2630F" w:rsidRDefault="000360D3" w:rsidP="00F2630F">
      <w:pPr>
        <w:autoSpaceDE w:val="0"/>
        <w:autoSpaceDN w:val="0"/>
        <w:adjustRightInd w:val="0"/>
        <w:spacing w:line="360" w:lineRule="auto"/>
        <w:ind w:left="709"/>
        <w:jc w:val="both"/>
        <w:rPr>
          <w:b/>
          <w:bCs/>
          <w:caps/>
          <w:kern w:val="28"/>
          <w:sz w:val="28"/>
          <w:szCs w:val="28"/>
        </w:rPr>
      </w:pPr>
      <w:r w:rsidRPr="00F2630F">
        <w:rPr>
          <w:b/>
          <w:bCs/>
          <w:caps/>
          <w:kern w:val="28"/>
          <w:sz w:val="28"/>
          <w:szCs w:val="28"/>
        </w:rPr>
        <w:t>бухгалтерский учет и налогообложение</w:t>
      </w:r>
    </w:p>
    <w:p w:rsidR="000360D3" w:rsidRPr="00F2630F" w:rsidRDefault="000360D3" w:rsidP="00F2630F">
      <w:pPr>
        <w:autoSpaceDE w:val="0"/>
        <w:autoSpaceDN w:val="0"/>
        <w:adjustRightInd w:val="0"/>
        <w:spacing w:line="360" w:lineRule="auto"/>
        <w:ind w:firstLine="709"/>
        <w:jc w:val="both"/>
        <w:rPr>
          <w:kern w:val="28"/>
          <w:sz w:val="28"/>
          <w:szCs w:val="28"/>
        </w:rPr>
      </w:pP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 условиях, когда рынок товаров (работ, услуг) насыщен предложениями от различных производителей и продавцов, для привлечения внимания потребителей к конкретному товару (работе, услуге) каждый продавец (производитель) стремится каким-либо доступным ему способом выделить свой товар (работу, услугу) из ряда предлагаемых его конкурентами. Индивидуализация конкретных товаров (работ, услуг) может осуществляться путем использования различных средств, одним из которых являются товарные знаки и знаки обслуживания (далее - товарные знаки).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Товарные знаки согласно ст. 980 Гражданского кодекса Республики Беларусь от 07.12.1998 № 218-З (с изменениями и дополнениями) (далее - ГК) включаются в состав объектов интеллектуальной собственности, исключительное право на которые принадлежит их обладателю (владельцу) (ст. 983 ГК).</w:t>
      </w:r>
    </w:p>
    <w:p w:rsidR="000360D3" w:rsidRPr="00F2630F" w:rsidRDefault="00F2630F" w:rsidP="00F2630F">
      <w:pPr>
        <w:autoSpaceDE w:val="0"/>
        <w:autoSpaceDN w:val="0"/>
        <w:adjustRightInd w:val="0"/>
        <w:spacing w:line="360" w:lineRule="auto"/>
        <w:ind w:firstLine="709"/>
        <w:jc w:val="both"/>
        <w:rPr>
          <w:kern w:val="28"/>
          <w:sz w:val="28"/>
          <w:szCs w:val="28"/>
        </w:rPr>
      </w:pPr>
      <w:r>
        <w:rPr>
          <w:kern w:val="28"/>
          <w:sz w:val="28"/>
          <w:szCs w:val="28"/>
        </w:rPr>
        <w:t xml:space="preserve">Владелец 1 </w:t>
      </w:r>
      <w:r w:rsidR="000360D3" w:rsidRPr="00F2630F">
        <w:rPr>
          <w:kern w:val="28"/>
          <w:sz w:val="28"/>
          <w:szCs w:val="28"/>
        </w:rPr>
        <w:t>товарного знака в силу своего исключительного права на него может в соответствии с п. 1 ст. 3 Закона Республики Беларусь от 05.02.1993 № 2181-XII "О товарных знаках и знаках обслуживания" (с изменениями и дополнениями) (далее - Закон № 2181-XII) пользоваться и распоряжаться им, а также запрещать его использование другим юридическим и физическим лицам.</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Товарным знаком, как указано в п. 1 ст. 1017 ГК, признается обозначение, способствующее отличию товаров или услуг одного лица от однородных товаров или услуг других лиц.</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 качестве товарного знака согласно п. 2 ст. 1017 ГК могут быть зарегистрированы словесные обозначения, включая имена собственные, сочетания цветов, буквенные, цифровые, изобразительные, объемные обозначения, включая форму товара или его упаковку, а также комбинации таких обозначений.</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Пунктом 3 ст. 1017 ГК также оговорено, что товарный знак может быть зарегистрирован в любом цвете или цветовом сочетании.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Указанные выше положения ст. 1017 ГК дополнительно закреплены и в ст. 1 Закона № 2181-XII.</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 большинстве случаев товарные знаки помещаются на товары и (или) их упаковку, этикетки и описания товаров, наносятся на фирменную одежду обслуживающего персонала, экземпляры рекламной продукции, фирменные бланки, канцелярские товары, указываются в названиях или используются при оформлении интернет-сайтов, на рекламных щитах, вывесках и стендах.</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Создание и популяризация товарного знака до состояния, когда он будет легко узнаваем потребителями, а обозначенные им товары (работы, услуги) будут широко востребованы ими, требует значительных капиталовложений и занимает длительное время. В связи с этим достаточно распространенной практикой является использование чужих товарных знаков для извлечения прибыли от реализации своих товаров (работ, услуг), в том числе хорошо известных отечественному потребителю или пока еще не очень известных иностранных компаний.</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Передача прав на использование товарного знака иностранной организацией 2  , его владельцем (лицензиаром), другому лицу (лицензиату) осуществляется на основании заключенного лицензионного договора, который в большинстве случаев является возмездным.</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Вознаграждением по лицензионному договору, получаемым иностранной организацией за использование ее имущественных прав на товарный знак, выступают лицензионные платежи, которые бывают двух видов: паушальный платеж и роялти.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Паушальный платеж - твердо зафиксированная сумма вознаграждения за предоставленные по лицензионному договору права на использование объектов интеллектуальной собственности вне зависимости от фактических размеров реализуемой лицензионной продукции (услуг). Паушальный платеж может производиться как единовременно, так и в рассрочку.</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Роялти - текущие (периодические) отчисления в виде фиксированных ставок от объема реализуемой по лицензионному договору продукции (услуг) через определенные промежутки времени 3  .</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Следует отметить, что величина роялти или паушального платежа устанавливается в лицензионном договоре по соглашению сторон и не ограничивается законодательством в области ценообразования.</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Для обеспечения надлежащей законодательной защиты прав потребителей ст. 1023 ГК установлено, что лицензионный договор должен содержать условие о том, что качество товаров лицензиата будет не ниже качества товаров лицензиара, и что лицензиар будет осуществлять контроль за соблюдением данного условия.</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 соответствии с требованиями ст. 24 Закона № 2181-XII лицензионный договор между иностранной организацией и организацией - резидентом Республики Беларусь должен быть зарегистрирован в патентном органе в порядке, установленном Правилами рассмотрения и регистрации договоров уступки товарного знака и лицензионных договоров о предоставлении права использования товарного знака, утвержденными приказом Государственного патентного комитета Республики Беларусь от 30.12.1998 № 52 (с изменениями и дополнениями) (далее - Правила № 52).</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Регистрация лицензионного договора согласно п. 3.1 Правил 52 осуществляется владельцем товарного знака или его представителем 4   в государственном учреждении "Национальный центр интеллектуальной собственности" Комитета по науке и технологиям при Совете Министров Республики Беларусь, являющимся патентным органом, путем подачи следующих документов:</w:t>
      </w:r>
    </w:p>
    <w:p w:rsidR="000360D3" w:rsidRPr="00F2630F" w:rsidRDefault="000360D3" w:rsidP="00F2630F">
      <w:pPr>
        <w:autoSpaceDE w:val="0"/>
        <w:autoSpaceDN w:val="0"/>
        <w:adjustRightInd w:val="0"/>
        <w:spacing w:line="360" w:lineRule="auto"/>
        <w:ind w:left="709"/>
        <w:jc w:val="both"/>
        <w:rPr>
          <w:kern w:val="28"/>
          <w:sz w:val="28"/>
          <w:szCs w:val="28"/>
        </w:rPr>
      </w:pPr>
      <w:r w:rsidRPr="00F2630F">
        <w:rPr>
          <w:kern w:val="28"/>
          <w:sz w:val="28"/>
          <w:szCs w:val="28"/>
        </w:rPr>
        <w:t>-заявления о регистрации лицензионного договора;</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-лицензионного договора в трех экземплярах (два экземпляра - подлинники, третий экземпляр - заверенная копия);</w:t>
      </w:r>
    </w:p>
    <w:p w:rsidR="000360D3" w:rsidRPr="00F2630F" w:rsidRDefault="000360D3" w:rsidP="00F2630F">
      <w:pPr>
        <w:autoSpaceDE w:val="0"/>
        <w:autoSpaceDN w:val="0"/>
        <w:adjustRightInd w:val="0"/>
        <w:spacing w:line="360" w:lineRule="auto"/>
        <w:ind w:left="709"/>
        <w:jc w:val="both"/>
        <w:rPr>
          <w:kern w:val="28"/>
          <w:sz w:val="28"/>
          <w:szCs w:val="28"/>
        </w:rPr>
      </w:pPr>
      <w:r w:rsidRPr="00F2630F">
        <w:rPr>
          <w:kern w:val="28"/>
          <w:sz w:val="28"/>
          <w:szCs w:val="28"/>
        </w:rPr>
        <w:t>-копии свидетельства на товарный знак;</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-документа, подтверждающего факт уплаты пошлины за регистрацию лицензионного договора 5  ;</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-доверенности, оформленной согласно требованиям действующего законодательства Республики Беларусь, в случае, если регистрация лицензионного договора осуществляется не самим владельцем товарного знака, а его полномочным представителем.</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Заявление о регистрации лицензионного договора подается иностранной организацией или ее представителем в течение шести месяцев после подписания лицензионного договора (п. 3.2 Правил № 52).</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Все документы, необходимые для регистрации лицензионного договора, согласно п. 3.3 Правил № 52 представляются иностранной организацией или ее представителем в патентный орган на русском или белорусском языке. Причем в заявлении о регистрации лицензионного договора официальное наименование иностранной организации и ее адрес указываются без перевода буквами русского или белорусского языка.</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Лицензионный договор, не зарегистрированный в установленном законодательством Республики Беларусь порядке, считается недействительным.</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 случае принятия патентным органом решения о регистрации представленного иностранной организацией лицензионного договора на всех его экземплярах проставляется штамп отдела регистрации патентного органа, а на последнем листе за подписью начальника отдела регистрации производится запись о том, что данный договор зарегистрирован в Национальном центре интеллектуальной собственности.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Отказ в государственной регистрации лицензионного договора на право использования товарного знака может иметь место, если действие охранного документа прекращено досрочно или он признан недействительным, а также, если положения соответствующего договора противоречат действующему законодательству Республики Беларусь или международным договорам, участницей которых является Республика Беларусь (п. 4.5.2 Правил № 52).</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Прошедший государственную регистрацию лицензионный договор является действительным для третьих лиц, начиная с даты его государственной регистрации.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При необходимости в течение срока действия прошедшего государственную регистрацию лицензионного договора могут быть внесены соответствующие изменения и (или) дополнения, которые согласно требованиям Правил № 52 подлежат государственной регистрации в патентном органе каждый раз, когда они будут иметь место, в порядке, установленном п. 4.7 и 4.8 Правил № 52.</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Полученные организацией - резидентом Республики Беларусь права на использование товарного знака иностранной организации согласно п. 3 Положения по бухгалтерскому учету нематериальных активов, утвержденного постановлением Министерства финансов Республики Беларусь от 12.12.2001 № 118 (в редакции постановления от 31.03.2003 № 48) (далее - Положение № 118), для целей бухгалтерского учета относятся к нематериальным активам.</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Данная норма закреплена и в п. 17.5 Инструкции о порядке начисления амортизации основных средств и нематериальных активов в редакции постановления Министерства экономики, Министерства финансов, Министерства статистики и анализа и Министерства строительства и архитектуры Республики Беларусь от 30.03.2004 № 87/55/33/5 (далее - Инструкция № 87/55/33/5).</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Переданные иностранной организацией имущественные права на использование ее товарного знака отражаются в бухгалтерском учете лицензиата согласно требованиям п. 30 Инструкции по бухгалтерскому учету нематериальных активов, утвержденной постановлением Министерства финансов Республики Беларусь от 20.12.2001 № 128 (в редакции постановления от 09.07.2003 № 1472) (далее - Инструкция № 128), по дебету счета 04 "Нематериальные активы" в оценке, определяемой в соответствии с положениями главы 2 Инструкции № 128.</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Бухгалтерский учет нематериальных активов в форме полученных от иностранных организаций имущественных прав на использование их товарных знаков ведется по первоначальной стоимости, которая в соответствии с п. 11 Положения № 118 складывается из фактических расходов по приобретению данных объектов нематериальных активов и включает в себя:</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-стоимость самого нематериального актива, включая паушальный платеж;</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-услуги сторонних организаций, связанные с приобретением и оценкой данного объекта нематериальных активов;</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-таможенные платежи, регистрационные сборы, государственные пошлины и другие платежи, произведенные в связи с получением прав на данный объект нематериальных активов;</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-налоги и другие платежи в бюджет в соответствии с законодательством;</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-иные затраты, непосредственно связанные с приобретением данного объекта нематериальных активов.</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При этом оценка нематериальных активов, стоимость которых выражена в иностранной валюте, согласно требованиям п. 11 Положения № 118 производится в белорусских рублях путем пересчета иностранной валюты по официальному курсу Национального банка Республики Беларусь, действующему на дату совершения хозяйственной операции.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Датой совершения операции согласно п. 4 Положения по бухгалтерскому учету имущества и обязательств организации, стоимость которых выражена в иностранной валюте, утвержденного постановлением Министерства финансов Республики Беларусь от 17.07.2000 № 78 (далее - Положение № 78), считается дата возникновения у организации права в соответствии с законодательством Республики Беларусь или договором принятия к бухгалтерскому учету имущества и обязательств, которые являются результатом этой операции.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Часто момент возникновения обязательства по уплате лицензионных платежей не совпадает с моментом фактического погашения возникшего обязательства. В связи с изменением за период между этими датами курса Нацбанка Республики Беларусь иностранной валюты, в которой выражено обязательство и производятся расчеты, организации-лицензиаты должны осуществлять переоценку обязательства, выраженного в иностранной валюте, в порядке и сроке, установленных Положением № 78.</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Согласно п. 9 Положения № 78, Типовому плану счетов бухгалтерского учета и Инструкции по применению Типового плана счетов бухгалтерского учета, утвержденным постановлением Министерства финансов Республики Беларусь от 30.05.2003 № 89 (с изменениями и дополнениями) (далее - Инструкция № 89), курсовые разницы, возникающие по переоценке кредиторской задолженности, выраженной в иностранной валюте, отражаются на счете 97 "Расходы будущих периодов".</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Списание курсовых разниц, возникших при переоценке кредиторской задолженности по уплате лицензионных платежей, с отнесением их на финансовые результаты отчетного периода осуществляется согласно п. 12.1.1 Положения № 78 в размере не более 10 % от фактической себестоимости реализованных товаров (продукции, работ, услуг).</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Учитывая требования п. 34 Инструкции № 128, сумма начисленного и впоследствии уплаченного иностранной организации паушального платежа отражается в бухгалтерском учете записью Дебет 08-6 - Кредит 60 (76) и подлежит списанию в дебет счета 04 записью Дебет 04 - Кредит 08-6.</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Начисление периодических лицензионных платежей (роялти) согласно п. 34 Инструкции № 128 отражается в бухгалтерском учете записью Дебет 20 (23, 25, 26, 44) - Кредит 60 (76).</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Перечисление начисленных лицензиатом лицензионных платежей (единовременных (паушальных) или периодических (роялти)) отражается в соответствии с п. 34 Инструкции № 128 записью Дебет 60 (76) - Кредит 51 (52).</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Полученные имущественные права на использование товарного знака иностранной организации включаются в состав амортизируемого имущества лицензиата. Амортизационные отчисления по данным объектам согласно п. 33 и 37 Инструкции № 87/55/33/5 производятся исходя из выбранного срока полезного использования, который устанавливается в пределах содержащегося в приложении 3 к Инструкции № 87/55/33/5 диапазона, или в соответствии с нормативным сроком службы, линейным, нелинейным и производительным способами от их амортизируемой стоимости.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Начисленные в пользу иностранной организации-лицензиара периодические лицензионные платежи согласно п. 2.2.5 Основных положений по составу затрат, включаемых в себестоимость продукции (работ, услуг), утвержденных Министерством экономики Республики Беларусь 26.01.1998 № 19-12/397, Министерством финансов Республики Беларусь 30.01.1998 № 3, Министерством статисктики и анализа Республики Беларусь 30.01.1998 г. № 01-21/8 и Министерством труда Республики Беларусь 30.01.1998 № 03-02-07/300 (с изменениями и дополнениями) (далее - Основные положения), включаются в себестоимость соответственно продукции (работ, услуг) для целей бухгалтерского учета.</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Также на основании содержания п. 2.2.25 Основных положений организации-лицензиаты имеют право для целей бухгалтерского учета включать в состав себестоимости продукции (работ, услуг) произведенные ими амортизационные отчисления в соответствии с законодательством от стоимости учитываемых в составе нематериальных активов имущественных прав на товарные знаки иностранных организаций-лицензиаров.</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Пунктом 3 ст. 14 Общей части Налогового кодекса Республики Беларусь от 19.12.2002 № 166-З (с изменениями и дополнениями) (далее - НК) установлено, что иностранные организации не являются налоговыми резидентами Республики Беларусь и несут налоговую обязанность только по доходам от источников в Республике Беларусь и по имуществу, расположенному на ее территории.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Если организация - резидент Республики Беларусь заключила договор с иностранной организацией на использование ее имущественных прав на товарные знаки, то согласно п. 1 ст. 23 НК данная белорусская организация признается налоговым агентом по отношению к иностранному партнеру. Как налоговый агент она имеет те же права, что и остальные плательщики налогов и сборов, если нормами НК не установлен иной порядок. Обязанности налогового агента оговорены в п. 3 ст. 23 НК.</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 соответствии с п. 1.1 ст. 1 Закона Республики Беларусь от 19.12.1991 № 1319-XII "О налоге на добавленную стоимость" (с изменениями и дополнениями) (далее - Закон № 1319-XII) плательщиками НДС признаются и иностранные организации.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Для целей исчисления НДС предоставление иностранной организацией имущественных прав на товарные знаки организациям - резидентам Республики Беларусь приравнивается к реализации имущественных прав на объекты интеллектуальной собственности на территории Республики Беларусь и согласно п. 1.1 ст. 2 Закона № 1319-XII является объектом обложения НДС.</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Республика Беларусь признается местом реализации имущественных прав на товарные знаки в отношении осуществляемой в соответствии с лицензионным договором передачи этих прав во временное пользование организации - резиденту Республики Беларусь только в том случае, если согласно п. 1.4 ст. 33 НК приобретатель имущественных прав на товарные знаки осуществляет свою деятельность на территории Республики Беларусь и (или) местом его нахождения является Республика Беларусь.</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 случае реализации иностранными организациями имущественных прав на товарные знаки обязанность по исчислению и перечислению в бюджет Республики Беларусь НДС согласно ст. 1-2 Закона № 1319-XII возлагается на их налоговых агентов - на организации - резиденты Республики Беларусь, являющиеся лицензиатами.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Как следует из п. 11 ст. 7 Закона № 1319-XII, налоговая база по реализации имущественных прав на товарные знаки иностранными организациями определяется как стоимость этих объектов интеллектуальной собственности.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Стоимостью получаемых от иностранных организаций имущественных прав на товарные знаки являются уплачиваемые организациями - резидентами Республики Беларусь лицензионные платежи. Следовательно, налоговой базой при получении в пользование имущественных прав на товарные знаки иностранных организаций являются суммы начисленных в пользу этих организаций лицензионных платежей (периодических или единовременных).</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Пример 1</w:t>
      </w:r>
    </w:p>
    <w:p w:rsidR="000360D3" w:rsidRPr="00F2630F" w:rsidRDefault="000360D3" w:rsidP="00F2630F">
      <w:pPr>
        <w:autoSpaceDE w:val="0"/>
        <w:autoSpaceDN w:val="0"/>
        <w:adjustRightInd w:val="0"/>
        <w:spacing w:line="360" w:lineRule="auto"/>
        <w:ind w:firstLine="709"/>
        <w:jc w:val="both"/>
        <w:rPr>
          <w:iCs/>
          <w:kern w:val="28"/>
          <w:sz w:val="28"/>
          <w:szCs w:val="28"/>
        </w:rPr>
      </w:pPr>
      <w:r w:rsidRPr="00F2630F">
        <w:rPr>
          <w:iCs/>
          <w:kern w:val="28"/>
          <w:sz w:val="28"/>
          <w:szCs w:val="28"/>
        </w:rPr>
        <w:t>В соответствии с условиями лицензионного договора плата за использование товарного знака организации - резидента Польши составляет 5 % от величины выручки от реализации товаров с нанесением на их упаковку данного товарного знака. За отчетный месяц лицензиатом получена выручка от реализации указанных выше товаров на общую сумму 38 560 тыс. руб. Величина лицензионного вознаграждения (роялти) - 1928 тыс. руб. (38 560 х 5 / 100).</w:t>
      </w:r>
    </w:p>
    <w:p w:rsidR="000360D3" w:rsidRPr="00F2630F" w:rsidRDefault="000360D3" w:rsidP="00F2630F">
      <w:pPr>
        <w:autoSpaceDE w:val="0"/>
        <w:autoSpaceDN w:val="0"/>
        <w:adjustRightInd w:val="0"/>
        <w:spacing w:line="360" w:lineRule="auto"/>
        <w:ind w:firstLine="709"/>
        <w:jc w:val="both"/>
        <w:rPr>
          <w:iCs/>
          <w:kern w:val="28"/>
          <w:sz w:val="28"/>
          <w:szCs w:val="28"/>
        </w:rPr>
      </w:pPr>
      <w:r w:rsidRPr="00F2630F">
        <w:rPr>
          <w:iCs/>
          <w:kern w:val="28"/>
          <w:sz w:val="28"/>
          <w:szCs w:val="28"/>
        </w:rPr>
        <w:t>Таким образом, налоговой базой по реализации имущественных прав на товарный знак резидентом Польши на территории Республики Беларусь составит 1928 тыс. руб., а сумма налога будет равна 347 040 руб. (1928 000 х 18 /100).</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Согласно ст. 7 Закона № 1319-XII обязанность по определению налоговой базы по реализованным иностранными организациями правам на товарные знаки, расчету суммы НДС по соответствующей ставке и уплате его в бюджет Республики Беларусь возлагается на налоговых агентов, которые исполняют ее вне зависимости от того, являются ли они сами плательщиками НДС или нет.</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При реализации на территории Республики Беларусь товаров (работ, услуг), имущественных прав на объекты интеллектуальной собственности иностранными организациями налоговая база равна нулю, если при ввозе товаров (работ, услуг), имущественных прав на объекты интеллектуальной собственности на таможенную территорию Республики Беларусь уплачен НДС, за исключением НДС, уплаченного в таможенном режиме временного ввоза.</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Моментом фактической реализации имущественных прав на товарные знаки иностранными организациями согласно п. 3 ст. 10 Закона № 1319-XII признается день оплаты этих прав на объекты интеллектуальной собственности.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Пример 2</w:t>
      </w:r>
    </w:p>
    <w:p w:rsidR="000360D3" w:rsidRPr="00F2630F" w:rsidRDefault="000360D3" w:rsidP="00F2630F">
      <w:pPr>
        <w:autoSpaceDE w:val="0"/>
        <w:autoSpaceDN w:val="0"/>
        <w:adjustRightInd w:val="0"/>
        <w:spacing w:line="360" w:lineRule="auto"/>
        <w:ind w:firstLine="709"/>
        <w:jc w:val="both"/>
        <w:rPr>
          <w:iCs/>
          <w:kern w:val="28"/>
          <w:sz w:val="28"/>
          <w:szCs w:val="28"/>
        </w:rPr>
      </w:pPr>
      <w:r w:rsidRPr="00F2630F">
        <w:rPr>
          <w:iCs/>
          <w:kern w:val="28"/>
          <w:sz w:val="28"/>
          <w:szCs w:val="28"/>
        </w:rPr>
        <w:t xml:space="preserve">По лицензионному договору организацией-лицензиатом 30 марта </w:t>
      </w:r>
      <w:smartTag w:uri="urn:schemas-microsoft-com:office:smarttags" w:element="metricconverter">
        <w:smartTagPr>
          <w:attr w:name="ProductID" w:val="2007 г"/>
        </w:smartTagPr>
        <w:r w:rsidRPr="00F2630F">
          <w:rPr>
            <w:iCs/>
            <w:kern w:val="28"/>
            <w:sz w:val="28"/>
            <w:szCs w:val="28"/>
          </w:rPr>
          <w:t>2007 г</w:t>
        </w:r>
      </w:smartTag>
      <w:r w:rsidRPr="00F2630F">
        <w:rPr>
          <w:iCs/>
          <w:kern w:val="28"/>
          <w:sz w:val="28"/>
          <w:szCs w:val="28"/>
        </w:rPr>
        <w:t xml:space="preserve">. было начислено лицензионное вознаграждение за использование имущественных прав на товарный знак иностранной организации. Оплата начисленной суммы лицензионного вознаграждения осуществлена 04 апреля </w:t>
      </w:r>
      <w:smartTag w:uri="urn:schemas-microsoft-com:office:smarttags" w:element="metricconverter">
        <w:smartTagPr>
          <w:attr w:name="ProductID" w:val="2007 г"/>
        </w:smartTagPr>
        <w:r w:rsidRPr="00F2630F">
          <w:rPr>
            <w:iCs/>
            <w:kern w:val="28"/>
            <w:sz w:val="28"/>
            <w:szCs w:val="28"/>
          </w:rPr>
          <w:t>2007 г</w:t>
        </w:r>
      </w:smartTag>
      <w:r w:rsidRPr="00F2630F">
        <w:rPr>
          <w:iCs/>
          <w:kern w:val="28"/>
          <w:sz w:val="28"/>
          <w:szCs w:val="28"/>
        </w:rPr>
        <w:t xml:space="preserve">. Следовательно, организация-лицензиат должна исчислить НДС от суммы начисленного ею лицензионного вознаграждения 04 апреля </w:t>
      </w:r>
      <w:smartTag w:uri="urn:schemas-microsoft-com:office:smarttags" w:element="metricconverter">
        <w:smartTagPr>
          <w:attr w:name="ProductID" w:val="2007 г"/>
        </w:smartTagPr>
        <w:r w:rsidRPr="00F2630F">
          <w:rPr>
            <w:iCs/>
            <w:kern w:val="28"/>
            <w:sz w:val="28"/>
            <w:szCs w:val="28"/>
          </w:rPr>
          <w:t>2007 г</w:t>
        </w:r>
      </w:smartTag>
      <w:r w:rsidRPr="00F2630F">
        <w:rPr>
          <w:iCs/>
          <w:kern w:val="28"/>
          <w:sz w:val="28"/>
          <w:szCs w:val="28"/>
        </w:rPr>
        <w:t xml:space="preserve">. и уплатить его не позднее 22 мая </w:t>
      </w:r>
      <w:smartTag w:uri="urn:schemas-microsoft-com:office:smarttags" w:element="metricconverter">
        <w:smartTagPr>
          <w:attr w:name="ProductID" w:val="2007 г"/>
        </w:smartTagPr>
        <w:r w:rsidRPr="00F2630F">
          <w:rPr>
            <w:iCs/>
            <w:kern w:val="28"/>
            <w:sz w:val="28"/>
            <w:szCs w:val="28"/>
          </w:rPr>
          <w:t>2007 г</w:t>
        </w:r>
      </w:smartTag>
      <w:r w:rsidRPr="00F2630F">
        <w:rPr>
          <w:iCs/>
          <w:kern w:val="28"/>
          <w:sz w:val="28"/>
          <w:szCs w:val="28"/>
        </w:rPr>
        <w:t>.</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Из содержания п. 1.3.1 ст. 11 Закона № 1319-XII следует, что реализация имущественных прав на товарные знаки иностранными организациями на территории Республики Беларусь облагается НДС по ставке 18 %. Исчисление НДС согласно п. 2 ст. 12 Закона № 1319-XII производится путем перемножения налоговой базы и ставки налога.</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Необходимо отметить, что, как следует из положений п. 2.3 ст. 16 Закона № 1319-XII, оплаченные в бюджет Республики Беларусь суммы НДС при приобретении у иностранной организации имущественных прав на товарные знаки от сумм оплаченных иностранным организациям-лицензиарам лицензионных платежей (единовременных или периодических) подлежат вычету.</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Рассматриваемые нами иностранные организации, получающие доход от источников в Республике Беларусь, уплачивают согласно ст. 10 Закона Республики Беларусь от 22.12.1991 № 1330-XII "О налогах на доходы и прибыль" (с изменениями и дополнениями) (далее - Закон № 1330-XII) налог на доходы по роялти в размере 15 %.</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Понятие "роялти" согласно этой же статье Закона № 1330-XII включает вознаграждение за использование имущественных прав или за предоставление права пользования имущественными правами на объекты авторского права, включая произведения литературы, искусства, науки, компьютерные программы, другие произведения, относящиеся к объекту авторского права, на объекты смежных прав, включая исполнение фонограммы, передачи организаций эфирного и кабельного вещания, а также плату за патент, товарный знак, знак обслуживания, фирменное наименование, чертеж, полезную модель, схему, формулу, промышленный образец или процесс либо за информацию относительно промышленного, коммерческого или научного опыта (в том числе ноу-хау), за использование имущества либо предоставление права пользования имуществом, кроме платежей по аренде международных (континентальных и межконтинентальных) каналов и сетей электросвязи.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Таким образом, организации-лицензиаты, исполняя обязанности налоговых агентов, должны исчислить налог на доходы иностранных организаций от величины их дохода в виде лицензионных платежей за использование предоставленных им имущественных прав на товарные знаки.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Налог с доходов иностранных организаций из источников в Республике Беларусь удерживается юридическими лицами и индивидуальными предпринимателями, выплачивающими доход иностранной организации, с полной суммы дохода. В случае выплаты дохода в неденежной форме налог уплачивается с денежного эквивалента дохода. Налог перечисляется в бюджет не позднее 22-го числа месяца, следующего за месяцем начисления платежа иностранной организации.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Доход исчисляется как общая сумма доходов за вычетом понесенных затрат в случаях и порядке, устанавливаемых Советом Министров Республики Беларусь.</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Налоговая декларация (расчет) по налогу на доходы иностранной организации представляется юридическим лицом или индивидуальным предпринимателем в налоговые органы ежемесячно не позднее 20-го числа месяца, следующего за месяцем начисления платежа иностранной организации.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Необходимо отметить, что в соответствии с п. 3 ст. 10 Закона № 1330-XII иностранная организация, имеющая в соответствии с международным договором Республики Беларусь право на полное или частичное освобождение от налога доходов из источников в Республике Беларусь, подает заявление о снижении или отмене налога в порядке, установленном Министерством по налогам и сборам Республики Беларусь.</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 состав затрат, учитываемых при исчислении облагаемой налогом прибыли у плательщиков - резидентов Республики Беларусь, согласно п. 4 ст. 3 Закона № 1330-XII относятся затраты на амортизацию основных средств и нематериальных активов, используемых в предпринимательской деятельности, в форме сумм амортизационных отчислений по основным средствам и нематериальным активам, используемым в предпринимательской деятельности, произведенные в порядке, установленном законодательством.</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 соответствии с п. 2.13 ст. 3 Закона № 1330-XII в состав материальных затрат, учитываемых при исчислении налога на прибыль, также включаются затраты, связанные с выплатой вознаграждений за создание и использование объектов промышленной собственности и рационализаторские предложения, и другие аналогичные расходы.</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Таким образом, в состав затрат, учитываемых при налогообложении прибыли, лицензиаты могут включить лицензионные платежи за использование объектов интеллектуальной собственности (в рассматриваемой ситуации - за использование имущественных прав на товарные знаки иностранных организаций).</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Отражение в бухгалтерском учете и налогообложение операций по использованию имущественных прав на товарные знаки иностранных организаций рассмотрим на следующем примере.</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Пример 3</w:t>
      </w:r>
    </w:p>
    <w:p w:rsidR="000360D3" w:rsidRDefault="000360D3" w:rsidP="00F2630F">
      <w:pPr>
        <w:autoSpaceDE w:val="0"/>
        <w:autoSpaceDN w:val="0"/>
        <w:adjustRightInd w:val="0"/>
        <w:spacing w:line="360" w:lineRule="auto"/>
        <w:ind w:firstLine="709"/>
        <w:jc w:val="both"/>
        <w:rPr>
          <w:iCs/>
          <w:kern w:val="28"/>
          <w:sz w:val="28"/>
          <w:szCs w:val="28"/>
          <w:lang w:val="en-US"/>
        </w:rPr>
      </w:pPr>
      <w:r w:rsidRPr="00F2630F">
        <w:rPr>
          <w:iCs/>
          <w:kern w:val="28"/>
          <w:sz w:val="28"/>
          <w:szCs w:val="28"/>
        </w:rPr>
        <w:t>Организация - резидент Республики Беларусь в соответствии с заключенным лицензионным договором с резидентом США получила сроком на два года имущественные права на использование товарного знака данной иностранной организации. За предоставленное право организация - резидент Республики Беларусь согласно условиям договора обязана заплатить 48 000 долл. США в рассрочку: равными частями в течение первого года действия договора. По соглашению данный лицензионный договор вступает в силу с даты перечисления первой части паушального платежа. Первая часть паушального платежа составляет 4000 долл. США и была перечислена лицензиатом 17.01.2007. Курс долл. США Нацбанка Республики Беларусь на 17.01.2007 составил 2140 руб. В бухгалтерском учете организации - резидента Республики Беларусь будут составлены следующие бухгалтерские записи:</w:t>
      </w:r>
    </w:p>
    <w:p w:rsidR="00F2630F" w:rsidRPr="00F2630F" w:rsidRDefault="00F2630F" w:rsidP="00F2630F">
      <w:pPr>
        <w:autoSpaceDE w:val="0"/>
        <w:autoSpaceDN w:val="0"/>
        <w:adjustRightInd w:val="0"/>
        <w:spacing w:line="360" w:lineRule="auto"/>
        <w:ind w:firstLine="709"/>
        <w:jc w:val="both"/>
        <w:rPr>
          <w:iCs/>
          <w:kern w:val="28"/>
          <w:sz w:val="28"/>
          <w:szCs w:val="28"/>
          <w:lang w:val="en-US"/>
        </w:rPr>
      </w:pPr>
    </w:p>
    <w:tbl>
      <w:tblPr>
        <w:tblW w:w="4579"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19"/>
        <w:gridCol w:w="4932"/>
        <w:gridCol w:w="1046"/>
        <w:gridCol w:w="1046"/>
        <w:gridCol w:w="1206"/>
      </w:tblGrid>
      <w:tr w:rsidR="000360D3" w:rsidRPr="00F2630F" w:rsidTr="00F2630F">
        <w:trPr>
          <w:trHeight w:val="453"/>
          <w:tblCellSpacing w:w="-8" w:type="dxa"/>
          <w:jc w:val="center"/>
        </w:trPr>
        <w:tc>
          <w:tcPr>
            <w:tcW w:w="254" w:type="pct"/>
            <w:tcBorders>
              <w:top w:val="single" w:sz="6" w:space="0" w:color="A3A3A3"/>
              <w:left w:val="single" w:sz="6" w:space="0" w:color="A3A3A3"/>
              <w:bottom w:val="single" w:sz="6" w:space="0" w:color="A3A3A3"/>
              <w:right w:val="single" w:sz="6" w:space="0" w:color="A3A3A3"/>
            </w:tcBorders>
            <w:shd w:val="clear" w:color="auto" w:fill="E6E6FF"/>
          </w:tcPr>
          <w:p w:rsidR="000360D3" w:rsidRPr="00F2630F" w:rsidRDefault="000360D3" w:rsidP="00F2630F">
            <w:pPr>
              <w:shd w:val="clear" w:color="auto" w:fill="E6E6FF"/>
              <w:autoSpaceDE w:val="0"/>
              <w:autoSpaceDN w:val="0"/>
              <w:adjustRightInd w:val="0"/>
              <w:jc w:val="both"/>
              <w:rPr>
                <w:kern w:val="28"/>
                <w:sz w:val="20"/>
                <w:szCs w:val="20"/>
              </w:rPr>
            </w:pPr>
            <w:r w:rsidRPr="00F2630F">
              <w:rPr>
                <w:kern w:val="28"/>
                <w:sz w:val="20"/>
                <w:szCs w:val="20"/>
              </w:rPr>
              <w:t>№ п/п</w:t>
            </w:r>
          </w:p>
        </w:tc>
        <w:tc>
          <w:tcPr>
            <w:tcW w:w="2829" w:type="pct"/>
            <w:tcBorders>
              <w:top w:val="single" w:sz="6" w:space="0" w:color="A3A3A3"/>
              <w:left w:val="single" w:sz="6" w:space="0" w:color="A3A3A3"/>
              <w:bottom w:val="single" w:sz="6" w:space="0" w:color="A3A3A3"/>
              <w:right w:val="single" w:sz="6" w:space="0" w:color="A3A3A3"/>
            </w:tcBorders>
            <w:shd w:val="clear" w:color="auto" w:fill="E6E6FF"/>
          </w:tcPr>
          <w:p w:rsidR="000360D3" w:rsidRPr="00F2630F" w:rsidRDefault="000360D3" w:rsidP="00F2630F">
            <w:pPr>
              <w:shd w:val="clear" w:color="auto" w:fill="E6E6FF"/>
              <w:autoSpaceDE w:val="0"/>
              <w:autoSpaceDN w:val="0"/>
              <w:adjustRightInd w:val="0"/>
              <w:jc w:val="both"/>
              <w:rPr>
                <w:kern w:val="28"/>
                <w:sz w:val="20"/>
                <w:szCs w:val="20"/>
              </w:rPr>
            </w:pPr>
            <w:r w:rsidRPr="00F2630F">
              <w:rPr>
                <w:kern w:val="28"/>
                <w:sz w:val="20"/>
                <w:szCs w:val="20"/>
              </w:rPr>
              <w:t>Хозяйственная операция</w:t>
            </w:r>
          </w:p>
        </w:tc>
        <w:tc>
          <w:tcPr>
            <w:tcW w:w="607" w:type="pct"/>
            <w:tcBorders>
              <w:top w:val="single" w:sz="6" w:space="0" w:color="A3A3A3"/>
              <w:left w:val="single" w:sz="6" w:space="0" w:color="A3A3A3"/>
              <w:bottom w:val="single" w:sz="6" w:space="0" w:color="A3A3A3"/>
              <w:right w:val="single" w:sz="6" w:space="0" w:color="A3A3A3"/>
            </w:tcBorders>
            <w:shd w:val="clear" w:color="auto" w:fill="E6E6FF"/>
          </w:tcPr>
          <w:p w:rsidR="000360D3" w:rsidRPr="00F2630F" w:rsidRDefault="000360D3" w:rsidP="00F2630F">
            <w:pPr>
              <w:shd w:val="clear" w:color="auto" w:fill="E6E6FF"/>
              <w:autoSpaceDE w:val="0"/>
              <w:autoSpaceDN w:val="0"/>
              <w:adjustRightInd w:val="0"/>
              <w:jc w:val="both"/>
              <w:rPr>
                <w:kern w:val="28"/>
                <w:sz w:val="20"/>
                <w:szCs w:val="20"/>
              </w:rPr>
            </w:pPr>
            <w:r w:rsidRPr="00F2630F">
              <w:rPr>
                <w:kern w:val="28"/>
                <w:sz w:val="20"/>
                <w:szCs w:val="20"/>
              </w:rPr>
              <w:t>Дебет</w:t>
            </w:r>
          </w:p>
        </w:tc>
        <w:tc>
          <w:tcPr>
            <w:tcW w:w="607" w:type="pct"/>
            <w:tcBorders>
              <w:top w:val="single" w:sz="6" w:space="0" w:color="A3A3A3"/>
              <w:left w:val="single" w:sz="6" w:space="0" w:color="A3A3A3"/>
              <w:bottom w:val="single" w:sz="6" w:space="0" w:color="A3A3A3"/>
              <w:right w:val="single" w:sz="6" w:space="0" w:color="A3A3A3"/>
            </w:tcBorders>
            <w:shd w:val="clear" w:color="auto" w:fill="E6E6FF"/>
          </w:tcPr>
          <w:p w:rsidR="000360D3" w:rsidRPr="00F2630F" w:rsidRDefault="000360D3" w:rsidP="00F2630F">
            <w:pPr>
              <w:shd w:val="clear" w:color="auto" w:fill="E6E6FF"/>
              <w:autoSpaceDE w:val="0"/>
              <w:autoSpaceDN w:val="0"/>
              <w:adjustRightInd w:val="0"/>
              <w:jc w:val="both"/>
              <w:rPr>
                <w:kern w:val="28"/>
                <w:sz w:val="20"/>
                <w:szCs w:val="20"/>
              </w:rPr>
            </w:pPr>
            <w:r w:rsidRPr="00F2630F">
              <w:rPr>
                <w:kern w:val="28"/>
                <w:sz w:val="20"/>
                <w:szCs w:val="20"/>
              </w:rPr>
              <w:t>Кредит</w:t>
            </w:r>
          </w:p>
        </w:tc>
        <w:tc>
          <w:tcPr>
            <w:tcW w:w="759" w:type="pct"/>
            <w:tcBorders>
              <w:top w:val="single" w:sz="6" w:space="0" w:color="A3A3A3"/>
              <w:left w:val="single" w:sz="6" w:space="0" w:color="A3A3A3"/>
              <w:bottom w:val="single" w:sz="6" w:space="0" w:color="A3A3A3"/>
              <w:right w:val="single" w:sz="6" w:space="0" w:color="A3A3A3"/>
            </w:tcBorders>
            <w:shd w:val="clear" w:color="auto" w:fill="E6E6FF"/>
          </w:tcPr>
          <w:p w:rsidR="000360D3" w:rsidRPr="00F2630F" w:rsidRDefault="000360D3" w:rsidP="00F2630F">
            <w:pPr>
              <w:shd w:val="clear" w:color="auto" w:fill="E6E6FF"/>
              <w:autoSpaceDE w:val="0"/>
              <w:autoSpaceDN w:val="0"/>
              <w:adjustRightInd w:val="0"/>
              <w:jc w:val="both"/>
              <w:rPr>
                <w:kern w:val="28"/>
                <w:sz w:val="20"/>
                <w:szCs w:val="20"/>
              </w:rPr>
            </w:pPr>
            <w:r w:rsidRPr="00F2630F">
              <w:rPr>
                <w:kern w:val="28"/>
                <w:sz w:val="20"/>
                <w:szCs w:val="20"/>
              </w:rPr>
              <w:t>Сумма</w:t>
            </w:r>
          </w:p>
        </w:tc>
      </w:tr>
      <w:tr w:rsidR="000360D3" w:rsidRPr="00F2630F" w:rsidTr="00F2630F">
        <w:trPr>
          <w:trHeight w:val="936"/>
          <w:tblCellSpacing w:w="-8" w:type="dxa"/>
          <w:jc w:val="center"/>
        </w:trPr>
        <w:tc>
          <w:tcPr>
            <w:tcW w:w="254"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w:t>
            </w:r>
          </w:p>
        </w:tc>
        <w:tc>
          <w:tcPr>
            <w:tcW w:w="282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17.01.2007 Начислен НДС от суммы дохода иностранной организации от предоставления во временное пользование имущественных прав на товарные знаки (4000 х 2140 х 18 / 100)</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18-2</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68</w:t>
            </w:r>
          </w:p>
        </w:tc>
        <w:tc>
          <w:tcPr>
            <w:tcW w:w="75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1 540 800</w:t>
            </w:r>
          </w:p>
        </w:tc>
      </w:tr>
      <w:tr w:rsidR="000360D3" w:rsidRPr="00F2630F" w:rsidTr="00F2630F">
        <w:trPr>
          <w:trHeight w:val="694"/>
          <w:tblCellSpacing w:w="-8" w:type="dxa"/>
          <w:jc w:val="center"/>
        </w:trPr>
        <w:tc>
          <w:tcPr>
            <w:tcW w:w="254"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2.</w:t>
            </w:r>
          </w:p>
        </w:tc>
        <w:tc>
          <w:tcPr>
            <w:tcW w:w="282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17.01.2007 Начислен налог на доходы иностранных организаций от источников в Республике Беларусь (4000 х 2140 х 15 / 100)</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60</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68</w:t>
            </w:r>
          </w:p>
        </w:tc>
        <w:tc>
          <w:tcPr>
            <w:tcW w:w="75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1 284 000</w:t>
            </w:r>
          </w:p>
        </w:tc>
      </w:tr>
      <w:tr w:rsidR="000360D3" w:rsidRPr="00F2630F" w:rsidTr="00F2630F">
        <w:trPr>
          <w:trHeight w:val="694"/>
          <w:tblCellSpacing w:w="-8" w:type="dxa"/>
          <w:jc w:val="center"/>
        </w:trPr>
        <w:tc>
          <w:tcPr>
            <w:tcW w:w="254"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3.</w:t>
            </w:r>
          </w:p>
        </w:tc>
        <w:tc>
          <w:tcPr>
            <w:tcW w:w="282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17.01.2007 Перечислена первая часть лицензионного вознаграждения ((4000 - 4000 х 15 / 100) х 2140)</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60</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52</w:t>
            </w:r>
          </w:p>
        </w:tc>
        <w:tc>
          <w:tcPr>
            <w:tcW w:w="75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3400долл.США</w:t>
            </w:r>
          </w:p>
          <w:p w:rsidR="000360D3" w:rsidRPr="00F2630F" w:rsidRDefault="000360D3" w:rsidP="00F2630F">
            <w:pPr>
              <w:autoSpaceDE w:val="0"/>
              <w:autoSpaceDN w:val="0"/>
              <w:adjustRightInd w:val="0"/>
              <w:jc w:val="both"/>
              <w:rPr>
                <w:kern w:val="28"/>
                <w:sz w:val="20"/>
                <w:szCs w:val="20"/>
              </w:rPr>
            </w:pPr>
            <w:r w:rsidRPr="00F2630F">
              <w:rPr>
                <w:kern w:val="28"/>
                <w:sz w:val="20"/>
                <w:szCs w:val="20"/>
              </w:rPr>
              <w:t>(7 276 000)</w:t>
            </w:r>
          </w:p>
        </w:tc>
      </w:tr>
      <w:tr w:rsidR="000360D3" w:rsidRPr="00F2630F" w:rsidTr="00F2630F">
        <w:trPr>
          <w:trHeight w:val="936"/>
          <w:tblCellSpacing w:w="-8" w:type="dxa"/>
          <w:jc w:val="center"/>
        </w:trPr>
        <w:tc>
          <w:tcPr>
            <w:tcW w:w="254"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4.</w:t>
            </w:r>
          </w:p>
        </w:tc>
        <w:tc>
          <w:tcPr>
            <w:tcW w:w="282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17.01.2007 Отражается начисление паушального платежа за использование имущественных прав</w:t>
            </w:r>
          </w:p>
          <w:p w:rsidR="000360D3" w:rsidRPr="00F2630F" w:rsidRDefault="000360D3" w:rsidP="00F2630F">
            <w:pPr>
              <w:autoSpaceDE w:val="0"/>
              <w:autoSpaceDN w:val="0"/>
              <w:adjustRightInd w:val="0"/>
              <w:jc w:val="both"/>
              <w:rPr>
                <w:kern w:val="28"/>
                <w:sz w:val="20"/>
                <w:szCs w:val="20"/>
              </w:rPr>
            </w:pPr>
            <w:r w:rsidRPr="00F2630F">
              <w:rPr>
                <w:kern w:val="28"/>
                <w:sz w:val="20"/>
                <w:szCs w:val="20"/>
              </w:rPr>
              <w:t>на товарный знак</w:t>
            </w:r>
          </w:p>
          <w:p w:rsidR="000360D3" w:rsidRPr="00F2630F" w:rsidRDefault="000360D3" w:rsidP="00F2630F">
            <w:pPr>
              <w:autoSpaceDE w:val="0"/>
              <w:autoSpaceDN w:val="0"/>
              <w:adjustRightInd w:val="0"/>
              <w:jc w:val="both"/>
              <w:rPr>
                <w:kern w:val="28"/>
                <w:sz w:val="20"/>
                <w:szCs w:val="20"/>
              </w:rPr>
            </w:pPr>
            <w:r w:rsidRPr="00F2630F">
              <w:rPr>
                <w:kern w:val="28"/>
                <w:sz w:val="20"/>
                <w:szCs w:val="20"/>
              </w:rPr>
              <w:t>(48 000 х 2140)</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08-6</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60</w:t>
            </w:r>
          </w:p>
        </w:tc>
        <w:tc>
          <w:tcPr>
            <w:tcW w:w="75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102 720 000</w:t>
            </w:r>
          </w:p>
        </w:tc>
      </w:tr>
      <w:tr w:rsidR="000360D3" w:rsidRPr="00F2630F" w:rsidTr="00F2630F">
        <w:trPr>
          <w:trHeight w:val="453"/>
          <w:tblCellSpacing w:w="-8" w:type="dxa"/>
          <w:jc w:val="center"/>
        </w:trPr>
        <w:tc>
          <w:tcPr>
            <w:tcW w:w="254"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5.</w:t>
            </w:r>
          </w:p>
        </w:tc>
        <w:tc>
          <w:tcPr>
            <w:tcW w:w="282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17.01.2007 Введены в действия имущественные права на товарный знак на основании акта о приеме-передаче</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04</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08-6</w:t>
            </w:r>
          </w:p>
        </w:tc>
        <w:tc>
          <w:tcPr>
            <w:tcW w:w="75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102 720 000</w:t>
            </w:r>
          </w:p>
        </w:tc>
      </w:tr>
      <w:tr w:rsidR="000360D3" w:rsidRPr="00F2630F" w:rsidTr="00F2630F">
        <w:trPr>
          <w:trHeight w:val="936"/>
          <w:tblCellSpacing w:w="-8" w:type="dxa"/>
          <w:jc w:val="center"/>
        </w:trPr>
        <w:tc>
          <w:tcPr>
            <w:tcW w:w="254"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6.</w:t>
            </w:r>
          </w:p>
        </w:tc>
        <w:tc>
          <w:tcPr>
            <w:tcW w:w="282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19.02.2007 Перечислен НДС по приобретенным на территории Республики Беларусь у иностранной организации имущественным правам на товарные знаки по сроку уплаты 22.02.2007</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68</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51</w:t>
            </w:r>
          </w:p>
        </w:tc>
        <w:tc>
          <w:tcPr>
            <w:tcW w:w="75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1 540 800</w:t>
            </w:r>
          </w:p>
        </w:tc>
      </w:tr>
      <w:tr w:rsidR="000360D3" w:rsidRPr="00F2630F" w:rsidTr="00F2630F">
        <w:trPr>
          <w:trHeight w:val="468"/>
          <w:tblCellSpacing w:w="-8" w:type="dxa"/>
          <w:jc w:val="center"/>
        </w:trPr>
        <w:tc>
          <w:tcPr>
            <w:tcW w:w="254"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7.</w:t>
            </w:r>
          </w:p>
        </w:tc>
        <w:tc>
          <w:tcPr>
            <w:tcW w:w="282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19.02.2007 Перечислен налог на доходы иностранных организаций по сроку уплаты 22.02.2007</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68</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51</w:t>
            </w:r>
          </w:p>
        </w:tc>
        <w:tc>
          <w:tcPr>
            <w:tcW w:w="75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1 284 000</w:t>
            </w:r>
          </w:p>
        </w:tc>
      </w:tr>
      <w:tr w:rsidR="000360D3" w:rsidRPr="00F2630F" w:rsidTr="00F2630F">
        <w:trPr>
          <w:trHeight w:val="468"/>
          <w:tblCellSpacing w:w="-8" w:type="dxa"/>
          <w:jc w:val="center"/>
        </w:trPr>
        <w:tc>
          <w:tcPr>
            <w:tcW w:w="254"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8.</w:t>
            </w:r>
          </w:p>
        </w:tc>
        <w:tc>
          <w:tcPr>
            <w:tcW w:w="282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28.02.2007 Начислена амортизация имущественных прав на товарные знаки (102 720 000 / 24)</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20, 23, 25, 26, 44</w:t>
            </w:r>
          </w:p>
        </w:tc>
        <w:tc>
          <w:tcPr>
            <w:tcW w:w="607"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05</w:t>
            </w:r>
          </w:p>
        </w:tc>
        <w:tc>
          <w:tcPr>
            <w:tcW w:w="759" w:type="pct"/>
            <w:tcBorders>
              <w:top w:val="single" w:sz="6" w:space="0" w:color="A3A3A3"/>
              <w:left w:val="single" w:sz="6" w:space="0" w:color="A3A3A3"/>
              <w:bottom w:val="single" w:sz="6" w:space="0" w:color="A3A3A3"/>
              <w:right w:val="single" w:sz="6" w:space="0" w:color="A3A3A3"/>
            </w:tcBorders>
            <w:shd w:val="clear" w:color="auto" w:fill="FFFFFF"/>
          </w:tcPr>
          <w:p w:rsidR="000360D3" w:rsidRPr="00F2630F" w:rsidRDefault="000360D3" w:rsidP="00F2630F">
            <w:pPr>
              <w:autoSpaceDE w:val="0"/>
              <w:autoSpaceDN w:val="0"/>
              <w:adjustRightInd w:val="0"/>
              <w:jc w:val="both"/>
              <w:rPr>
                <w:kern w:val="28"/>
                <w:sz w:val="20"/>
                <w:szCs w:val="20"/>
              </w:rPr>
            </w:pPr>
            <w:r w:rsidRPr="00F2630F">
              <w:rPr>
                <w:kern w:val="28"/>
                <w:sz w:val="20"/>
                <w:szCs w:val="20"/>
              </w:rPr>
              <w:t>4 280 000</w:t>
            </w:r>
          </w:p>
        </w:tc>
      </w:tr>
    </w:tbl>
    <w:p w:rsidR="00F2630F" w:rsidRDefault="00F2630F" w:rsidP="00F2630F">
      <w:pPr>
        <w:autoSpaceDE w:val="0"/>
        <w:autoSpaceDN w:val="0"/>
        <w:adjustRightInd w:val="0"/>
        <w:spacing w:line="360" w:lineRule="auto"/>
        <w:ind w:firstLine="709"/>
        <w:jc w:val="both"/>
        <w:rPr>
          <w:kern w:val="28"/>
          <w:sz w:val="28"/>
          <w:szCs w:val="28"/>
          <w:lang w:val="en-US"/>
        </w:rPr>
      </w:pP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 случае если полученные по лицензионному договору имущественные права на товарный знак используются лицензиатом не для осуществления предпринимательской деятельности, то согласно п. 1.1.1 ст. 2 Закона № 1319-XII это квалифицируется как собственное потребление непроизводственного характера и является объектом обложения НДС.</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Нормами Закона № 1319-XII конкретно не установлено, что является налоговой базой при непроизводственном использовании полученных по лицензионному договору прав на товарные знаки. По мнению автора, в этом случае налоговая база по НДС равна сумме начисленных в пользу иностранной организации-лицензиара лицензионных вознаграждений согласно лицензионному договору.</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Моментом фактической реализации при собственном потреблении непроизводственного характера имущественных прав на товарные знаки согласно п. 5 ст. 10 Закона № 1319-XII признается день их списания за счет соответствующих источников.</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Иными словами, обязанность по исчислению и уплате НДС при непроизводственном использовании имущественных прав на товарные знаки возникает в том месяце, в котором произошло отнесение их стоимости в дебет счета 92 "Внереализационные доходы и расходы".</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Исчисление НДС в случае собственного потребления непроизводственного характера имущественных прав на товарные знаки на основании п. 1.3.1 ст. 11 Закона № 1319-XII осуществляется по ставке 18 %.</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В случае непроизводственного использования лицензиатом имущественных прав на товарные знаки иностранных организаций суммы начисленной амортизации по данным нематериальным активам, как неиспользуемым в предпринимательской деятельности, согласно п. 4 ст. 3 Закона № 1330-XII не подлежат учету при определении облагаемой налогом прибыли.</w:t>
      </w:r>
    </w:p>
    <w:p w:rsidR="000360D3" w:rsidRPr="00F2630F" w:rsidRDefault="000360D3" w:rsidP="00F2630F">
      <w:pPr>
        <w:autoSpaceDE w:val="0"/>
        <w:autoSpaceDN w:val="0"/>
        <w:adjustRightInd w:val="0"/>
        <w:spacing w:line="360" w:lineRule="auto"/>
        <w:ind w:firstLine="709"/>
        <w:jc w:val="both"/>
        <w:rPr>
          <w:kern w:val="28"/>
          <w:sz w:val="28"/>
          <w:szCs w:val="28"/>
        </w:rPr>
      </w:pPr>
      <w:r w:rsidRPr="00F2630F">
        <w:rPr>
          <w:kern w:val="28"/>
          <w:sz w:val="28"/>
          <w:szCs w:val="28"/>
        </w:rPr>
        <w:t>Кроме того, как следует из положений п. 7.20 ст. 3 Закона № 1330-XII, затраты в форме оплаты вознаграждений лицензиару - нерезиденту Республики Беларусь за использование имущественных прав на товарные знаки не будут приниматься во внимание при исчислении облагаемой налогом прибыли, если их использование носило непроизводственный характер.</w:t>
      </w:r>
    </w:p>
    <w:p w:rsidR="000360D3" w:rsidRPr="00F2630F" w:rsidRDefault="000360D3" w:rsidP="00F2630F">
      <w:pPr>
        <w:spacing w:line="360" w:lineRule="auto"/>
        <w:ind w:firstLine="1418"/>
        <w:jc w:val="both"/>
        <w:rPr>
          <w:b/>
          <w:kern w:val="28"/>
          <w:sz w:val="28"/>
          <w:szCs w:val="28"/>
        </w:rPr>
      </w:pPr>
      <w:r w:rsidRPr="00F2630F">
        <w:rPr>
          <w:sz w:val="28"/>
          <w:szCs w:val="28"/>
        </w:rPr>
        <w:br w:type="page"/>
      </w:r>
      <w:r w:rsidRPr="00F2630F">
        <w:rPr>
          <w:b/>
          <w:kern w:val="28"/>
          <w:sz w:val="28"/>
          <w:szCs w:val="28"/>
        </w:rPr>
        <w:t>СПИСОК ИСПОЛЬЗОВАННЫХ ИСТОЧНИКОВ</w:t>
      </w:r>
    </w:p>
    <w:p w:rsidR="000360D3" w:rsidRPr="00F2630F" w:rsidRDefault="000360D3" w:rsidP="00F2630F">
      <w:pPr>
        <w:spacing w:line="360" w:lineRule="auto"/>
        <w:ind w:firstLine="709"/>
        <w:jc w:val="both"/>
        <w:rPr>
          <w:kern w:val="28"/>
          <w:sz w:val="28"/>
          <w:szCs w:val="28"/>
        </w:rPr>
      </w:pPr>
    </w:p>
    <w:p w:rsidR="000360D3" w:rsidRPr="00F2630F" w:rsidRDefault="000360D3" w:rsidP="00F2630F">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F2630F">
        <w:rPr>
          <w:rFonts w:ascii="Times New Roman" w:hAnsi="Times New Roman" w:cs="Times New Roman"/>
          <w:kern w:val="28"/>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0360D3" w:rsidRPr="00F2630F" w:rsidRDefault="000360D3" w:rsidP="00F2630F">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F2630F">
        <w:rPr>
          <w:rFonts w:ascii="Times New Roman" w:hAnsi="Times New Roman" w:cs="Times New Roman"/>
          <w:kern w:val="28"/>
          <w:sz w:val="28"/>
          <w:szCs w:val="28"/>
        </w:rPr>
        <w:t>Гражданский кодекс Республики Беларусь от 19 ноября 1998г.: с комментариями к разделам / Коммент. В. Ф. Чигира // Мн.: Амалфея , 1999.</w:t>
      </w:r>
    </w:p>
    <w:p w:rsidR="000360D3" w:rsidRPr="00F2630F" w:rsidRDefault="000360D3" w:rsidP="00F2630F">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F2630F">
        <w:rPr>
          <w:rFonts w:ascii="Times New Roman" w:hAnsi="Times New Roman" w:cs="Times New Roman"/>
          <w:kern w:val="28"/>
          <w:sz w:val="28"/>
          <w:szCs w:val="28"/>
        </w:rPr>
        <w:t xml:space="preserve">Декрет Президента </w:t>
      </w:r>
      <w:r w:rsidRPr="00F2630F">
        <w:rPr>
          <w:rFonts w:ascii="Times New Roman" w:hAnsi="Times New Roman" w:cs="Times New Roman"/>
          <w:bCs/>
          <w:kern w:val="28"/>
          <w:sz w:val="28"/>
          <w:szCs w:val="28"/>
        </w:rPr>
        <w:t>Республики</w:t>
      </w:r>
      <w:r w:rsidRPr="00F2630F">
        <w:rPr>
          <w:rFonts w:ascii="Times New Roman" w:hAnsi="Times New Roman" w:cs="Times New Roman"/>
          <w:kern w:val="28"/>
          <w:sz w:val="28"/>
          <w:szCs w:val="28"/>
        </w:rPr>
        <w:t xml:space="preserve"> </w:t>
      </w:r>
      <w:r w:rsidRPr="00F2630F">
        <w:rPr>
          <w:rFonts w:ascii="Times New Roman" w:hAnsi="Times New Roman" w:cs="Times New Roman"/>
          <w:bCs/>
          <w:kern w:val="28"/>
          <w:sz w:val="28"/>
          <w:szCs w:val="28"/>
        </w:rPr>
        <w:t>Беларусь</w:t>
      </w:r>
      <w:r w:rsidRPr="00F2630F">
        <w:rPr>
          <w:rFonts w:ascii="Times New Roman" w:hAnsi="Times New Roman" w:cs="Times New Roman"/>
          <w:kern w:val="28"/>
          <w:sz w:val="28"/>
          <w:szCs w:val="28"/>
        </w:rPr>
        <w:t xml:space="preserve">, 28 сентября 2000г. № 20 «О совершенствовании регулирования страховой деятельности </w:t>
      </w:r>
      <w:r w:rsidRPr="00F2630F">
        <w:rPr>
          <w:rFonts w:ascii="Times New Roman" w:hAnsi="Times New Roman" w:cs="Times New Roman"/>
          <w:bCs/>
          <w:kern w:val="28"/>
          <w:sz w:val="28"/>
          <w:szCs w:val="28"/>
        </w:rPr>
        <w:t>в</w:t>
      </w:r>
      <w:r w:rsidRPr="00F2630F">
        <w:rPr>
          <w:rFonts w:ascii="Times New Roman" w:hAnsi="Times New Roman" w:cs="Times New Roman"/>
          <w:kern w:val="28"/>
          <w:sz w:val="28"/>
          <w:szCs w:val="28"/>
        </w:rPr>
        <w:t xml:space="preserve"> </w:t>
      </w:r>
      <w:r w:rsidRPr="00F2630F">
        <w:rPr>
          <w:rFonts w:ascii="Times New Roman" w:hAnsi="Times New Roman" w:cs="Times New Roman"/>
          <w:bCs/>
          <w:kern w:val="28"/>
          <w:sz w:val="28"/>
          <w:szCs w:val="28"/>
        </w:rPr>
        <w:t>Республике</w:t>
      </w:r>
      <w:r w:rsidRPr="00F2630F">
        <w:rPr>
          <w:rFonts w:ascii="Times New Roman" w:hAnsi="Times New Roman" w:cs="Times New Roman"/>
          <w:kern w:val="28"/>
          <w:sz w:val="28"/>
          <w:szCs w:val="28"/>
        </w:rPr>
        <w:t xml:space="preserve"> </w:t>
      </w:r>
      <w:r w:rsidRPr="00F2630F">
        <w:rPr>
          <w:rFonts w:ascii="Times New Roman" w:hAnsi="Times New Roman" w:cs="Times New Roman"/>
          <w:bCs/>
          <w:kern w:val="28"/>
          <w:sz w:val="28"/>
          <w:szCs w:val="28"/>
        </w:rPr>
        <w:t>Беларусь»</w:t>
      </w:r>
      <w:r w:rsidRPr="00F2630F">
        <w:rPr>
          <w:rFonts w:ascii="Times New Roman" w:hAnsi="Times New Roman" w:cs="Times New Roman"/>
          <w:kern w:val="28"/>
          <w:sz w:val="28"/>
          <w:szCs w:val="28"/>
        </w:rPr>
        <w:t xml:space="preserve"> (с изменениями и дополнениями по состоянию на 04 апреля 2002г. № 10) // НРПА. – 2000. – № 95. – Ст. 1/1659. </w:t>
      </w:r>
    </w:p>
    <w:p w:rsidR="000360D3" w:rsidRPr="00F2630F" w:rsidRDefault="000360D3" w:rsidP="00F2630F">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F2630F">
        <w:rPr>
          <w:rFonts w:ascii="Times New Roman" w:hAnsi="Times New Roman" w:cs="Times New Roman"/>
          <w:kern w:val="28"/>
          <w:sz w:val="28"/>
          <w:szCs w:val="28"/>
        </w:rPr>
        <w:t>Гражданское право: Учебник, под ред. А. П. Сергеева, Ю. К. Толстого, М.: Проспект. – Т. 2. – 2000.</w:t>
      </w:r>
    </w:p>
    <w:p w:rsidR="000360D3" w:rsidRPr="00F2630F" w:rsidRDefault="000360D3" w:rsidP="00F2630F">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F2630F">
        <w:rPr>
          <w:rFonts w:ascii="Times New Roman" w:hAnsi="Times New Roman" w:cs="Times New Roman"/>
          <w:kern w:val="28"/>
          <w:sz w:val="28"/>
          <w:szCs w:val="28"/>
        </w:rPr>
        <w:t>Гражданское право. Часть вторая Учебник / Под ред. А.Г. Калпина, А.И. Масляева. - М.: Юристъ, 1997. - 354с.</w:t>
      </w:r>
    </w:p>
    <w:p w:rsidR="000360D3" w:rsidRPr="00F2630F" w:rsidRDefault="000360D3" w:rsidP="00F2630F">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F2630F">
        <w:rPr>
          <w:rFonts w:ascii="Times New Roman" w:hAnsi="Times New Roman" w:cs="Times New Roman"/>
          <w:kern w:val="28"/>
          <w:sz w:val="28"/>
          <w:szCs w:val="28"/>
        </w:rPr>
        <w:t>Гражданское право. Учебник. Часть 2. Издание третье, переработанное и дополненное. / Под ред. А. П. Сергеева, - М., ПРОСПЕКТ, 1998. - 642с.</w:t>
      </w:r>
    </w:p>
    <w:p w:rsidR="000360D3" w:rsidRPr="00F2630F" w:rsidRDefault="000360D3" w:rsidP="00F2630F">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F2630F">
        <w:rPr>
          <w:rFonts w:ascii="Times New Roman" w:hAnsi="Times New Roman" w:cs="Times New Roman"/>
          <w:kern w:val="28"/>
          <w:sz w:val="28"/>
          <w:szCs w:val="28"/>
        </w:rPr>
        <w:t>Колбасин Д. А. Гражданское право Республики Беларусь. Особенная часть. Мн.: Общественное объединение «Молодежное научное общество». – 2000.</w:t>
      </w:r>
    </w:p>
    <w:p w:rsidR="000360D3" w:rsidRPr="00F2630F" w:rsidRDefault="000360D3" w:rsidP="00F2630F">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F2630F">
        <w:rPr>
          <w:rFonts w:ascii="Times New Roman" w:hAnsi="Times New Roman" w:cs="Times New Roman"/>
          <w:kern w:val="28"/>
          <w:sz w:val="28"/>
          <w:szCs w:val="28"/>
        </w:rPr>
        <w:t>Комментарий к Гражданскому кодексу Республики Беларусь. В 2 книгах. Кн. 2. / Отв. ред. В. Ф. Чигир. – Мн.: Амалфея, 1999. – 624с.</w:t>
      </w:r>
    </w:p>
    <w:p w:rsidR="000360D3" w:rsidRPr="00F2630F" w:rsidRDefault="000360D3" w:rsidP="00F2630F">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F2630F">
        <w:rPr>
          <w:rFonts w:ascii="Times New Roman" w:hAnsi="Times New Roman" w:cs="Times New Roman"/>
          <w:kern w:val="28"/>
          <w:sz w:val="28"/>
          <w:szCs w:val="28"/>
        </w:rPr>
        <w:t>Мурадьян Э. М. Образцы гражданско-правовых документов // М.: Юрист. – 2000.</w:t>
      </w:r>
    </w:p>
    <w:p w:rsidR="000360D3" w:rsidRPr="00F2630F" w:rsidRDefault="000360D3" w:rsidP="00F2630F">
      <w:pPr>
        <w:pStyle w:val="HTML"/>
        <w:numPr>
          <w:ilvl w:val="0"/>
          <w:numId w:val="2"/>
        </w:numPr>
        <w:tabs>
          <w:tab w:val="clear" w:pos="1832"/>
          <w:tab w:val="left" w:pos="1418"/>
        </w:tabs>
        <w:spacing w:line="360" w:lineRule="auto"/>
        <w:ind w:left="1418" w:hanging="709"/>
        <w:jc w:val="both"/>
        <w:rPr>
          <w:rFonts w:ascii="Times New Roman" w:hAnsi="Times New Roman" w:cs="Times New Roman"/>
          <w:kern w:val="28"/>
          <w:sz w:val="28"/>
          <w:szCs w:val="28"/>
        </w:rPr>
      </w:pPr>
      <w:r w:rsidRPr="00F2630F">
        <w:rPr>
          <w:rFonts w:ascii="Times New Roman" w:hAnsi="Times New Roman" w:cs="Times New Roman"/>
          <w:kern w:val="28"/>
          <w:sz w:val="28"/>
          <w:szCs w:val="28"/>
        </w:rPr>
        <w:t>Хозяйственное право Республики Беларусь. Особенная часть. Практическое пособие – Мн.: «МНО», 2001. – 318с.</w:t>
      </w:r>
      <w:bookmarkStart w:id="0" w:name="_GoBack"/>
      <w:bookmarkEnd w:id="0"/>
    </w:p>
    <w:sectPr w:rsidR="000360D3" w:rsidRPr="00F2630F" w:rsidSect="00F2630F">
      <w:headerReference w:type="even" r:id="rId7"/>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655" w:rsidRDefault="006F3655">
      <w:r>
        <w:separator/>
      </w:r>
    </w:p>
  </w:endnote>
  <w:endnote w:type="continuationSeparator" w:id="0">
    <w:p w:rsidR="006F3655" w:rsidRDefault="006F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655" w:rsidRDefault="006F3655">
      <w:r>
        <w:separator/>
      </w:r>
    </w:p>
  </w:footnote>
  <w:footnote w:type="continuationSeparator" w:id="0">
    <w:p w:rsidR="006F3655" w:rsidRDefault="006F3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15E" w:rsidRDefault="0072715E" w:rsidP="00ED13F6">
    <w:pPr>
      <w:pStyle w:val="a3"/>
      <w:framePr w:wrap="around" w:vAnchor="text" w:hAnchor="margin" w:xAlign="right" w:y="1"/>
      <w:rPr>
        <w:rStyle w:val="a5"/>
      </w:rPr>
    </w:pPr>
  </w:p>
  <w:p w:rsidR="0072715E" w:rsidRDefault="0072715E" w:rsidP="0072715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15E" w:rsidRDefault="00B10C6E" w:rsidP="00ED13F6">
    <w:pPr>
      <w:pStyle w:val="a3"/>
      <w:framePr w:wrap="around" w:vAnchor="text" w:hAnchor="margin" w:xAlign="right" w:y="1"/>
      <w:rPr>
        <w:rStyle w:val="a5"/>
      </w:rPr>
    </w:pPr>
    <w:r>
      <w:rPr>
        <w:rStyle w:val="a5"/>
        <w:noProof/>
      </w:rPr>
      <w:t>1</w:t>
    </w:r>
  </w:p>
  <w:p w:rsidR="0072715E" w:rsidRDefault="0072715E" w:rsidP="0072715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E27DF"/>
    <w:multiLevelType w:val="hybridMultilevel"/>
    <w:tmpl w:val="7F32FDE4"/>
    <w:lvl w:ilvl="0" w:tplc="9BF8016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59188A31"/>
    <w:multiLevelType w:val="multilevel"/>
    <w:tmpl w:val="0E1DA5A3"/>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15E"/>
    <w:rsid w:val="000360D3"/>
    <w:rsid w:val="001720FD"/>
    <w:rsid w:val="002B21DE"/>
    <w:rsid w:val="006D0CBF"/>
    <w:rsid w:val="006F3655"/>
    <w:rsid w:val="0072715E"/>
    <w:rsid w:val="009F45B4"/>
    <w:rsid w:val="00B10C6E"/>
    <w:rsid w:val="00BA02AD"/>
    <w:rsid w:val="00D45659"/>
    <w:rsid w:val="00ED13F6"/>
    <w:rsid w:val="00F26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270E174-354F-4D9E-B0E6-3383BAED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0D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715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2715E"/>
    <w:rPr>
      <w:rFonts w:cs="Times New Roman"/>
    </w:rPr>
  </w:style>
  <w:style w:type="paragraph" w:styleId="HTML">
    <w:name w:val="HTML Preformatted"/>
    <w:basedOn w:val="a"/>
    <w:link w:val="HTML0"/>
    <w:uiPriority w:val="99"/>
    <w:rsid w:val="0003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4361</Words>
  <Characters>24864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ИСПОЛЬЗОВАНИЕ ИМУЩЕСТВЕННЫХ ПРАВ НА ТОВАРНЫЕ ЗНАКИ ИНОСТРАННЫХ ЮРИДИЧЕСКИХ ЛИЦ: БУХГАЛТЕРСКИЙ УЧЕТ И НАЛОГООБЛОЖЕНИЕ</vt:lpstr>
    </vt:vector>
  </TitlesOfParts>
  <Company>Microsoft</Company>
  <LinksUpToDate>false</LinksUpToDate>
  <CharactersWithSpaces>29167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ИМУЩЕСТВЕННЫХ ПРАВ НА ТОВАРНЫЕ ЗНАКИ ИНОСТРАННЫХ ЮРИДИЧЕСКИХ ЛИЦ: БУХГАЛТЕРСКИЙ УЧЕТ И НАЛОГООБЛОЖЕНИЕ</dc:title>
  <dc:subject/>
  <dc:creator>Admin</dc:creator>
  <cp:keywords/>
  <dc:description/>
  <cp:lastModifiedBy>admin</cp:lastModifiedBy>
  <cp:revision>2</cp:revision>
  <dcterms:created xsi:type="dcterms:W3CDTF">2014-03-03T18:51:00Z</dcterms:created>
  <dcterms:modified xsi:type="dcterms:W3CDTF">2014-03-03T18:51:00Z</dcterms:modified>
</cp:coreProperties>
</file>