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C5" w:rsidRPr="005B7C69" w:rsidRDefault="00D004C5" w:rsidP="00D004C5">
      <w:pPr>
        <w:spacing w:before="120"/>
        <w:jc w:val="center"/>
        <w:rPr>
          <w:b/>
          <w:bCs/>
          <w:sz w:val="32"/>
          <w:szCs w:val="32"/>
        </w:rPr>
      </w:pPr>
      <w:r w:rsidRPr="005B7C69">
        <w:rPr>
          <w:b/>
          <w:bCs/>
          <w:sz w:val="32"/>
          <w:szCs w:val="32"/>
        </w:rPr>
        <w:t>Санитарно-эпидемиологическое заключение.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 xml:space="preserve">Санитарно-эпидемиологическое заключение - документ, который подтверждает разрешение органами Министерства Здравоохранения и социального развития РФ (называемое еще как Минздрав или Госсанэпиднадзор) производства или ввоза продукции, соответствующей установленным требованиям, гигиеническим нормам и санитарным правилам (ГН и СанПин), а также служит официальным подтверждением безопасности продукции для здоровья человека. В ряде случаев наличие санитарно-эпидемиологического заключения является необходимым условием для проведения обязательной сертификации продукции и получения сертификата соответствия. Кроме того, наличие санитарно-эпидемиологического заключения является обязательным при ввозе некоторых видов товаров на таможенную территорию РФ. 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Санитарно-эпидемиологическое заключение (называемое еще как гигиенический сертификат, гигиеническое заключение) - обязателен для легальной продажи товаров на российском рынке, данный сертификат повсеместно требуется таможенными органами.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Все товары для детей, все пищевые продукты, одежда, бытовые предметы, все, что контактирует с кожей человека и принимаемой пищей, подлежит гигиенической сертификации</w:t>
      </w:r>
    </w:p>
    <w:p w:rsidR="00D004C5" w:rsidRPr="005B7C69" w:rsidRDefault="00D004C5" w:rsidP="00D004C5">
      <w:pPr>
        <w:spacing w:before="120"/>
        <w:ind w:firstLine="567"/>
        <w:jc w:val="both"/>
      </w:pPr>
      <w:r w:rsidRPr="005B7C69">
        <w:t>Полный перечень продукции, подлежащей санитарно-эпидемиологической экспертизе, с целью выдачи санитарно-эпидемиологических заключений выглядит так: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1. Пищевые продукты (продукты в натуральном или переработанном виде, употребляемые человеком в пищу, алкогольная продукция (в том числе пиво), безалкогольные напитки, жевательная резинка, а также продовольственное сырье, пищевые продукты, полученные из генетически модифицированных источников).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2. Товары для детей: игры и игрушки, одежда, постельное белье, обувь, учебные пособия, канцелярские товары, мебель, коляски, ранцы, искусственные полимерные и синтетические материалы для изготовления товаров детского ассортимента.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3. Материалы, оборудование, вещества, применяемые в практике хозяйственно-питьевого водоснабжения.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4. Парфюмерно-косметические средства, средства гигиены полости рта.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5. Химическая и нефтехимическая продукция производственного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назначения, товары бытовой химии.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6. Полимерные и синтетические материалы, предназначенные для применения в строительстве, на транспорте, а также для изготовления мебели, и других предметов домашнего обихода; химические нити и волокна,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обуви.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7. Продукция машиностроения и приборостроения производственного, медицинского и бытового назначения.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8. Издательская продукция: учебные издания, пособия, дидактические материалы для общеобразовательных средних и высших учебных заведений, книжные и журнальные издания для детей и подростков.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9. Изделия из натурального сырья, подвергающегося в процессе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производства обработке (окраске, пропитке, воздействию ионизирующего излучения и т.д.).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10. Материалы для изделий, контактирующих с кожей человека.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11. Продукция, изделия, являющиеся источником ионизирующего излучения, в том числе генерирующего, а также изделия и товары, содержащие радиоактивные вещества.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12. Строительное сырье и материалы, в которых гигиеническими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металлолом.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15.Табачные материалы.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Средства индивидуальной защиты.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16. Пестициды и агрохимикаты.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17. Материалы, контактирующие с пищевыми продуктами.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18. Оборудование для воздухоподготовки, воздухоочистки и фильтрации.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Гигиеническое заключение выдается на один вид продукции, при этом в заключении или в приложении к нему могут быть указаны несколько номенклатурных единиц или торговых марок продукции. Например, карамель: "Вишневая", "Клюквенная", "Клубничная". Принцип их объединения - выработка продукции по единой нормативно-технической документации с едиными гигиеническими критериями безопасности.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Необходимость проведения санитарно-эпидемиологической экспертизы (Федеральный закон от 30 марта 1999 г. N 52-ФЗ "О санитарно-эпидемиологическом благополучии населения") и перечень продукции, подлежащей экспертизе, определяются в соответствии с Приказом Минздравсоцразвития РФ №776 от 21 ноября 2005г. «О санитарно-эпидемиологической экспертизе продукции».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Федеральный закон "О санитарно-эпидемиологическом благополучии населения" принят Государственной Думой 12 марта 1999 года,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 Внешний вид и описание санитарно-эпидемиологического заключения здесь.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Срок действия санитарно-эпидемиологического заключения от 1 месяца до 5 лет (зависит от вида продукции, от предоставляемых документов, результатов испытаний, решения эксперта проводящего сертификацию).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При необходимости, к санитарно-эпидемиологическому заключению оформляют приложение, в котором территориальными или иными управлениями Роспотребнадзора (Федеральной службы по надзору в сфере защиты прав потребителей и благополучия человека) могут указывать заводы фирмы изготовителя, артикулы или модели продукции, особые условия эксплуатации продукции и т.п.</w:t>
      </w:r>
    </w:p>
    <w:p w:rsidR="00D004C5" w:rsidRDefault="00D004C5" w:rsidP="00D004C5">
      <w:pPr>
        <w:spacing w:before="120"/>
        <w:ind w:firstLine="567"/>
        <w:jc w:val="both"/>
      </w:pPr>
      <w:r w:rsidRPr="005B7C69">
        <w:t>Санитарно-эпидемиологическое заключение выдается органами санэпиднадзора (ЦГСЭН), после проведения экспертизы продукции (условий производства, ТУ) на основании протокола испытаний и предъявленных документов. Срок действия заключения до 5 лет (решение зависит от вида продукции, условий производства, предъявленных документов и эксперта органа, рассматривающего дело).</w:t>
      </w:r>
    </w:p>
    <w:p w:rsidR="00D004C5" w:rsidRPr="005B7C69" w:rsidRDefault="00D004C5" w:rsidP="00D004C5">
      <w:pPr>
        <w:spacing w:before="120"/>
        <w:ind w:firstLine="567"/>
        <w:jc w:val="both"/>
      </w:pPr>
      <w:r w:rsidRPr="005B7C69">
        <w:t>Санитарно-эпидемиологическое заключение на импортируемую продукцию должно оформляться, как правило, еще до ввоза продукции. При этом реквизиты контрактов могут не указываться, так как в случаях изменения тех или иных условий контракта (и его переоформления) по мотивам, не касающимся качества продукции, будет возникать неоправданная необходимость переоформления cfнитарно-эпидемиологического заключения.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4C5"/>
    <w:rsid w:val="00095BA6"/>
    <w:rsid w:val="0031418A"/>
    <w:rsid w:val="00425858"/>
    <w:rsid w:val="005A2562"/>
    <w:rsid w:val="005B7C69"/>
    <w:rsid w:val="00923531"/>
    <w:rsid w:val="00A44D32"/>
    <w:rsid w:val="00AF1FF3"/>
    <w:rsid w:val="00D004C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3AA4FF-0802-4BB5-8A38-8EF761E4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5184</Characters>
  <Application>Microsoft Office Word</Application>
  <DocSecurity>0</DocSecurity>
  <Lines>43</Lines>
  <Paragraphs>12</Paragraphs>
  <ScaleCrop>false</ScaleCrop>
  <Company>Home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Санитарно-эпидемиологическое заключение</dc:title>
  <dc:subject/>
  <dc:creator>Alena</dc:creator>
  <cp:keywords/>
  <dc:description/>
  <cp:lastModifiedBy>admin</cp:lastModifiedBy>
  <cp:revision>2</cp:revision>
  <dcterms:created xsi:type="dcterms:W3CDTF">2014-02-18T09:48:00Z</dcterms:created>
  <dcterms:modified xsi:type="dcterms:W3CDTF">2014-02-18T09:48:00Z</dcterms:modified>
</cp:coreProperties>
</file>