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DD4" w:rsidRDefault="00873DD4">
      <w:pPr>
        <w:pStyle w:val="a5"/>
      </w:pPr>
      <w:r>
        <w:t>Министерство общего образования Российской Федерации</w:t>
      </w:r>
    </w:p>
    <w:p w:rsidR="00873DD4" w:rsidRDefault="00873DD4">
      <w:pPr>
        <w:jc w:val="center"/>
        <w:rPr>
          <w:sz w:val="28"/>
        </w:rPr>
      </w:pPr>
      <w:r>
        <w:rPr>
          <w:sz w:val="28"/>
        </w:rPr>
        <w:t>КУБАНСКИЙ ГОСУДАРСТВЕННЫЙ УНИВЕРСИТЕТ</w:t>
      </w:r>
    </w:p>
    <w:p w:rsidR="00873DD4" w:rsidRDefault="00873DD4">
      <w:pPr>
        <w:jc w:val="center"/>
        <w:rPr>
          <w:sz w:val="28"/>
        </w:rPr>
      </w:pPr>
      <w:r>
        <w:rPr>
          <w:sz w:val="28"/>
        </w:rPr>
        <w:t>Экономический факультет</w:t>
      </w:r>
    </w:p>
    <w:p w:rsidR="00873DD4" w:rsidRDefault="00873DD4">
      <w:pPr>
        <w:jc w:val="center"/>
        <w:rPr>
          <w:sz w:val="28"/>
        </w:rPr>
      </w:pPr>
    </w:p>
    <w:p w:rsidR="00873DD4" w:rsidRDefault="00873DD4">
      <w:pPr>
        <w:jc w:val="center"/>
        <w:rPr>
          <w:sz w:val="28"/>
        </w:rPr>
      </w:pPr>
    </w:p>
    <w:p w:rsidR="00873DD4" w:rsidRDefault="00873DD4">
      <w:pPr>
        <w:rPr>
          <w:sz w:val="28"/>
        </w:rPr>
      </w:pPr>
    </w:p>
    <w:p w:rsidR="00873DD4" w:rsidRDefault="00873DD4">
      <w:pPr>
        <w:rPr>
          <w:sz w:val="28"/>
        </w:rPr>
      </w:pPr>
    </w:p>
    <w:p w:rsidR="00873DD4" w:rsidRDefault="00873DD4">
      <w:pPr>
        <w:rPr>
          <w:sz w:val="28"/>
        </w:rPr>
      </w:pPr>
    </w:p>
    <w:p w:rsidR="00873DD4" w:rsidRDefault="00873DD4">
      <w:pP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bCs/>
          <w:sz w:val="28"/>
        </w:rPr>
      </w:pPr>
    </w:p>
    <w:p w:rsidR="00873DD4" w:rsidRDefault="00873DD4">
      <w:pPr>
        <w:pStyle w:val="4"/>
        <w:rPr>
          <w:sz w:val="28"/>
        </w:rPr>
      </w:pPr>
      <w:r>
        <w:rPr>
          <w:sz w:val="28"/>
        </w:rPr>
        <w:t>Реферат</w:t>
      </w:r>
    </w:p>
    <w:p w:rsidR="00873DD4" w:rsidRDefault="00873DD4">
      <w:pPr>
        <w:rPr>
          <w:sz w:val="28"/>
        </w:rPr>
      </w:pPr>
    </w:p>
    <w:p w:rsidR="00873DD4" w:rsidRDefault="00873DD4">
      <w:pPr>
        <w:pStyle w:val="3"/>
        <w:rPr>
          <w:sz w:val="28"/>
        </w:rPr>
      </w:pPr>
      <w:r>
        <w:rPr>
          <w:sz w:val="28"/>
        </w:rPr>
        <w:t>Новая налоговая система КНР</w:t>
      </w:r>
    </w:p>
    <w:p w:rsidR="00873DD4" w:rsidRDefault="00873DD4">
      <w:pPr>
        <w:jc w:val="center"/>
        <w:rPr>
          <w:sz w:val="28"/>
        </w:rPr>
      </w:pPr>
    </w:p>
    <w:p w:rsidR="00873DD4" w:rsidRDefault="00873DD4">
      <w:pP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jc w:val="center"/>
        <w:rPr>
          <w:sz w:val="28"/>
        </w:rPr>
      </w:pPr>
    </w:p>
    <w:p w:rsidR="00873DD4" w:rsidRDefault="00873DD4">
      <w:pPr>
        <w:rPr>
          <w:sz w:val="28"/>
        </w:rPr>
      </w:pPr>
    </w:p>
    <w:p w:rsidR="00873DD4" w:rsidRDefault="00873DD4">
      <w:pPr>
        <w:rPr>
          <w:sz w:val="28"/>
        </w:rPr>
      </w:pPr>
    </w:p>
    <w:p w:rsidR="00873DD4" w:rsidRDefault="00873DD4">
      <w:pPr>
        <w:jc w:val="center"/>
        <w:rPr>
          <w:sz w:val="28"/>
        </w:rPr>
      </w:pPr>
    </w:p>
    <w:p w:rsidR="00873DD4" w:rsidRDefault="00873DD4">
      <w:pPr>
        <w:pStyle w:val="1"/>
        <w:ind w:left="3780"/>
        <w:jc w:val="right"/>
        <w:rPr>
          <w:b w:val="0"/>
          <w:sz w:val="28"/>
        </w:rPr>
      </w:pPr>
      <w:r>
        <w:rPr>
          <w:b w:val="0"/>
          <w:sz w:val="28"/>
        </w:rPr>
        <w:t xml:space="preserve">Выполнила: студентка экон. ф-та, </w:t>
      </w:r>
    </w:p>
    <w:p w:rsidR="00873DD4" w:rsidRDefault="00873DD4">
      <w:pPr>
        <w:pStyle w:val="1"/>
        <w:ind w:left="3240"/>
        <w:jc w:val="right"/>
        <w:rPr>
          <w:b w:val="0"/>
          <w:sz w:val="28"/>
        </w:rPr>
      </w:pPr>
      <w:r>
        <w:rPr>
          <w:b w:val="0"/>
          <w:sz w:val="28"/>
        </w:rPr>
        <w:t xml:space="preserve">                              4 курса, гр 404, ОДО</w:t>
      </w:r>
    </w:p>
    <w:p w:rsidR="00873DD4" w:rsidRDefault="00873DD4">
      <w:pPr>
        <w:jc w:val="right"/>
        <w:rPr>
          <w:sz w:val="28"/>
        </w:rPr>
      </w:pPr>
      <w:r>
        <w:rPr>
          <w:sz w:val="28"/>
        </w:rPr>
        <w:t xml:space="preserve">                                                                                                     Дудник А.В.</w:t>
      </w:r>
    </w:p>
    <w:p w:rsidR="00873DD4" w:rsidRDefault="00873DD4">
      <w:pPr>
        <w:rPr>
          <w:sz w:val="28"/>
        </w:rPr>
      </w:pPr>
    </w:p>
    <w:p w:rsidR="00873DD4" w:rsidRDefault="00873DD4">
      <w:pPr>
        <w:pStyle w:val="2"/>
      </w:pPr>
    </w:p>
    <w:p w:rsidR="00873DD4" w:rsidRDefault="00873DD4">
      <w:pPr>
        <w:pStyle w:val="2"/>
      </w:pPr>
    </w:p>
    <w:p w:rsidR="00873DD4" w:rsidRDefault="00873DD4">
      <w:pPr>
        <w:pStyle w:val="2"/>
      </w:pPr>
    </w:p>
    <w:p w:rsidR="00873DD4" w:rsidRDefault="00873DD4">
      <w:pPr>
        <w:pStyle w:val="2"/>
      </w:pPr>
    </w:p>
    <w:p w:rsidR="00873DD4" w:rsidRDefault="00873DD4">
      <w:pPr>
        <w:pStyle w:val="2"/>
      </w:pPr>
    </w:p>
    <w:p w:rsidR="00873DD4" w:rsidRDefault="00873DD4">
      <w:pPr>
        <w:pStyle w:val="2"/>
      </w:pPr>
      <w:r>
        <w:t>Краснодар 2002</w:t>
      </w:r>
    </w:p>
    <w:p w:rsidR="00873DD4" w:rsidRDefault="00873DD4">
      <w:pPr>
        <w:rPr>
          <w:bCs/>
          <w:sz w:val="28"/>
        </w:rPr>
      </w:pPr>
    </w:p>
    <w:p w:rsidR="00873DD4" w:rsidRDefault="00873DD4">
      <w:pPr>
        <w:pStyle w:val="a3"/>
        <w:spacing w:before="0" w:beforeAutospacing="0" w:after="0" w:afterAutospacing="0" w:line="360" w:lineRule="auto"/>
        <w:ind w:firstLine="709"/>
        <w:jc w:val="both"/>
        <w:rPr>
          <w:sz w:val="28"/>
        </w:rPr>
      </w:pPr>
      <w:r>
        <w:rPr>
          <w:sz w:val="28"/>
        </w:rPr>
        <w:t xml:space="preserve">За время существования КНР, в соответствии с непрерывным экономическим развитием страны, углублением экономических реформ, структура доходов и расходов бюджета КНР претерпела большие изменения. Состав государственных доходов в значительной мере обусловлен методами, с помощью которых государство аккумулирует необходимые ему денежные средства. В условиях рыночной экономики основными </w:t>
      </w:r>
    </w:p>
    <w:p w:rsidR="00873DD4" w:rsidRDefault="00873DD4">
      <w:pPr>
        <w:pStyle w:val="a3"/>
        <w:spacing w:before="0" w:beforeAutospacing="0" w:after="0" w:afterAutospacing="0" w:line="360" w:lineRule="auto"/>
        <w:ind w:firstLine="709"/>
        <w:jc w:val="both"/>
        <w:rPr>
          <w:sz w:val="28"/>
        </w:rPr>
      </w:pPr>
      <w:r>
        <w:rPr>
          <w:sz w:val="28"/>
        </w:rPr>
        <w:t xml:space="preserve">методами мобилизации бюджетных средств являются налоги. </w:t>
      </w:r>
    </w:p>
    <w:p w:rsidR="00873DD4" w:rsidRDefault="00873DD4">
      <w:pPr>
        <w:pStyle w:val="a3"/>
        <w:spacing w:before="0" w:beforeAutospacing="0" w:after="0" w:afterAutospacing="0" w:line="360" w:lineRule="auto"/>
        <w:ind w:firstLine="709"/>
        <w:jc w:val="both"/>
        <w:rPr>
          <w:sz w:val="28"/>
        </w:rPr>
      </w:pPr>
      <w:r>
        <w:rPr>
          <w:sz w:val="28"/>
        </w:rPr>
        <w:t xml:space="preserve">В настоящее время основным источником поступлений в государственный бюджет КНР являются налоговые платежи (более 90%). С начала реформы (1978г.) была создана новая структура налоговой системы страны, направленная на развитие многоукладности китайской экономики, ее интеграцию в мировую экономическую систему. </w:t>
      </w:r>
    </w:p>
    <w:p w:rsidR="00873DD4" w:rsidRDefault="00873DD4">
      <w:pPr>
        <w:pStyle w:val="a3"/>
        <w:spacing w:before="0" w:beforeAutospacing="0" w:after="0" w:afterAutospacing="0" w:line="360" w:lineRule="auto"/>
        <w:ind w:firstLine="709"/>
        <w:jc w:val="both"/>
        <w:rPr>
          <w:sz w:val="28"/>
        </w:rPr>
      </w:pPr>
      <w:r>
        <w:rPr>
          <w:sz w:val="28"/>
        </w:rPr>
        <w:t xml:space="preserve">Создание налоговой системы КНР в середине 80-х г.г. сводилось к восстановлению различных видов налогообложения, замене отчисления прибыли налогообложением, введению НДС, регулированию разницы в уровне доходов предприятий. Число налогов увеличилось с 9 в 1973 г. до более чем 30 к началу 1994 г. Таким образом, сложившаяся за пятнадцатилетний период реформы налоговая система КНР была достаточно разветвлена и многообразна. </w:t>
      </w:r>
    </w:p>
    <w:p w:rsidR="00873DD4" w:rsidRDefault="00873DD4">
      <w:pPr>
        <w:pStyle w:val="a3"/>
        <w:spacing w:before="0" w:beforeAutospacing="0" w:after="0" w:afterAutospacing="0" w:line="360" w:lineRule="auto"/>
        <w:ind w:firstLine="709"/>
        <w:jc w:val="both"/>
        <w:rPr>
          <w:sz w:val="28"/>
        </w:rPr>
      </w:pPr>
      <w:r>
        <w:rPr>
          <w:sz w:val="28"/>
        </w:rPr>
        <w:t xml:space="preserve">Однако данная налоговая система имела ряд существенных недостатков. Так, особенностью налоговой системы КНР, действовавшей до конца 1993 г., была ее двойственность. По сути в стране действовали две налоговые системы - одна для государственных, коллективных и частных предприятий страны, а другая (более льготная) - для предприятий с участием иностранного капитала. со ставкой подоходного налога 33%. Кроме того, для этих предприятий продолжали действовать "положения", принятые еще в 1951 г., такие как "налог на недвижимость в городах", "налог на номерные знаки для транспортных средств". </w:t>
      </w:r>
    </w:p>
    <w:p w:rsidR="00873DD4" w:rsidRDefault="00873DD4">
      <w:pPr>
        <w:pStyle w:val="a3"/>
        <w:spacing w:before="0" w:beforeAutospacing="0" w:after="0" w:afterAutospacing="0" w:line="360" w:lineRule="auto"/>
        <w:ind w:firstLine="709"/>
        <w:jc w:val="both"/>
        <w:rPr>
          <w:sz w:val="28"/>
        </w:rPr>
      </w:pPr>
      <w:r>
        <w:rPr>
          <w:sz w:val="28"/>
        </w:rPr>
        <w:t xml:space="preserve">Помимо этого, для предприятий с участием иностранного капитала продолжал действовать "единый торгово-промышленный налог" 1958 г., в то время как для государственных, коллективных и частных предприятий КНР применялись такие налоги с оборота как налог на продукцию, НДС, налог с хозяйственной деятельности, разработанные и принятые уже в середине 80-х г.г. Такая налоговая система ставила в неравное положение предприятия различных форм собственности, что сказывалось на их конкурентоспособности. </w:t>
      </w:r>
    </w:p>
    <w:p w:rsidR="00873DD4" w:rsidRDefault="00873DD4">
      <w:pPr>
        <w:pStyle w:val="a3"/>
        <w:spacing w:before="0" w:beforeAutospacing="0" w:after="0" w:afterAutospacing="0" w:line="360" w:lineRule="auto"/>
        <w:ind w:firstLine="709"/>
        <w:jc w:val="both"/>
        <w:rPr>
          <w:sz w:val="28"/>
        </w:rPr>
      </w:pPr>
      <w:r>
        <w:rPr>
          <w:sz w:val="28"/>
        </w:rPr>
        <w:t xml:space="preserve">Примечательной особенностью налоговой системы КНР, действовавшей до конца 1993 г., являлось практическое отсутствие подоходного налога с заработной платы рабочих и служащих. Личные доходы в КНР характеризовались низким уровнем, поэтому налогообложение личных доходов и имущества отсутствовало. Фактически личный подоходный налог существовал в налоговом законодательстве страны, однако сумма не- облагаемого минимума превышала среднюю заработную плату и сводила на нет поступления по этой статье. Личный подоходный налог, как правило, вносили владельцы частных предприятий, иностранные граждане, работающие в КНР, т.е. весьма ограниченный круг лиц. Так, общая сумма налогов с населения в 1987 г. составляла всего 5,5 млрд. юаней, или 0,8% обшей суммы расходов населения и 2,58% всех налоговых поступлений, в то время как на долю налогов с населения в США, например, приходится 45% всех налоговых поступлений. </w:t>
      </w:r>
    </w:p>
    <w:p w:rsidR="00873DD4" w:rsidRDefault="00873DD4">
      <w:pPr>
        <w:pStyle w:val="a3"/>
        <w:spacing w:before="0" w:beforeAutospacing="0" w:after="0" w:afterAutospacing="0" w:line="360" w:lineRule="auto"/>
        <w:ind w:firstLine="709"/>
        <w:jc w:val="both"/>
        <w:rPr>
          <w:sz w:val="28"/>
        </w:rPr>
      </w:pPr>
      <w:r>
        <w:rPr>
          <w:sz w:val="28"/>
        </w:rPr>
        <w:t xml:space="preserve">К началу 90-х гг. в размерах доходов населения произошли значительные изменения. Так, только по официальным данным, в Китае в настоящее время насчитывается свыше ! млн. человек, имеющих миллионные доходы. Заработная плата рабочих госпредприятий составляет около 300 юаней в месяц, а на совместных предприятиях - в три раза больше. На конец !994 г. вклады населения в сберегательные учреждения выросли еще на 631,5 млрд. юаней, а если к этим средствам прибавить покупаемые населением казначейские обязательства и наличные деньги, то сумма личного дохода населения превысит 1 триллион юаней. </w:t>
      </w:r>
    </w:p>
    <w:p w:rsidR="00873DD4" w:rsidRDefault="00873DD4">
      <w:pPr>
        <w:pStyle w:val="a3"/>
        <w:spacing w:before="0" w:beforeAutospacing="0" w:after="0" w:afterAutospacing="0" w:line="360" w:lineRule="auto"/>
        <w:ind w:firstLine="709"/>
        <w:jc w:val="both"/>
        <w:rPr>
          <w:sz w:val="28"/>
        </w:rPr>
      </w:pPr>
      <w:r>
        <w:rPr>
          <w:sz w:val="28"/>
        </w:rPr>
        <w:t xml:space="preserve">Налоги с оборота, ориентированные на фиксированные розничные и оптовые цены, устанавливаемые в административном порядке, также не могли эффективно работать в условиях рыночной экономики. Налог на добавленную стоимость, включаемый в цену товара и охватывающий практически весь хозяйственный оборот, более надежно обеспечивает поступление доходов в бюджетную систему. НДС и акцизы являются наиболее стабильными источниками пополнения бюджета. В условиях высокой инфляции именно эти налоги обеспечивают столь необходимую стабильность поступлений средств в бюджет, позволяют поддержать его на уровне, соответствующем темпам обесценения денежных знаков. </w:t>
      </w:r>
    </w:p>
    <w:p w:rsidR="00873DD4" w:rsidRDefault="00873DD4">
      <w:pPr>
        <w:pStyle w:val="a3"/>
        <w:spacing w:before="0" w:beforeAutospacing="0" w:after="0" w:afterAutospacing="0" w:line="360" w:lineRule="auto"/>
        <w:ind w:firstLine="709"/>
        <w:jc w:val="both"/>
        <w:rPr>
          <w:sz w:val="28"/>
        </w:rPr>
      </w:pPr>
      <w:r>
        <w:rPr>
          <w:sz w:val="28"/>
        </w:rPr>
        <w:t xml:space="preserve">Действующая с 1 января 1994 г. новая налоговая система КНР включает 21 вид налога и отчисления в различные бюджетные фонды, которые также имеют характер налоговых платежей. Внесены значительные изменения в порядок взимания, базу и ставки действующих налогов. </w:t>
      </w:r>
    </w:p>
    <w:p w:rsidR="00873DD4" w:rsidRDefault="00873DD4">
      <w:pPr>
        <w:pStyle w:val="a3"/>
        <w:spacing w:before="0" w:beforeAutospacing="0" w:after="0" w:afterAutospacing="0" w:line="360" w:lineRule="auto"/>
        <w:ind w:firstLine="709"/>
        <w:jc w:val="both"/>
        <w:rPr>
          <w:sz w:val="28"/>
        </w:rPr>
      </w:pPr>
      <w:r>
        <w:rPr>
          <w:sz w:val="28"/>
        </w:rPr>
        <w:t xml:space="preserve">НДС впервые был введен в опытном порядке в 1979 г. в восьми городах Китая и сильно отличался от принятых международных стандартов. Широкое распространение НДС получает в КНР с января 1983 г. Необходимо отметить, что на первом этапе сфера действия НДС была ограничена весьма узкой группой изделий. В 1985 г. на долю НДС в общей сумме налогов с оборота приходилось всего 16,6%. На начальном этапе становления НДС в КНР выделялось 12 групп ставок. Самая высокая налоговая ставка распространялась на косметические изделия - 45%, а самая низкая - на сельскохозяйственное механическое оборудование- 12%. Среди этих ставок выделялась основная налоговая ставка - 14%. </w:t>
      </w:r>
    </w:p>
    <w:p w:rsidR="00873DD4" w:rsidRDefault="00873DD4">
      <w:pPr>
        <w:pStyle w:val="a3"/>
        <w:spacing w:before="0" w:beforeAutospacing="0" w:after="0" w:afterAutospacing="0" w:line="360" w:lineRule="auto"/>
        <w:ind w:firstLine="709"/>
        <w:jc w:val="both"/>
        <w:rPr>
          <w:sz w:val="28"/>
        </w:rPr>
      </w:pPr>
      <w:r>
        <w:rPr>
          <w:sz w:val="28"/>
        </w:rPr>
        <w:t xml:space="preserve">Дальнейшее расширение сферы действия НДС привело к увеличению в 1987 г. доли НДС до 38,5% и сокращению доли налога на продукцию до 34% в общей сумме налогов с оборота. С января 1994 г, в КНР начинается новый этап в совершенствовании НДС. В отличие от "положения" 1984 г., в 1994 г. предусмотрено всего три ставки: основная ставка 17%, льготная - 13% и налоговая ставка при небольших объемах товаров и услуг - 6%. Освобождается от НДС сельхозпродукция, реализуемая самим производителем, средства контрацепции, старинные книги, импортируемое и исполъзуемое научно-исследовательскими и учебными заведениями оборудование, международная гуманитарная помощь. На предметы личного пользования, ввозимые через границу частными лицами или получаемые по почте, НДС рассчитывается и взимается одновременно с таможенной пошлиной. НДС также взимается и при реализации банками золота или серебра. Таким образом, по новому положению НДС распространяется на все товары и услуги, кроме продажи не движимости, а также не облагается НДС пере- дача исключительных прав на владение кино-, видео- и аудиопродукцией, патентами. </w:t>
      </w:r>
    </w:p>
    <w:p w:rsidR="00873DD4" w:rsidRDefault="00873DD4">
      <w:pPr>
        <w:pStyle w:val="a3"/>
        <w:spacing w:before="0" w:beforeAutospacing="0" w:after="0" w:afterAutospacing="0" w:line="360" w:lineRule="auto"/>
        <w:ind w:firstLine="709"/>
        <w:jc w:val="both"/>
        <w:rPr>
          <w:sz w:val="28"/>
        </w:rPr>
      </w:pPr>
      <w:r>
        <w:rPr>
          <w:sz w:val="28"/>
        </w:rPr>
        <w:t xml:space="preserve">Министерством финансов КНР установлена вилка необлагаемого минимума. Так, при реализации товаров на сумму, не превышающую от 60 до 200 юаней в месяц, НДС не взимается. Конкретную сумму необлагаемого минимума в этом диапазоне устанавливают местные налоговые органы. Освобождается также от НДС предоставление трудовых услуг, если их оплата не превышает 200-800 юаней в месяц. </w:t>
      </w:r>
    </w:p>
    <w:p w:rsidR="00873DD4" w:rsidRDefault="00873DD4">
      <w:pPr>
        <w:pStyle w:val="a3"/>
        <w:spacing w:before="0" w:beforeAutospacing="0" w:after="0" w:afterAutospacing="0" w:line="360" w:lineRule="auto"/>
        <w:ind w:firstLine="709"/>
        <w:jc w:val="both"/>
        <w:rPr>
          <w:sz w:val="28"/>
        </w:rPr>
      </w:pPr>
      <w:r>
        <w:rPr>
          <w:sz w:val="28"/>
        </w:rPr>
        <w:t xml:space="preserve">Взимание НДС за электроэнергию несколько отличается от общего положения. Так, с предприятий, вырабатывающих электроэнергию, с каждого киловатт часа выработанной электроэнергии взимается НДС по нормативу 4 юаня за каждый киловатт-час, а с предприятий, осуществляющих распределение электроэнергии, установлены ставки в размере 2-3% от суммы, полученной за предоставление электроэнергии, с за- четом ранее внесенного НДС вырабатывающими предприятиями. </w:t>
      </w:r>
    </w:p>
    <w:p w:rsidR="00873DD4" w:rsidRDefault="00873DD4">
      <w:pPr>
        <w:pStyle w:val="a3"/>
        <w:spacing w:before="0" w:beforeAutospacing="0" w:after="0" w:afterAutospacing="0" w:line="360" w:lineRule="auto"/>
        <w:ind w:firstLine="709"/>
        <w:jc w:val="both"/>
        <w:rPr>
          <w:sz w:val="28"/>
        </w:rPr>
      </w:pPr>
      <w:r>
        <w:rPr>
          <w:sz w:val="28"/>
        </w:rPr>
        <w:t xml:space="preserve">Совместные предприятия по шельфовой добыче нефти и газа вносят НДС в соответствии с фактической добычей, а ставки и порядок внесения определяются отдельно Госсоветом КНР. </w:t>
      </w:r>
    </w:p>
    <w:p w:rsidR="00873DD4" w:rsidRDefault="00873DD4">
      <w:pPr>
        <w:pStyle w:val="a3"/>
        <w:spacing w:before="0" w:beforeAutospacing="0" w:after="0" w:afterAutospacing="0" w:line="360" w:lineRule="auto"/>
        <w:ind w:firstLine="709"/>
        <w:jc w:val="both"/>
        <w:rPr>
          <w:sz w:val="28"/>
        </w:rPr>
      </w:pPr>
      <w:r>
        <w:rPr>
          <w:sz w:val="28"/>
        </w:rPr>
        <w:t xml:space="preserve">Значительные изменения внесены и в порядок взимания другого налога с оборота - налога с хозяйствен- ной деятельности (НХД). До 1993 г. этот налог взимался с предприятий торговли, транспорта и сферы обслуживания, его ставка колебалась в пределах от 3 до 15%. С предприятий розничной торговли, транспорта и связи, строительства и монтажа, предприятий сферы обслуживания и других субъектов хозяйственной деятельности налог взимался с суммы дохода от их деятельности. </w:t>
      </w:r>
    </w:p>
    <w:p w:rsidR="00873DD4" w:rsidRDefault="00873DD4">
      <w:pPr>
        <w:pStyle w:val="a3"/>
        <w:spacing w:before="0" w:beforeAutospacing="0" w:after="0" w:afterAutospacing="0" w:line="360" w:lineRule="auto"/>
        <w:ind w:firstLine="709"/>
        <w:jc w:val="both"/>
        <w:rPr>
          <w:sz w:val="28"/>
        </w:rPr>
      </w:pPr>
      <w:r>
        <w:rPr>
          <w:sz w:val="28"/>
        </w:rPr>
        <w:t xml:space="preserve">С января 1994 г. в КНР действуют новые правила по взиманию НХД, который предназначен в основном для так называемой "третьей производственной сферы" или сферы услуг. По новому "положению" сфера действия НХД несколько сужена. Так, с !994 г. сфера оптовой и розничной торговли облагается уже не НХД, а НДС. Предоставление коммунальных услуг и услуг по ремонту, а также залоговые операции также находятся в сфере действия НДС. Если до реформы ! 994 г. насчитывалось 14 наименований сбора НХД, то в настоящее время деление идет по отраслям и насчитывается 9 наименований сбора: НХД с предприятий транспорта (ставка налога 3%); с предприятий строительства (3%); с банковских и страховых учреждений (5%); с почтово-телеграфных и связи (3%); с культурно-спортивных учреждений (3%); с предприятий шоу-бизнеса (от 5 до 20%); с предприятий сферы обслуживания (5%)); при передаче невидимого имущества (5%); с торговли недвижимостью (5%). </w:t>
      </w:r>
    </w:p>
    <w:p w:rsidR="00873DD4" w:rsidRDefault="00873DD4">
      <w:pPr>
        <w:pStyle w:val="a3"/>
        <w:spacing w:before="0" w:beforeAutospacing="0" w:after="0" w:afterAutospacing="0" w:line="360" w:lineRule="auto"/>
        <w:ind w:firstLine="709"/>
        <w:jc w:val="both"/>
        <w:rPr>
          <w:sz w:val="28"/>
        </w:rPr>
      </w:pPr>
      <w:r>
        <w:rPr>
          <w:sz w:val="28"/>
        </w:rPr>
        <w:t xml:space="preserve">Освобождаются от налога детские сады, приюты для престарелых, брачные агентства, больницы, амбулатории, школы, учебно-производственные комбинаты и др. Местным налоговым органам предоставлено право в пределах, установленных Министерством финансов КНР, необлагаемого минимума (200-800 юаней в месяц) определять конкретную сумму необлагаемого минимума. </w:t>
      </w:r>
    </w:p>
    <w:p w:rsidR="00873DD4" w:rsidRDefault="00873DD4">
      <w:pPr>
        <w:pStyle w:val="a3"/>
        <w:spacing w:before="0" w:beforeAutospacing="0" w:after="0" w:afterAutospacing="0" w:line="360" w:lineRule="auto"/>
        <w:ind w:firstLine="709"/>
        <w:jc w:val="both"/>
        <w:rPr>
          <w:sz w:val="28"/>
        </w:rPr>
      </w:pPr>
      <w:r>
        <w:rPr>
          <w:sz w:val="28"/>
        </w:rPr>
        <w:t xml:space="preserve">С января !994 г. на территории КНР введен потребительский или акцизный налог. Акцизный налог не является новым, он выделен в обособленный налог из НДС и налога на продукцию. Установлены следующие ставки акцизного налога: в зависимости от вида и сорта ставка налога на табачные изделия колеблется в пределах 30-45%; на алкогольные напитки и спирты 5 до 25%; на парфюмерию - 30%; на косметику-17%; на дорогие ювелирные украшения - 10%; на хлопушки и фейерверки - 15%; на бензин - 0,2 юаня на литр; дизельное топливо - 0,1юаня за литр; на автошины - 10%; мотоциклы - 10%; легковые автомобили и микроавтобусы в зависимости от рабочего объема цилиндров от 3 до 8%. При экспорте акцизных товаров они освобождаются от налога, за исключением тех, для которых Госсовет КНР сделал особое распоряжение. Акцизный налог взимается налоговыми органами, а при импорте товаров - таможней. При ввозе в страну или получении по почте акцизных товаров отдельными гражданами акцизный налог взимается вместе с таможенной пошлиной. </w:t>
      </w:r>
    </w:p>
    <w:p w:rsidR="00873DD4" w:rsidRDefault="00873DD4">
      <w:pPr>
        <w:pStyle w:val="a3"/>
        <w:spacing w:before="0" w:beforeAutospacing="0" w:after="0" w:afterAutospacing="0" w:line="360" w:lineRule="auto"/>
        <w:ind w:firstLine="709"/>
        <w:jc w:val="both"/>
        <w:rPr>
          <w:sz w:val="28"/>
        </w:rPr>
      </w:pPr>
      <w:r>
        <w:rPr>
          <w:sz w:val="28"/>
        </w:rPr>
        <w:t xml:space="preserve">Совместные предприятия с участием иностранного капитала и иностранные предприятия начиная с ! января 1994 г. также облагаются НДС, НХД и акцизным налогом. Совместные предприятия с участием иностранного капитала, образованные и официально утвержденные до 31 декабря 1993 г., налоговые платежи которых возросли в результате перехода на взимание НДС, акцизного налога и НХД, по заявлению в течение последующих 5-ти лет имеют право на возврат возросшей части суммы налоговых платежей. </w:t>
      </w:r>
    </w:p>
    <w:p w:rsidR="00873DD4" w:rsidRDefault="00873DD4">
      <w:pPr>
        <w:pStyle w:val="a3"/>
        <w:spacing w:before="0" w:beforeAutospacing="0" w:after="0" w:afterAutospacing="0" w:line="360" w:lineRule="auto"/>
        <w:ind w:firstLine="709"/>
        <w:jc w:val="both"/>
        <w:rPr>
          <w:sz w:val="28"/>
        </w:rPr>
      </w:pPr>
      <w:r>
        <w:rPr>
          <w:sz w:val="28"/>
        </w:rPr>
        <w:t xml:space="preserve">Ускоренный переход предприятий от отчисления прибыли к подоходному налогообложению начался в КНР в 1982 г. и осуществлялся в течение трех лет. В апреле 1983 г. Госсовет КНР принимает постановление "Об осуществлении в опытном порядке метода перехода государственных предприятий от отчисления прибыли на налогообложение". В соответствии с этим документом рентабельные крупные и средние госпредприятия (включая и страховые компании) переводились на обложение подоходным налогом по ставке 55%. Однако после внесения подоходного налога часть оставшейся прибыли изымалась у предприятий на основе одной из трех так называемых форм подряда или регулирующего налога на госпредприятия. В результате свыше 76% прибыли предприятий по-прежнему поступали в бюджет государства. </w:t>
      </w:r>
    </w:p>
    <w:p w:rsidR="00873DD4" w:rsidRDefault="00873DD4">
      <w:pPr>
        <w:pStyle w:val="a3"/>
        <w:spacing w:before="0" w:beforeAutospacing="0" w:after="0" w:afterAutospacing="0" w:line="360" w:lineRule="auto"/>
        <w:ind w:firstLine="709"/>
        <w:jc w:val="both"/>
        <w:rPr>
          <w:sz w:val="28"/>
        </w:rPr>
      </w:pPr>
      <w:r>
        <w:rPr>
          <w:sz w:val="28"/>
        </w:rPr>
        <w:t xml:space="preserve">На втором этапе налоговой реформы в КНР в 1984 г. многие временные "положения" и нормативные акты были включены в налоговое законодательство страны и обрели силу закона. </w:t>
      </w:r>
    </w:p>
    <w:p w:rsidR="00873DD4" w:rsidRDefault="00873DD4">
      <w:pPr>
        <w:pStyle w:val="a3"/>
        <w:spacing w:before="0" w:beforeAutospacing="0" w:after="0" w:afterAutospacing="0" w:line="360" w:lineRule="auto"/>
        <w:ind w:firstLine="709"/>
        <w:jc w:val="both"/>
        <w:rPr>
          <w:sz w:val="28"/>
        </w:rPr>
      </w:pPr>
      <w:r>
        <w:rPr>
          <w:sz w:val="28"/>
        </w:rPr>
        <w:t xml:space="preserve">Что касается малых государственных предприятий, т.е. предприятий общественного питания и сферы обслуживания, а также коллективных предприятий, то они вносили подоходный налог по 8-ми разрядной прогрессивной шкале ставок в размере от !О до 55%. </w:t>
      </w:r>
    </w:p>
    <w:p w:rsidR="00873DD4" w:rsidRDefault="00873DD4">
      <w:pPr>
        <w:pStyle w:val="a3"/>
        <w:spacing w:before="0" w:beforeAutospacing="0" w:after="0" w:afterAutospacing="0" w:line="360" w:lineRule="auto"/>
        <w:ind w:firstLine="709"/>
        <w:jc w:val="both"/>
        <w:rPr>
          <w:sz w:val="28"/>
        </w:rPr>
      </w:pPr>
      <w:r>
        <w:rPr>
          <w:sz w:val="28"/>
        </w:rPr>
        <w:t xml:space="preserve">Подоходный налог с частных предприятий взимался по ставке 35% плюс 7% из оставшейся прибыли в фонд строительства важнейших объектов энергетики и транспорта и плюс еще от 10 до 40% с прибыли владельца предприятия, идущей на личное потребление. </w:t>
      </w:r>
    </w:p>
    <w:p w:rsidR="00873DD4" w:rsidRDefault="00873DD4">
      <w:pPr>
        <w:pStyle w:val="a3"/>
        <w:spacing w:before="0" w:beforeAutospacing="0" w:after="0" w:afterAutospacing="0" w:line="360" w:lineRule="auto"/>
        <w:ind w:firstLine="709"/>
        <w:jc w:val="both"/>
        <w:rPr>
          <w:sz w:val="28"/>
        </w:rPr>
      </w:pPr>
      <w:r>
        <w:rPr>
          <w:sz w:val="28"/>
        </w:rPr>
        <w:t xml:space="preserve">С 1 января 1994 г. на территории КНР действует единое "положение" для предприятий государственной, коллективной, частной, смешанной и акционерной форм собственности. Данный закон распространяется также на учреждения и общественные организации, получающие доход от экономической деятельности. </w:t>
      </w:r>
    </w:p>
    <w:p w:rsidR="00873DD4" w:rsidRDefault="00873DD4">
      <w:pPr>
        <w:pStyle w:val="a3"/>
        <w:spacing w:before="0" w:beforeAutospacing="0" w:after="0" w:afterAutospacing="0" w:line="360" w:lineRule="auto"/>
        <w:ind w:firstLine="709"/>
        <w:jc w:val="both"/>
        <w:rPr>
          <w:sz w:val="28"/>
        </w:rPr>
      </w:pPr>
      <w:r>
        <w:rPr>
          <w:sz w:val="28"/>
        </w:rPr>
        <w:t xml:space="preserve">Хотя для совместных иностранных предприятий действует отдельный закон о подоходном налоге, введенный с 1 июля 1991 г., тем не менее устранено главное противоречие - ставка подоходного налога во всех случаях установлена в размере 33%. </w:t>
      </w:r>
    </w:p>
    <w:p w:rsidR="00873DD4" w:rsidRDefault="00873DD4">
      <w:pPr>
        <w:pStyle w:val="a3"/>
        <w:spacing w:before="0" w:beforeAutospacing="0" w:after="0" w:afterAutospacing="0" w:line="360" w:lineRule="auto"/>
        <w:ind w:firstLine="709"/>
        <w:jc w:val="both"/>
        <w:rPr>
          <w:sz w:val="28"/>
        </w:rPr>
      </w:pPr>
      <w:r>
        <w:rPr>
          <w:sz w:val="28"/>
        </w:rPr>
        <w:t xml:space="preserve">По положению 1994 г. налогооблагаемая сумма дохода включает в себя доходы, полученные в результате производственной и хозяйственной деятельности, от передачи имущества, доходы на банковские депозиты, доходы от сдачи в аренду, дивиденды и др. Из налогооблагаемой суммы позволяется вычитать перед расчетом налога проценты за взятый кредит, заработную плату рабочим и служащим, платежи в профсоюзный фонд, в фонд улучшения материально-бытовых условий рабочих и служащих, пожертвования. Запрещено вычитать из налогооблагаемой суммы дохода вложения в капитальное строительство, штрафы и расходы на получение неимущественных прав, различные спонсорские расходы. </w:t>
      </w:r>
    </w:p>
    <w:p w:rsidR="00873DD4" w:rsidRDefault="00873DD4">
      <w:pPr>
        <w:pStyle w:val="a3"/>
        <w:spacing w:before="0" w:beforeAutospacing="0" w:after="0" w:afterAutospacing="0" w:line="360" w:lineRule="auto"/>
        <w:ind w:firstLine="709"/>
        <w:jc w:val="both"/>
        <w:rPr>
          <w:sz w:val="28"/>
        </w:rPr>
      </w:pPr>
      <w:r>
        <w:rPr>
          <w:sz w:val="28"/>
        </w:rPr>
        <w:t xml:space="preserve">Новым законом предусмотрены льготы по подоходному налогообложению для предприятий, расположенных в национальных автономных районах. </w:t>
      </w:r>
    </w:p>
    <w:p w:rsidR="00873DD4" w:rsidRDefault="00873DD4">
      <w:pPr>
        <w:pStyle w:val="a3"/>
        <w:spacing w:before="0" w:beforeAutospacing="0" w:after="0" w:afterAutospacing="0" w:line="360" w:lineRule="auto"/>
        <w:ind w:firstLine="709"/>
        <w:jc w:val="both"/>
        <w:rPr>
          <w:sz w:val="28"/>
        </w:rPr>
      </w:pPr>
      <w:r>
        <w:rPr>
          <w:sz w:val="28"/>
        </w:rPr>
        <w:t xml:space="preserve">Введение единой налоговой ставки 33% для большого числа предприятий с невысокой нормой прибыли или мелких предприятий с небольшими объемами производства, которые как раз и составляют подавляющее большинство в КНР, может оказаться разорительным. Поэтому "Положением" предусмотрено применение льготных налоговых ставок. Так, для небольших предприятий, налогооблагаемая сумма которых не превышает 100 тысяч юаней, может предоставляться льготная ставка налога 24%, а для предприятий с доходом менее 30 тысяч юаней в год- 15%. </w:t>
      </w:r>
    </w:p>
    <w:p w:rsidR="00873DD4" w:rsidRDefault="00873DD4">
      <w:pPr>
        <w:pStyle w:val="a3"/>
        <w:spacing w:before="0" w:beforeAutospacing="0" w:after="0" w:afterAutospacing="0" w:line="360" w:lineRule="auto"/>
        <w:ind w:firstLine="709"/>
        <w:jc w:val="both"/>
        <w:rPr>
          <w:sz w:val="28"/>
        </w:rPr>
      </w:pPr>
      <w:r>
        <w:rPr>
          <w:sz w:val="28"/>
        </w:rPr>
        <w:t xml:space="preserve">Первый закон КНР о личном подоходном налоге был принят в стране в сентябре 1980 г. Однако необлагаемый минимум был установлен в размере 800 юаней в месяц, что сделало основными субъектами данного налога главным образом иностранных граждан. Доходы от заработной платы, превышающие необлагаемый минимум, облагаются по прогрессивной 7-ми разрядной шкале ставок от 5 до 45%. Доходы от вознаграждений, гонораров, премий, от сдачи в аренду имущества облагаются по единой ставке 20%. </w:t>
      </w:r>
    </w:p>
    <w:p w:rsidR="00873DD4" w:rsidRDefault="00873DD4">
      <w:pPr>
        <w:pStyle w:val="a3"/>
        <w:spacing w:before="0" w:beforeAutospacing="0" w:after="0" w:afterAutospacing="0" w:line="360" w:lineRule="auto"/>
        <w:ind w:firstLine="709"/>
        <w:jc w:val="both"/>
        <w:rPr>
          <w:sz w:val="28"/>
        </w:rPr>
      </w:pPr>
      <w:r>
        <w:rPr>
          <w:sz w:val="28"/>
        </w:rPr>
        <w:t xml:space="preserve">Необходимо отмстить, что средняя заработная плата китайского рабочего составляет 200-300 юаней в месяц, поэтому доля подоходного налога в обшей сумме налоговых поступлений была крайне незначительна несмотря на более, чем миллиардное население Китая. Максимальная сумма поступлений по этой статье в !992 г. составляла всего 0,93 млрд. юаней, т.е. менее чем по 1 юаню со среднестатистического гражданина КНР. </w:t>
      </w:r>
    </w:p>
    <w:p w:rsidR="00873DD4" w:rsidRDefault="00873DD4">
      <w:pPr>
        <w:pStyle w:val="a3"/>
        <w:spacing w:before="0" w:beforeAutospacing="0" w:after="0" w:afterAutospacing="0" w:line="360" w:lineRule="auto"/>
        <w:ind w:firstLine="709"/>
        <w:jc w:val="both"/>
        <w:rPr>
          <w:sz w:val="28"/>
        </w:rPr>
      </w:pPr>
      <w:r>
        <w:rPr>
          <w:sz w:val="28"/>
        </w:rPr>
        <w:t xml:space="preserve">Кроме того, с января 1986 г. в КНР действовал подоходный налог с индивидуальных промышленных и торговых хозяйств в городской и сельской местности, который взимался с разного рода индивидуальных хозяйств, занимавшихся торгово-промышленной деятельностью, где число наемных рабочих не превышало семи человек. Налог взимался по десятиразрядной прогрессивной шкале от 7 до 60%. С части годового дохода, превышающего 50 тысяч юаней, взимался еще и дополнительный налог в размере 10-40% помимо данногo налога. </w:t>
      </w:r>
    </w:p>
    <w:p w:rsidR="00873DD4" w:rsidRDefault="00873DD4">
      <w:pPr>
        <w:pStyle w:val="a3"/>
        <w:spacing w:before="0" w:beforeAutospacing="0" w:after="0" w:afterAutospacing="0" w:line="360" w:lineRule="auto"/>
        <w:ind w:firstLine="709"/>
        <w:jc w:val="both"/>
        <w:rPr>
          <w:sz w:val="28"/>
        </w:rPr>
      </w:pPr>
      <w:r>
        <w:rPr>
          <w:sz w:val="28"/>
        </w:rPr>
        <w:t xml:space="preserve">С января 1994 г. в КНР начинает действовать унифицированный единый личный подоходный налог, объединивший в себе ранее действовавшие законы. </w:t>
      </w:r>
    </w:p>
    <w:p w:rsidR="00873DD4" w:rsidRDefault="00873DD4">
      <w:pPr>
        <w:pStyle w:val="a3"/>
        <w:spacing w:before="0" w:beforeAutospacing="0" w:after="0" w:afterAutospacing="0" w:line="360" w:lineRule="auto"/>
        <w:ind w:firstLine="709"/>
        <w:jc w:val="both"/>
        <w:rPr>
          <w:sz w:val="28"/>
        </w:rPr>
      </w:pPr>
      <w:r>
        <w:rPr>
          <w:sz w:val="28"/>
        </w:rPr>
        <w:t xml:space="preserve">В соответствии, с новым законом все личные доходы в КНР разделены на три категории и 11 видов: личные доходы в виде заработной платы и оклада; личные доходы от деятельности индивидуальных торгово-промышленных дворов, хозяйственной деятельности, выполнения подрядных работ для предприятий и учреждений, арендной деятельности; личные доходы в виде авторского гонорара, вознаграждения, процентов, дивидендов, тантьемы, дохода от сдачи в аренду имущества, дохода от передачи имущества. </w:t>
      </w:r>
    </w:p>
    <w:p w:rsidR="00873DD4" w:rsidRDefault="00873DD4">
      <w:pPr>
        <w:pStyle w:val="a3"/>
        <w:spacing w:before="0" w:beforeAutospacing="0" w:after="0" w:afterAutospacing="0" w:line="360" w:lineRule="auto"/>
        <w:ind w:firstLine="709"/>
        <w:jc w:val="both"/>
        <w:rPr>
          <w:sz w:val="28"/>
        </w:rPr>
      </w:pPr>
      <w:r>
        <w:rPr>
          <w:sz w:val="28"/>
        </w:rPr>
        <w:t xml:space="preserve">Для каждой категории доходов установлена отдельная шкала прогрессивных ставок налогообложения. Так, для первой категории доходов, т.е. личных доходов и окладов необлагаемый месячный минимум установлен в 800 виней и применяется 9-ти разрядная шкала ставок налога. С суммы, не превышающей 1300 юаней месячной зарплаты, взимается 5%-ный личный подоходный налог. Максимальная ставка для этой категории доходов установлена в 45% с суммы, превышающей !00 тысяч юаней месячного дохода. </w:t>
      </w:r>
    </w:p>
    <w:p w:rsidR="00873DD4" w:rsidRDefault="00873DD4">
      <w:pPr>
        <w:pStyle w:val="a3"/>
        <w:spacing w:before="0" w:beforeAutospacing="0" w:after="0" w:afterAutospacing="0" w:line="360" w:lineRule="auto"/>
        <w:ind w:firstLine="709"/>
        <w:jc w:val="both"/>
        <w:rPr>
          <w:sz w:val="28"/>
        </w:rPr>
      </w:pPr>
      <w:r>
        <w:rPr>
          <w:sz w:val="28"/>
        </w:rPr>
        <w:t xml:space="preserve">Для второй категории доходов также установлена прогрессивная 5-ти ступенчатая шкала ставок личного подоходного налога. С суммы, не превышающей 5000 юаней годового дохода, налог установлен з размере 5%. Максимальная ставка налога равняется 35% с суммы, превышающей 50 тыс. юаней годового дохода. </w:t>
      </w:r>
    </w:p>
    <w:p w:rsidR="00873DD4" w:rsidRDefault="00873DD4">
      <w:pPr>
        <w:pStyle w:val="a3"/>
        <w:spacing w:before="0" w:beforeAutospacing="0" w:after="0" w:afterAutospacing="0" w:line="360" w:lineRule="auto"/>
        <w:ind w:firstLine="709"/>
        <w:jc w:val="both"/>
        <w:rPr>
          <w:sz w:val="28"/>
        </w:rPr>
      </w:pPr>
      <w:r>
        <w:rPr>
          <w:sz w:val="28"/>
        </w:rPr>
        <w:t xml:space="preserve">Для третьей категории доходов установлена единая ставка личного подоходного налога в размере 20%. Сумма авторского гонорара перед расчетом личного подоходного налога уменьшается на 30%, а затем уже определяется сумма личного подоходного налога. При передаче имущества из налогооблагаемой суммы может вычитаться первоначальная стоимость и издержки, а с остатка суммы взимается налог. В том случае, если вознаграждение, гонорар или доход от сдачи в аренду не превышает 4 тыс. юаней, из этой суммы может быть вычтен необлагаемый минимум 800 юаней. </w:t>
      </w:r>
    </w:p>
    <w:p w:rsidR="00873DD4" w:rsidRDefault="00873DD4">
      <w:pPr>
        <w:pStyle w:val="a3"/>
        <w:spacing w:before="0" w:beforeAutospacing="0" w:after="0" w:afterAutospacing="0" w:line="360" w:lineRule="auto"/>
        <w:ind w:firstLine="709"/>
        <w:jc w:val="both"/>
        <w:rPr>
          <w:sz w:val="28"/>
        </w:rPr>
      </w:pPr>
      <w:r>
        <w:rPr>
          <w:sz w:val="28"/>
        </w:rPr>
        <w:t xml:space="preserve">От личного подоходного налога освобождаются премии в области науки, образования, техники, культуры, здравоохранения, спорта, охраны окружающей среды, выданные от имени Народного правительства различных уровней, иностранными и международными организациями, доходы в виде процента на сберегательные вклады и по государственным облигациям, пособия, пенсии, выплаты по страхованию, доходы дипломатического и консульского персонала зарубежных стран в КНР. </w:t>
      </w:r>
    </w:p>
    <w:p w:rsidR="00873DD4" w:rsidRDefault="00873DD4">
      <w:pPr>
        <w:pStyle w:val="a3"/>
        <w:spacing w:before="0" w:beforeAutospacing="0" w:after="0" w:afterAutospacing="0" w:line="360" w:lineRule="auto"/>
        <w:ind w:firstLine="709"/>
        <w:jc w:val="both"/>
        <w:rPr>
          <w:sz w:val="28"/>
        </w:rPr>
      </w:pPr>
      <w:r>
        <w:rPr>
          <w:sz w:val="28"/>
        </w:rPr>
        <w:t xml:space="preserve">Другая значительная группа налогов - налоги на ресурсы - также с начала 1994 г. подвергается значительной реформации. В начале 1994 г. Китай упразднил государственную монополию на разведку и разработку месторождений полезных ископаемых. Право осваивать месторождение теперь предоставляется на конкурсной основе государственным ведомствам и частным фирмам за установленную плату. Оговоренные на определенный срок права освоения перспективного района фигурируют в качестве товара на специализированных рынках, действующих под контролем государства. </w:t>
      </w:r>
    </w:p>
    <w:p w:rsidR="00873DD4" w:rsidRDefault="00873DD4">
      <w:pPr>
        <w:pStyle w:val="a3"/>
        <w:spacing w:before="0" w:beforeAutospacing="0" w:after="0" w:afterAutospacing="0" w:line="360" w:lineRule="auto"/>
        <w:ind w:firstLine="709"/>
        <w:jc w:val="both"/>
        <w:rPr>
          <w:sz w:val="28"/>
        </w:rPr>
      </w:pPr>
      <w:r>
        <w:rPr>
          <w:sz w:val="28"/>
        </w:rPr>
        <w:t xml:space="preserve">На успешную реализацию новых условий разработки полезных ископаемых и было направлено принятие в начале 1994 г. нового закона - "Временного положения КНР о налоге на ресурсы". Отличие нового налога от прежнего заключается в том, что он охватывает более широкий круг минеральных ресурсов: нефть, газ, уголь, металлические и неметаллические руды. Кроме того, значительно повышены ставки налога и он распространяется на некоторые обогатительные предприятия, а также на предприятия, основанные с участием иностранного капитала, ведущие добычу полезных ископаемых на территории КЙР. </w:t>
      </w:r>
    </w:p>
    <w:p w:rsidR="00873DD4" w:rsidRDefault="00873DD4">
      <w:pPr>
        <w:pStyle w:val="a3"/>
        <w:spacing w:before="0" w:beforeAutospacing="0" w:after="0" w:afterAutospacing="0" w:line="360" w:lineRule="auto"/>
        <w:ind w:firstLine="709"/>
        <w:jc w:val="both"/>
        <w:rPr>
          <w:sz w:val="28"/>
        </w:rPr>
      </w:pPr>
      <w:r>
        <w:rPr>
          <w:sz w:val="28"/>
        </w:rPr>
        <w:t xml:space="preserve">Конкретный размер налога для каждого субъекта определяется Министерством финансов КНР по согласованию с соответствующими ведомствами Госсовета КНР исходя из условий добычи или производства ресурсов в рамках установленного налогового оклада. Если добыча осуществляется из восстановленных скважин, предоставляется полное освобождение от налога на ресурсы. </w:t>
      </w:r>
    </w:p>
    <w:p w:rsidR="00873DD4" w:rsidRDefault="00873DD4">
      <w:pPr>
        <w:pStyle w:val="a3"/>
        <w:spacing w:before="0" w:beforeAutospacing="0" w:after="0" w:afterAutospacing="0" w:line="360" w:lineRule="auto"/>
        <w:ind w:firstLine="709"/>
        <w:jc w:val="both"/>
        <w:rPr>
          <w:sz w:val="28"/>
        </w:rPr>
      </w:pPr>
      <w:r>
        <w:rPr>
          <w:sz w:val="28"/>
        </w:rPr>
        <w:t xml:space="preserve">Другим налогом, входящим в группу налогов на ресурсы и призванным регулировать дифференциальные доходы, получаемые от использования земельных участков, является налог на использование земли. Этот налог вносится юридическими и физическими лица- ми, использующими землю в городах и поселках; налоговые ставки были установлены за! квадратный метр земли по трем классам в зависимости от административного значения города. </w:t>
      </w:r>
    </w:p>
    <w:p w:rsidR="00873DD4" w:rsidRDefault="00873DD4">
      <w:pPr>
        <w:pStyle w:val="a3"/>
        <w:spacing w:before="0" w:beforeAutospacing="0" w:after="0" w:afterAutospacing="0" w:line="360" w:lineRule="auto"/>
        <w:ind w:firstLine="709"/>
        <w:jc w:val="both"/>
        <w:rPr>
          <w:sz w:val="28"/>
        </w:rPr>
      </w:pPr>
      <w:r>
        <w:rPr>
          <w:sz w:val="28"/>
        </w:rPr>
        <w:t xml:space="preserve">Ставки налога за использование земли дифференцированы в зависимости от размеров населенных пунктов: так, в крупных городах налог установлен в размере от 1,5 до 30 юаней за квадратный метр занимаемой земли, в городах средних размеров - от 1,2 до 24 юаней, в маленьких городах - от 0,9 до 18 виней, в уездных городах, поселках и на территории заводов и рудников - от 0,6 до 12 юаней, а в деревнях - от 0,3 до 6 юаней за 1 кв.м. Учитывая конкретные экономические условия, местные власти определяют ставку налога исходя из установленных пределов. </w:t>
      </w:r>
    </w:p>
    <w:p w:rsidR="00873DD4" w:rsidRDefault="00873DD4">
      <w:pPr>
        <w:pStyle w:val="a3"/>
        <w:spacing w:before="0" w:beforeAutospacing="0" w:after="0" w:afterAutospacing="0" w:line="360" w:lineRule="auto"/>
        <w:ind w:firstLine="709"/>
        <w:jc w:val="both"/>
        <w:rPr>
          <w:sz w:val="28"/>
        </w:rPr>
      </w:pPr>
      <w:r>
        <w:rPr>
          <w:sz w:val="28"/>
        </w:rPr>
        <w:t xml:space="preserve">Освобождаются от налога на использование земли участки, занимаемые учреждениями партийных организаций, административных и военных органов. Кроме того, освобождаются от налога земельные участки организаций, состоящих на финансировании Министерства финансов КНР, под культовыми зданиями, парковыми комплексами, достопримечательностями и памятниками старины. </w:t>
      </w:r>
    </w:p>
    <w:p w:rsidR="00873DD4" w:rsidRDefault="00873DD4">
      <w:pPr>
        <w:pStyle w:val="a3"/>
        <w:spacing w:before="0" w:beforeAutospacing="0" w:after="0" w:afterAutospacing="0" w:line="360" w:lineRule="auto"/>
        <w:ind w:firstLine="709"/>
        <w:jc w:val="both"/>
        <w:rPr>
          <w:sz w:val="28"/>
        </w:rPr>
      </w:pPr>
      <w:r>
        <w:rPr>
          <w:sz w:val="28"/>
        </w:rPr>
        <w:t xml:space="preserve">Для того, чтобы предотвратить спекуляцию недвижимостью в стране, был введен в начале 1994 г. налог на увеличенную стоимость земли. Субъектами данного налога являются юридические и физические лица, передающие право пользования землей, находящейся в собственности государства, зданиями и сооружениями, расположенными на этой земле. Базой обложения является доход, полученный в результате передачи не- движимости, из которого вычтены суммы, израсходованные при получении права на пользование землей, себестоимость и издержки освоения земли, издержки и себестоимость нового строительства, налоговые суммы, связанные с передачей недвижимости. Налог на увеличенную стоимость земли взимается по 4-х разрядной прогрессивной шкале ставок от 30 до 60%. </w:t>
      </w:r>
    </w:p>
    <w:p w:rsidR="00873DD4" w:rsidRDefault="00873DD4">
      <w:pPr>
        <w:pStyle w:val="a3"/>
        <w:spacing w:before="0" w:beforeAutospacing="0" w:after="0" w:afterAutospacing="0" w:line="360" w:lineRule="auto"/>
        <w:ind w:firstLine="709"/>
        <w:jc w:val="both"/>
        <w:rPr>
          <w:sz w:val="28"/>
        </w:rPr>
      </w:pPr>
      <w:r>
        <w:rPr>
          <w:sz w:val="28"/>
        </w:rPr>
        <w:t xml:space="preserve">Одним из представителей другой группы налогов - специальных целевых налогов - является регулирующий налог на инвестиции в основные фонды. Этот налог взимается с юридических и физических лиц при инвестиции средств в основные фонды, где вложенная сумма является базой налогообложения. </w:t>
      </w:r>
    </w:p>
    <w:p w:rsidR="00873DD4" w:rsidRDefault="00873DD4">
      <w:pPr>
        <w:pStyle w:val="a3"/>
        <w:spacing w:before="0" w:beforeAutospacing="0" w:after="0" w:afterAutospacing="0" w:line="360" w:lineRule="auto"/>
        <w:ind w:firstLine="709"/>
        <w:jc w:val="both"/>
        <w:rPr>
          <w:sz w:val="28"/>
        </w:rPr>
      </w:pPr>
      <w:r>
        <w:rPr>
          <w:sz w:val="28"/>
        </w:rPr>
        <w:t xml:space="preserve">Действующий с апреля 1991 г. регулирующий налог на инвестиции в основные фонды взимается с правительств различных уровней, общественных организаций, государственных предприятий и учреждений, частных предприятий и индивидуальных торгово-промышленных дворов, а также частных лиц, осуществляющих инвестиции в основные фонды за счет государственных бюджетных средств, внутренних и внешних государственных кредитов, субсидий, собственных средств предприятий и учреждений. </w:t>
      </w:r>
    </w:p>
    <w:p w:rsidR="00873DD4" w:rsidRDefault="00873DD4">
      <w:pPr>
        <w:pStyle w:val="a3"/>
        <w:spacing w:before="0" w:beforeAutospacing="0" w:after="0" w:afterAutospacing="0" w:line="360" w:lineRule="auto"/>
        <w:ind w:firstLine="709"/>
        <w:jc w:val="both"/>
        <w:rPr>
          <w:sz w:val="28"/>
        </w:rPr>
      </w:pPr>
      <w:r>
        <w:rPr>
          <w:sz w:val="28"/>
        </w:rPr>
        <w:t xml:space="preserve">Инвестиции в основные фонды включают в себя инвестиции в реконструкцию, а также инвестиции в коммерческое жилищное строительство. По характеру инвестиций в новом "положении" они подразделяются на инвестиции в основные фонды на вновь строящихся объектах и на инвестиции в основные фонды на модернизируемых предприятиях. Действуют 5 ставок налога, 0%, 5%, 10%, 15% и 30%. </w:t>
      </w:r>
    </w:p>
    <w:p w:rsidR="00873DD4" w:rsidRDefault="00873DD4">
      <w:pPr>
        <w:pStyle w:val="a3"/>
        <w:spacing w:before="0" w:beforeAutospacing="0" w:after="0" w:afterAutospacing="0" w:line="360" w:lineRule="auto"/>
        <w:ind w:firstLine="709"/>
        <w:jc w:val="both"/>
        <w:rPr>
          <w:sz w:val="28"/>
        </w:rPr>
      </w:pPr>
      <w:r>
        <w:rPr>
          <w:sz w:val="28"/>
        </w:rPr>
        <w:t xml:space="preserve">Инвестиции в предприятия сельского, лесного и водного хозяйства, объекты энергетики и транспорта, связи, сырьевую отрасль, геологоразведку, разработку горных месторождений поощряются правительством страны, так как направлены на развитие базовых отраслей, и облагаются нулевой ставкой регулирующего налога на инвестиции в основные фонды. </w:t>
      </w:r>
    </w:p>
    <w:p w:rsidR="00873DD4" w:rsidRDefault="00873DD4">
      <w:pPr>
        <w:pStyle w:val="a3"/>
        <w:spacing w:before="0" w:beforeAutospacing="0" w:after="0" w:afterAutospacing="0" w:line="360" w:lineRule="auto"/>
        <w:ind w:firstLine="709"/>
        <w:jc w:val="both"/>
        <w:rPr>
          <w:sz w:val="28"/>
        </w:rPr>
      </w:pPr>
      <w:r>
        <w:rPr>
          <w:sz w:val="28"/>
        </w:rPr>
        <w:t xml:space="preserve">Налог на обслуживание и строительство городов был введен в 1979 г. Поскольку налогооблагаемой базой налога на обслуживание и строительство городов являлась сумма налога с оборота, то налоговая нагрузка была крайне неравномерной. В 1991 г. была изменена база обложения. Вместо ранее применявшейся суммы налогов с оборота, за базу обложения принимается доход, а ставка налога может колебаться в пределах от 0,4 до 0,6%. Народное правительство провинции, автономного района или города центрального подчинения исходя из экономической ситуации самостоятельно определяет ставку налога в указанных пределах. Какая-либо привязка ставки налога к административному значению города или поселка отменена. </w:t>
      </w:r>
    </w:p>
    <w:p w:rsidR="00873DD4" w:rsidRDefault="00873DD4">
      <w:pPr>
        <w:pStyle w:val="a3"/>
        <w:spacing w:before="0" w:beforeAutospacing="0" w:after="0" w:afterAutospacing="0" w:line="360" w:lineRule="auto"/>
        <w:ind w:firstLine="709"/>
        <w:jc w:val="both"/>
        <w:rPr>
          <w:sz w:val="28"/>
        </w:rPr>
      </w:pPr>
      <w:r>
        <w:rPr>
          <w:sz w:val="28"/>
        </w:rPr>
        <w:t xml:space="preserve">Налог на строения вносят организации и отдельные граждане, имеющие имущественные права на строения, расположенные на территории КНР, вне зависимости от формы собственности и местонахождения. С января 1994 г. этот налог вносят и предприятия с участием иностранного капитала, расположенные на территории КНР. По положению КНР о налоге на строения, действующему с 1994 г., базой обложения является рыночная цена строения на данное время, а не остаточная стоимость или арендная плата, как по ранее действовавшим положениям. Ставка налога колеблется в пределах от 1 до 5%; конкретно ставку определяет Народное правительство провинции, автономного района или города центрального подчинения. </w:t>
      </w:r>
    </w:p>
    <w:p w:rsidR="00873DD4" w:rsidRDefault="00873DD4">
      <w:pPr>
        <w:pStyle w:val="a3"/>
        <w:spacing w:before="0" w:beforeAutospacing="0" w:after="0" w:afterAutospacing="0" w:line="360" w:lineRule="auto"/>
        <w:ind w:firstLine="709"/>
        <w:jc w:val="both"/>
        <w:rPr>
          <w:sz w:val="28"/>
        </w:rPr>
      </w:pPr>
      <w:r>
        <w:rPr>
          <w:sz w:val="28"/>
        </w:rPr>
        <w:t xml:space="preserve">Освобождаются от налога на строения здания, занимаемые государственными органами, народными и общественными организациями, воинскими подразделениями организациями, состоящими на финансировании Министерства финансов КНР, культовые здания, парковые комплексы, достопримечательности и памятники старины, а также здания, находящиеся в личной собственности граждан, если они не используются для производственных целей. </w:t>
      </w:r>
    </w:p>
    <w:p w:rsidR="00873DD4" w:rsidRDefault="00873DD4">
      <w:pPr>
        <w:pStyle w:val="a3"/>
        <w:spacing w:before="0" w:beforeAutospacing="0" w:after="0" w:afterAutospacing="0" w:line="360" w:lineRule="auto"/>
        <w:ind w:firstLine="709"/>
        <w:jc w:val="both"/>
        <w:rPr>
          <w:sz w:val="28"/>
        </w:rPr>
      </w:pPr>
      <w:r>
        <w:rPr>
          <w:sz w:val="28"/>
        </w:rPr>
        <w:t xml:space="preserve">В январе 1994 г. на смену двум одновременно действовавшим "положениям" 1951 и 1986 г.г. пришло единое "Временное положение КНР о налоге на транспортные средства". Субъектами данного налога являются физические и юридические лица, владеющие транспортными средствами на территории КНР. По сравнению со ставками налога, действовавшими по "Положению" 1986 г., новые ставки значительно выше. Так на пассажирский транспорт ставка налога составляет от 150 до 2000 юаней, на грузовой от 40 до 160 юаней на каждую тонну грузоподъема, на мотоциклы от 50 до 200 юаней, гужевые повозки от 10 до 80, велосипеды от 5 до 20 юаней. </w:t>
      </w:r>
    </w:p>
    <w:p w:rsidR="00873DD4" w:rsidRDefault="00873DD4">
      <w:pPr>
        <w:pStyle w:val="a3"/>
        <w:spacing w:before="0" w:beforeAutospacing="0" w:after="0" w:afterAutospacing="0" w:line="360" w:lineRule="auto"/>
        <w:ind w:firstLine="709"/>
        <w:jc w:val="both"/>
        <w:rPr>
          <w:sz w:val="28"/>
        </w:rPr>
      </w:pPr>
      <w:r>
        <w:rPr>
          <w:sz w:val="28"/>
        </w:rPr>
        <w:t xml:space="preserve">Освобождаются от налога транспортные средства государственных органов, народных и общественных организаций, воинских частей, учреждений, находящихся на финансировании Министерством финансов КНР, рыбацкие лодки водоизмещением менее 1 тонны, погрузо-разгрузочные машины, плавучие пристани и спецмашины. Конкретное определение ставки налога в данной провинции и предоставление льгот находится в ведении местных органов власти. </w:t>
      </w:r>
    </w:p>
    <w:p w:rsidR="00873DD4" w:rsidRDefault="00873DD4">
      <w:pPr>
        <w:pStyle w:val="a3"/>
        <w:spacing w:before="0" w:beforeAutospacing="0" w:after="0" w:afterAutospacing="0" w:line="360" w:lineRule="auto"/>
        <w:ind w:firstLine="709"/>
        <w:jc w:val="both"/>
        <w:rPr>
          <w:sz w:val="28"/>
        </w:rPr>
      </w:pPr>
      <w:r>
        <w:rPr>
          <w:sz w:val="28"/>
        </w:rPr>
        <w:t xml:space="preserve">Гербовый сбор взимается при регистрации или выдаче документов. Субъектом налогообложения являются юридические и физические лица, получающие какой- либо документ, за который взимается гербовая пошлина. В зависимости от документа на него устанавливается процентная ставка или твердая сумма. </w:t>
      </w:r>
    </w:p>
    <w:p w:rsidR="00873DD4" w:rsidRDefault="00873DD4">
      <w:pPr>
        <w:pStyle w:val="a3"/>
        <w:spacing w:before="0" w:beforeAutospacing="0" w:after="0" w:afterAutospacing="0" w:line="360" w:lineRule="auto"/>
        <w:ind w:firstLine="709"/>
        <w:jc w:val="both"/>
        <w:rPr>
          <w:sz w:val="28"/>
        </w:rPr>
      </w:pPr>
      <w:r>
        <w:rPr>
          <w:sz w:val="28"/>
        </w:rPr>
        <w:t xml:space="preserve">Кроме вышеперечисленных налогов в КНР также действует еще небольшой ряд налогов на сельхозпродукцию и применяется такая форма изъятия в бюджет, как отчисления в различные фонды: фонд строительства важнейших объектов энергетики и транспорта, фонд регулирования бюджета. Однако после реформы 1994 г. отчисления в эти фонды сведены к минимуму, а их доля в бюджетных доходах весьма незначительна. </w:t>
      </w:r>
    </w:p>
    <w:p w:rsidR="00873DD4" w:rsidRDefault="00873DD4">
      <w:pPr>
        <w:pStyle w:val="a3"/>
        <w:spacing w:before="0" w:beforeAutospacing="0" w:after="0" w:afterAutospacing="0" w:line="360" w:lineRule="auto"/>
        <w:ind w:firstLine="709"/>
        <w:jc w:val="both"/>
        <w:rPr>
          <w:sz w:val="28"/>
        </w:rPr>
      </w:pPr>
      <w:r>
        <w:rPr>
          <w:sz w:val="28"/>
        </w:rPr>
        <w:t xml:space="preserve">С января 1995 г. в КНР образован фонд жилищного строительства, который строится по территориальному принципу. Фонд формируется за счет отчислений 5% от заработной платы рабочих и служащих и 5% отчислений предприятий от фонда заработной платы. </w:t>
      </w:r>
    </w:p>
    <w:p w:rsidR="00873DD4" w:rsidRDefault="00873DD4">
      <w:pPr>
        <w:pStyle w:val="a3"/>
        <w:spacing w:before="0" w:beforeAutospacing="0" w:after="0" w:afterAutospacing="0" w:line="360" w:lineRule="auto"/>
        <w:ind w:firstLine="709"/>
        <w:jc w:val="both"/>
        <w:rPr>
          <w:sz w:val="28"/>
        </w:rPr>
      </w:pPr>
      <w:r>
        <w:rPr>
          <w:sz w:val="28"/>
        </w:rPr>
        <w:t xml:space="preserve">Основными причинами, обусловившими коррекцию налоговой системы КНР в начале 1994 г., являлись внутреннее экономическое положение, а также членство КНР в таких международных финансовых институтах как Международный валютный фонд, Всемирный банк, которые предъявляли требования по приведению финансовой системы страны, и в частности, налоговой системы КНР к международным стандартам. Аналогичные требования предъявлялись к КНР и такой организацией, как генеральное соглашение о тарифах и торговле (ГАТТ-ВТО), членства в которой KHP добивается на протяжении последних лет. </w:t>
      </w:r>
    </w:p>
    <w:p w:rsidR="00873DD4" w:rsidRDefault="00873DD4">
      <w:pPr>
        <w:pStyle w:val="a3"/>
        <w:spacing w:before="0" w:beforeAutospacing="0" w:after="0" w:afterAutospacing="0" w:line="360" w:lineRule="auto"/>
        <w:ind w:firstLine="709"/>
        <w:jc w:val="both"/>
        <w:rPr>
          <w:sz w:val="28"/>
        </w:rPr>
      </w:pPr>
      <w:r>
        <w:rPr>
          <w:sz w:val="28"/>
        </w:rPr>
        <w:t xml:space="preserve">В то же время правительство Китая не собирается отступать от политики предоставления налоговых льгот иностранным инвесторам, хотя на смену сосуществованию двух систем налогообложения пришла унифицированная модель. Сохранив определенные льготы иностранным инвесторам, новая система в то же время призвана содействовать созданию равных условий для конкуренции китайских предприятий со своими иностранными партнерами, увеличению поступлений в государственную казну. </w:t>
      </w: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spacing w:line="360" w:lineRule="auto"/>
        <w:ind w:firstLine="709"/>
        <w:jc w:val="both"/>
        <w:rPr>
          <w:sz w:val="28"/>
        </w:rPr>
      </w:pPr>
    </w:p>
    <w:p w:rsidR="00873DD4" w:rsidRDefault="00873DD4">
      <w:pPr>
        <w:pStyle w:val="a4"/>
        <w:spacing w:line="360" w:lineRule="auto"/>
        <w:jc w:val="center"/>
        <w:rPr>
          <w:sz w:val="28"/>
        </w:rPr>
      </w:pPr>
      <w:r>
        <w:rPr>
          <w:sz w:val="28"/>
        </w:rPr>
        <w:t>Список литературы.</w:t>
      </w:r>
    </w:p>
    <w:p w:rsidR="00873DD4" w:rsidRDefault="00873DD4">
      <w:pPr>
        <w:pStyle w:val="a4"/>
        <w:spacing w:line="360" w:lineRule="auto"/>
        <w:jc w:val="center"/>
        <w:rPr>
          <w:sz w:val="28"/>
        </w:rPr>
      </w:pPr>
    </w:p>
    <w:p w:rsidR="00873DD4" w:rsidRDefault="00873DD4">
      <w:pPr>
        <w:pStyle w:val="a4"/>
        <w:numPr>
          <w:ilvl w:val="0"/>
          <w:numId w:val="1"/>
        </w:numPr>
        <w:spacing w:line="360" w:lineRule="auto"/>
        <w:rPr>
          <w:sz w:val="28"/>
        </w:rPr>
      </w:pPr>
      <w:r>
        <w:rPr>
          <w:sz w:val="28"/>
        </w:rPr>
        <w:t xml:space="preserve"> Бродский Г.М. Право и экономика налогообложения, СПб.: Изд-во С.-Петирбур. Университета, 2000 г.</w:t>
      </w:r>
    </w:p>
    <w:p w:rsidR="00873DD4" w:rsidRDefault="00873DD4">
      <w:pPr>
        <w:pStyle w:val="a4"/>
        <w:numPr>
          <w:ilvl w:val="0"/>
          <w:numId w:val="1"/>
        </w:numPr>
        <w:spacing w:line="360" w:lineRule="auto"/>
        <w:rPr>
          <w:sz w:val="28"/>
        </w:rPr>
      </w:pPr>
      <w:r>
        <w:rPr>
          <w:iCs/>
          <w:sz w:val="28"/>
        </w:rPr>
        <w:t xml:space="preserve">С. П. Савинский </w:t>
      </w:r>
      <w:r>
        <w:rPr>
          <w:sz w:val="28"/>
        </w:rPr>
        <w:t xml:space="preserve">/ «Новая налоговая система КНР»/ Финансы, 1998, №4, с 29-30 </w:t>
      </w:r>
    </w:p>
    <w:p w:rsidR="00873DD4" w:rsidRDefault="00873DD4">
      <w:pPr>
        <w:pStyle w:val="a4"/>
        <w:numPr>
          <w:ilvl w:val="0"/>
          <w:numId w:val="1"/>
        </w:numPr>
        <w:spacing w:line="360" w:lineRule="auto"/>
        <w:rPr>
          <w:sz w:val="28"/>
        </w:rPr>
      </w:pPr>
      <w:r>
        <w:rPr>
          <w:sz w:val="28"/>
        </w:rPr>
        <w:t>Налоги и налоговое право:/ Практикум. Брызгин, Берник, - М.: Аналитика –ПРЕСС, 1998 г.</w:t>
      </w:r>
    </w:p>
    <w:p w:rsidR="00873DD4" w:rsidRDefault="00873DD4">
      <w:pPr>
        <w:pStyle w:val="a4"/>
        <w:numPr>
          <w:ilvl w:val="0"/>
          <w:numId w:val="1"/>
        </w:numPr>
        <w:spacing w:line="360" w:lineRule="auto"/>
        <w:rPr>
          <w:sz w:val="28"/>
        </w:rPr>
      </w:pPr>
      <w:r>
        <w:rPr>
          <w:sz w:val="28"/>
        </w:rPr>
        <w:t>Сомоев Р.Г. Общая теория налогов и налогообложения. Учебное пособие – М.: Изд-во ПРИОР, 2000 г.</w:t>
      </w:r>
    </w:p>
    <w:p w:rsidR="00873DD4" w:rsidRDefault="00873DD4">
      <w:pPr>
        <w:pStyle w:val="a4"/>
        <w:numPr>
          <w:ilvl w:val="0"/>
          <w:numId w:val="1"/>
        </w:numPr>
        <w:spacing w:line="360" w:lineRule="auto"/>
        <w:rPr>
          <w:sz w:val="28"/>
        </w:rPr>
      </w:pPr>
      <w:r>
        <w:rPr>
          <w:sz w:val="28"/>
        </w:rPr>
        <w:t xml:space="preserve">Черник Д. Г. Налоги: Учебное пособие для студентов, - М,: Финансы и статистика, 1996 г </w:t>
      </w:r>
    </w:p>
    <w:p w:rsidR="00873DD4" w:rsidRDefault="00873DD4">
      <w:pPr>
        <w:pStyle w:val="a4"/>
        <w:numPr>
          <w:ilvl w:val="0"/>
          <w:numId w:val="1"/>
        </w:numPr>
        <w:spacing w:line="360" w:lineRule="auto"/>
        <w:rPr>
          <w:sz w:val="28"/>
        </w:rPr>
      </w:pPr>
      <w:r>
        <w:rPr>
          <w:sz w:val="28"/>
        </w:rPr>
        <w:t>Юткина Т.Ф. Налоги и налоговое планирование. Учебник для вузов, обучающихся по экономич. спец. – М.: ИНФРА –М, 1999 г.</w:t>
      </w:r>
    </w:p>
    <w:p w:rsidR="00873DD4" w:rsidRDefault="00873DD4">
      <w:pPr>
        <w:pStyle w:val="a4"/>
        <w:spacing w:line="360" w:lineRule="auto"/>
        <w:rPr>
          <w:sz w:val="28"/>
        </w:rPr>
      </w:pPr>
    </w:p>
    <w:p w:rsidR="00873DD4" w:rsidRDefault="00873DD4">
      <w:pPr>
        <w:pStyle w:val="a4"/>
        <w:spacing w:line="360" w:lineRule="auto"/>
        <w:jc w:val="both"/>
        <w:rPr>
          <w:sz w:val="28"/>
        </w:rPr>
      </w:pPr>
    </w:p>
    <w:p w:rsidR="00873DD4" w:rsidRDefault="00873DD4">
      <w:pPr>
        <w:pStyle w:val="a4"/>
        <w:spacing w:line="360" w:lineRule="auto"/>
        <w:jc w:val="both"/>
        <w:rPr>
          <w:sz w:val="28"/>
        </w:rPr>
      </w:pPr>
    </w:p>
    <w:p w:rsidR="00873DD4" w:rsidRDefault="00873DD4">
      <w:pPr>
        <w:pStyle w:val="a4"/>
        <w:spacing w:line="360" w:lineRule="auto"/>
        <w:jc w:val="both"/>
        <w:rPr>
          <w:sz w:val="28"/>
        </w:rPr>
      </w:pPr>
    </w:p>
    <w:p w:rsidR="00873DD4" w:rsidRDefault="00873DD4">
      <w:pPr>
        <w:pStyle w:val="a4"/>
        <w:spacing w:line="360" w:lineRule="auto"/>
        <w:jc w:val="both"/>
        <w:rPr>
          <w:sz w:val="28"/>
        </w:rPr>
      </w:pPr>
    </w:p>
    <w:p w:rsidR="00873DD4" w:rsidRDefault="00873DD4">
      <w:pPr>
        <w:pStyle w:val="a4"/>
        <w:spacing w:line="360" w:lineRule="auto"/>
        <w:jc w:val="both"/>
        <w:rPr>
          <w:sz w:val="28"/>
        </w:rPr>
      </w:pPr>
    </w:p>
    <w:p w:rsidR="00873DD4" w:rsidRDefault="00873DD4">
      <w:pPr>
        <w:pStyle w:val="a4"/>
        <w:spacing w:line="360" w:lineRule="auto"/>
        <w:jc w:val="both"/>
        <w:rPr>
          <w:sz w:val="28"/>
        </w:rPr>
      </w:pPr>
    </w:p>
    <w:p w:rsidR="00873DD4" w:rsidRDefault="00873DD4">
      <w:pPr>
        <w:spacing w:line="360" w:lineRule="auto"/>
        <w:ind w:firstLine="709"/>
        <w:jc w:val="both"/>
        <w:rPr>
          <w:sz w:val="28"/>
        </w:rPr>
      </w:pPr>
      <w:bookmarkStart w:id="0" w:name="_GoBack"/>
      <w:bookmarkEnd w:id="0"/>
    </w:p>
    <w:sectPr w:rsidR="00873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768AB"/>
    <w:multiLevelType w:val="singleLevel"/>
    <w:tmpl w:val="04190011"/>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D27"/>
    <w:rsid w:val="000A4D27"/>
    <w:rsid w:val="002C48E3"/>
    <w:rsid w:val="00873DD4"/>
    <w:rsid w:val="008D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B949E3-D5BC-4DC0-B94B-B26AB3CB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customStyle="1" w:styleId="author">
    <w:name w:val="author"/>
    <w:basedOn w:val="a"/>
    <w:pPr>
      <w:spacing w:before="100" w:beforeAutospacing="1" w:after="100" w:afterAutospacing="1"/>
    </w:pPr>
  </w:style>
  <w:style w:type="paragraph" w:styleId="a4">
    <w:name w:val="footnote text"/>
    <w:basedOn w:val="a"/>
    <w:semiHidden/>
    <w:rPr>
      <w:sz w:val="20"/>
      <w:szCs w:val="20"/>
    </w:rPr>
  </w:style>
  <w:style w:type="paragraph" w:styleId="a5">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4257</Words>
  <Characters>24270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Hовая налоговая система КНР </vt:lpstr>
    </vt:vector>
  </TitlesOfParts>
  <Company/>
  <LinksUpToDate>false</LinksUpToDate>
  <CharactersWithSpaces>28471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Hовая налоговая система КНР </dc:title>
  <dc:subject/>
  <dc:creator>Nastya</dc:creator>
  <cp:keywords/>
  <dc:description/>
  <cp:lastModifiedBy>Irina</cp:lastModifiedBy>
  <cp:revision>2</cp:revision>
  <dcterms:created xsi:type="dcterms:W3CDTF">2014-08-06T16:19:00Z</dcterms:created>
  <dcterms:modified xsi:type="dcterms:W3CDTF">2014-08-06T16:19:00Z</dcterms:modified>
</cp:coreProperties>
</file>