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893" w:rsidRDefault="00E4298B">
      <w:pPr>
        <w:pStyle w:val="a3"/>
      </w:pPr>
      <w:r>
        <w:t xml:space="preserve">Московская Государственная Финансовая Академия </w:t>
      </w:r>
    </w:p>
    <w:p w:rsidR="00B82893" w:rsidRDefault="00E4298B">
      <w:pPr>
        <w:jc w:val="center"/>
        <w:rPr>
          <w:b/>
          <w:sz w:val="32"/>
        </w:rPr>
      </w:pPr>
      <w:r>
        <w:rPr>
          <w:b/>
          <w:sz w:val="32"/>
        </w:rPr>
        <w:t xml:space="preserve">при Правительстве РФ </w:t>
      </w:r>
    </w:p>
    <w:p w:rsidR="00B82893" w:rsidRDefault="00B82893">
      <w:pPr>
        <w:jc w:val="center"/>
        <w:rPr>
          <w:b/>
          <w:sz w:val="32"/>
        </w:rPr>
      </w:pPr>
    </w:p>
    <w:p w:rsidR="00B82893" w:rsidRDefault="00B82893">
      <w:pPr>
        <w:jc w:val="center"/>
        <w:rPr>
          <w:b/>
          <w:sz w:val="32"/>
        </w:rPr>
      </w:pPr>
    </w:p>
    <w:p w:rsidR="00B82893" w:rsidRDefault="00B82893">
      <w:pPr>
        <w:jc w:val="center"/>
        <w:rPr>
          <w:b/>
          <w:sz w:val="32"/>
        </w:rPr>
      </w:pPr>
    </w:p>
    <w:p w:rsidR="00B82893" w:rsidRDefault="00E4298B">
      <w:pPr>
        <w:ind w:left="-709" w:right="-1333"/>
        <w:jc w:val="center"/>
        <w:rPr>
          <w:b/>
          <w:sz w:val="32"/>
        </w:rPr>
      </w:pPr>
      <w:r>
        <w:rPr>
          <w:b/>
          <w:sz w:val="32"/>
        </w:rPr>
        <w:t>Кафедра : «Международные экономические отношения»</w:t>
      </w:r>
    </w:p>
    <w:p w:rsidR="00B82893" w:rsidRDefault="00B82893">
      <w:pPr>
        <w:jc w:val="center"/>
        <w:rPr>
          <w:b/>
          <w:sz w:val="32"/>
        </w:rPr>
      </w:pPr>
    </w:p>
    <w:p w:rsidR="00B82893" w:rsidRDefault="00B82893">
      <w:pPr>
        <w:jc w:val="center"/>
        <w:rPr>
          <w:b/>
          <w:sz w:val="32"/>
        </w:rPr>
      </w:pPr>
    </w:p>
    <w:p w:rsidR="00B82893" w:rsidRDefault="00E4298B">
      <w:pPr>
        <w:jc w:val="center"/>
        <w:rPr>
          <w:b/>
          <w:sz w:val="32"/>
        </w:rPr>
      </w:pPr>
      <w:r>
        <w:rPr>
          <w:b/>
          <w:sz w:val="32"/>
        </w:rPr>
        <w:t>Дипломная работа на тему :</w:t>
      </w:r>
    </w:p>
    <w:p w:rsidR="00B82893" w:rsidRDefault="00E4298B">
      <w:pPr>
        <w:ind w:left="-709" w:right="-1333"/>
        <w:jc w:val="center"/>
        <w:rPr>
          <w:b/>
          <w:sz w:val="32"/>
        </w:rPr>
      </w:pPr>
      <w:r>
        <w:rPr>
          <w:b/>
          <w:sz w:val="32"/>
        </w:rPr>
        <w:t xml:space="preserve">«Валютный клиринг: Мировой опыт и его значение для стран СНГ» </w:t>
      </w:r>
    </w:p>
    <w:p w:rsidR="00B82893" w:rsidRDefault="00B82893">
      <w:pPr>
        <w:ind w:left="-709" w:right="-1333"/>
        <w:jc w:val="center"/>
        <w:rPr>
          <w:b/>
          <w:sz w:val="32"/>
        </w:rPr>
      </w:pPr>
    </w:p>
    <w:p w:rsidR="00B82893" w:rsidRDefault="00B82893">
      <w:pPr>
        <w:ind w:left="-709" w:right="-1333"/>
        <w:jc w:val="center"/>
        <w:rPr>
          <w:b/>
          <w:sz w:val="32"/>
        </w:rPr>
      </w:pPr>
    </w:p>
    <w:p w:rsidR="00B82893" w:rsidRDefault="00B82893">
      <w:pPr>
        <w:ind w:left="-709" w:right="-1333"/>
        <w:jc w:val="center"/>
        <w:rPr>
          <w:b/>
          <w:sz w:val="32"/>
        </w:rPr>
      </w:pPr>
    </w:p>
    <w:p w:rsidR="00B82893" w:rsidRDefault="00B82893">
      <w:pPr>
        <w:ind w:left="-709" w:right="-1333"/>
        <w:jc w:val="center"/>
        <w:rPr>
          <w:b/>
          <w:sz w:val="32"/>
        </w:rPr>
      </w:pPr>
    </w:p>
    <w:p w:rsidR="00B82893" w:rsidRDefault="00B82893">
      <w:pPr>
        <w:ind w:left="-709" w:right="-1333"/>
        <w:jc w:val="center"/>
        <w:rPr>
          <w:b/>
          <w:sz w:val="32"/>
        </w:rPr>
      </w:pPr>
    </w:p>
    <w:p w:rsidR="00B82893" w:rsidRDefault="00B82893">
      <w:pPr>
        <w:ind w:left="-709" w:right="-1333"/>
        <w:jc w:val="center"/>
        <w:rPr>
          <w:b/>
          <w:sz w:val="32"/>
        </w:rPr>
      </w:pPr>
    </w:p>
    <w:p w:rsidR="00B82893" w:rsidRDefault="00B82893">
      <w:pPr>
        <w:ind w:left="-709" w:right="-1333"/>
        <w:jc w:val="center"/>
        <w:rPr>
          <w:b/>
          <w:sz w:val="32"/>
        </w:rPr>
      </w:pPr>
    </w:p>
    <w:p w:rsidR="00B82893" w:rsidRDefault="00B82893">
      <w:pPr>
        <w:ind w:left="-709" w:right="-1333"/>
        <w:jc w:val="center"/>
        <w:rPr>
          <w:b/>
          <w:sz w:val="32"/>
        </w:rPr>
      </w:pPr>
    </w:p>
    <w:p w:rsidR="00B82893" w:rsidRDefault="00B82893">
      <w:pPr>
        <w:ind w:left="-709" w:right="-1333"/>
        <w:jc w:val="center"/>
        <w:rPr>
          <w:b/>
          <w:sz w:val="32"/>
        </w:rPr>
      </w:pPr>
    </w:p>
    <w:p w:rsidR="00B82893" w:rsidRDefault="00E4298B">
      <w:pPr>
        <w:ind w:left="-709" w:right="-1333"/>
        <w:jc w:val="center"/>
        <w:rPr>
          <w:b/>
          <w:sz w:val="32"/>
        </w:rPr>
      </w:pPr>
      <w:r>
        <w:rPr>
          <w:b/>
          <w:sz w:val="32"/>
        </w:rPr>
        <w:t>Научный руководитель:  Валовая Т.Д.       Рецензент : Баранова Е.П.</w:t>
      </w:r>
    </w:p>
    <w:p w:rsidR="00B82893" w:rsidRDefault="00B82893">
      <w:pPr>
        <w:ind w:left="1451" w:right="-1333" w:firstLine="1429"/>
        <w:rPr>
          <w:b/>
          <w:sz w:val="32"/>
          <w:lang w:val="en-US"/>
        </w:rPr>
      </w:pPr>
    </w:p>
    <w:p w:rsidR="00B82893" w:rsidRDefault="00E4298B">
      <w:pPr>
        <w:ind w:left="1451" w:right="-1333" w:firstLine="1429"/>
        <w:rPr>
          <w:b/>
          <w:sz w:val="32"/>
          <w:vertAlign w:val="subscript"/>
          <w:lang w:val="en-US"/>
        </w:rPr>
      </w:pPr>
      <w:r>
        <w:rPr>
          <w:b/>
          <w:sz w:val="32"/>
          <w:lang w:val="en-US"/>
        </w:rPr>
        <w:t>/</w:t>
      </w:r>
      <w:r>
        <w:rPr>
          <w:b/>
          <w:sz w:val="32"/>
          <w:vertAlign w:val="subscript"/>
          <w:lang w:val="en-US"/>
        </w:rPr>
        <w:tab/>
      </w:r>
      <w:r>
        <w:rPr>
          <w:b/>
          <w:sz w:val="32"/>
          <w:vertAlign w:val="subscript"/>
          <w:lang w:val="en-US"/>
        </w:rPr>
        <w:tab/>
      </w:r>
      <w:r>
        <w:rPr>
          <w:b/>
          <w:sz w:val="32"/>
          <w:vertAlign w:val="subscript"/>
          <w:lang w:val="en-US"/>
        </w:rPr>
        <w:tab/>
        <w:t>/</w:t>
      </w:r>
      <w:r>
        <w:rPr>
          <w:b/>
          <w:sz w:val="32"/>
          <w:vertAlign w:val="subscript"/>
          <w:lang w:val="en-US"/>
        </w:rPr>
        <w:tab/>
      </w:r>
      <w:r>
        <w:rPr>
          <w:b/>
          <w:sz w:val="32"/>
          <w:vertAlign w:val="subscript"/>
          <w:lang w:val="en-US"/>
        </w:rPr>
        <w:tab/>
      </w:r>
      <w:r>
        <w:rPr>
          <w:b/>
          <w:sz w:val="32"/>
          <w:vertAlign w:val="subscript"/>
          <w:lang w:val="en-US"/>
        </w:rPr>
        <w:tab/>
        <w:t>/</w:t>
      </w:r>
      <w:r>
        <w:rPr>
          <w:b/>
          <w:sz w:val="32"/>
          <w:vertAlign w:val="subscript"/>
          <w:lang w:val="en-US"/>
        </w:rPr>
        <w:tab/>
      </w:r>
      <w:r>
        <w:rPr>
          <w:b/>
          <w:sz w:val="32"/>
          <w:vertAlign w:val="subscript"/>
          <w:lang w:val="en-US"/>
        </w:rPr>
        <w:tab/>
      </w:r>
      <w:r>
        <w:rPr>
          <w:b/>
          <w:sz w:val="32"/>
          <w:vertAlign w:val="subscript"/>
          <w:lang w:val="en-US"/>
        </w:rPr>
        <w:tab/>
        <w:t>/</w:t>
      </w:r>
    </w:p>
    <w:p w:rsidR="00B82893" w:rsidRDefault="00B82893">
      <w:pPr>
        <w:ind w:left="1451" w:right="-1333" w:firstLine="1429"/>
        <w:jc w:val="center"/>
        <w:rPr>
          <w:b/>
          <w:sz w:val="32"/>
        </w:rPr>
      </w:pPr>
    </w:p>
    <w:p w:rsidR="00B82893" w:rsidRDefault="00B82893">
      <w:pPr>
        <w:ind w:left="1451" w:right="-1333" w:firstLine="1429"/>
        <w:jc w:val="center"/>
        <w:rPr>
          <w:b/>
          <w:sz w:val="32"/>
        </w:rPr>
      </w:pPr>
    </w:p>
    <w:p w:rsidR="00B82893" w:rsidRDefault="00E4298B">
      <w:pPr>
        <w:ind w:right="-1333"/>
        <w:rPr>
          <w:b/>
          <w:sz w:val="32"/>
        </w:rPr>
      </w:pPr>
      <w:r>
        <w:rPr>
          <w:b/>
          <w:sz w:val="32"/>
        </w:rPr>
        <w:t>Слушатель : Стеценко Е.В.      группа   5-МЭО - 1</w:t>
      </w:r>
    </w:p>
    <w:p w:rsidR="00B82893" w:rsidRDefault="00B82893">
      <w:pPr>
        <w:ind w:left="1451" w:right="-1333" w:firstLine="1429"/>
        <w:rPr>
          <w:b/>
          <w:sz w:val="32"/>
        </w:rPr>
      </w:pPr>
    </w:p>
    <w:p w:rsidR="00B82893" w:rsidRDefault="00B82893">
      <w:pPr>
        <w:ind w:left="1451" w:right="-1333" w:firstLine="1429"/>
        <w:rPr>
          <w:b/>
          <w:sz w:val="32"/>
        </w:rPr>
      </w:pPr>
    </w:p>
    <w:p w:rsidR="00B82893" w:rsidRDefault="00B82893">
      <w:pPr>
        <w:ind w:left="1451" w:right="-1333" w:firstLine="1429"/>
        <w:rPr>
          <w:b/>
          <w:sz w:val="32"/>
        </w:rPr>
      </w:pPr>
    </w:p>
    <w:p w:rsidR="00B82893" w:rsidRDefault="00B82893">
      <w:pPr>
        <w:ind w:left="1451" w:right="-1333" w:firstLine="1429"/>
        <w:rPr>
          <w:b/>
          <w:sz w:val="32"/>
        </w:rPr>
      </w:pPr>
    </w:p>
    <w:p w:rsidR="00B82893" w:rsidRDefault="00B82893">
      <w:pPr>
        <w:ind w:left="1451" w:right="-1333" w:firstLine="1429"/>
        <w:rPr>
          <w:b/>
          <w:sz w:val="32"/>
        </w:rPr>
      </w:pPr>
    </w:p>
    <w:p w:rsidR="00B82893" w:rsidRDefault="00B82893">
      <w:pPr>
        <w:ind w:left="1451" w:right="-1333" w:firstLine="1429"/>
        <w:rPr>
          <w:b/>
          <w:sz w:val="32"/>
        </w:rPr>
      </w:pPr>
    </w:p>
    <w:p w:rsidR="00B82893" w:rsidRDefault="00B82893">
      <w:pPr>
        <w:ind w:left="1451" w:right="-1333" w:firstLine="1429"/>
        <w:rPr>
          <w:b/>
          <w:sz w:val="32"/>
        </w:rPr>
      </w:pPr>
    </w:p>
    <w:p w:rsidR="00B82893" w:rsidRDefault="00B82893">
      <w:pPr>
        <w:ind w:left="1451" w:right="-1333" w:firstLine="1429"/>
        <w:rPr>
          <w:b/>
          <w:sz w:val="32"/>
        </w:rPr>
      </w:pPr>
    </w:p>
    <w:p w:rsidR="00B82893" w:rsidRDefault="00B82893">
      <w:pPr>
        <w:ind w:left="1451" w:right="-1333" w:firstLine="1429"/>
        <w:rPr>
          <w:b/>
          <w:sz w:val="32"/>
        </w:rPr>
      </w:pPr>
    </w:p>
    <w:p w:rsidR="00B82893" w:rsidRDefault="00B82893">
      <w:pPr>
        <w:ind w:left="1451" w:right="-1333" w:firstLine="1429"/>
        <w:rPr>
          <w:b/>
          <w:sz w:val="32"/>
        </w:rPr>
      </w:pPr>
    </w:p>
    <w:p w:rsidR="00B82893" w:rsidRDefault="00E4298B">
      <w:pPr>
        <w:ind w:left="1451" w:right="-1333" w:firstLine="1429"/>
        <w:rPr>
          <w:b/>
          <w:sz w:val="32"/>
        </w:rPr>
      </w:pPr>
      <w:r>
        <w:rPr>
          <w:b/>
          <w:sz w:val="32"/>
        </w:rPr>
        <w:t>Москва  2000 г.</w:t>
      </w:r>
    </w:p>
    <w:p w:rsidR="00B82893" w:rsidRDefault="00B82893">
      <w:pPr>
        <w:ind w:left="1451" w:right="-1333" w:firstLine="1429"/>
        <w:jc w:val="center"/>
        <w:rPr>
          <w:b/>
          <w:sz w:val="32"/>
        </w:rPr>
      </w:pPr>
    </w:p>
    <w:p w:rsidR="00B82893" w:rsidRDefault="00B82893">
      <w:pPr>
        <w:pStyle w:val="1"/>
        <w:rPr>
          <w:sz w:val="32"/>
        </w:rPr>
      </w:pPr>
    </w:p>
    <w:p w:rsidR="00B82893" w:rsidRDefault="00B82893"/>
    <w:p w:rsidR="00B82893" w:rsidRDefault="00B82893"/>
    <w:p w:rsidR="00B82893" w:rsidRDefault="00B82893"/>
    <w:p w:rsidR="00B82893" w:rsidRDefault="00B82893"/>
    <w:p w:rsidR="00B82893" w:rsidRDefault="00B82893"/>
    <w:p w:rsidR="00B82893" w:rsidRDefault="00B82893"/>
    <w:p w:rsidR="00B82893" w:rsidRDefault="00E4298B">
      <w:pPr>
        <w:pStyle w:val="1"/>
        <w:rPr>
          <w:sz w:val="32"/>
        </w:rPr>
      </w:pPr>
      <w:r>
        <w:rPr>
          <w:sz w:val="32"/>
        </w:rPr>
        <w:t xml:space="preserve">Содержание </w:t>
      </w:r>
    </w:p>
    <w:p w:rsidR="00B82893" w:rsidRDefault="00B82893">
      <w:pPr>
        <w:rPr>
          <w:b/>
          <w:sz w:val="32"/>
        </w:rPr>
      </w:pPr>
    </w:p>
    <w:p w:rsidR="00B82893" w:rsidRDefault="00E4298B">
      <w:pPr>
        <w:rPr>
          <w:b/>
          <w:sz w:val="32"/>
        </w:rPr>
      </w:pPr>
      <w:r>
        <w:rPr>
          <w:b/>
          <w:sz w:val="32"/>
        </w:rPr>
        <w:t xml:space="preserve">Введение </w:t>
      </w:r>
    </w:p>
    <w:p w:rsidR="00B82893" w:rsidRDefault="00B82893">
      <w:pPr>
        <w:rPr>
          <w:b/>
          <w:sz w:val="32"/>
        </w:rPr>
      </w:pPr>
    </w:p>
    <w:p w:rsidR="00B82893" w:rsidRDefault="00E4298B">
      <w:pPr>
        <w:rPr>
          <w:b/>
          <w:sz w:val="32"/>
        </w:rPr>
      </w:pPr>
      <w:r>
        <w:rPr>
          <w:b/>
          <w:sz w:val="32"/>
        </w:rPr>
        <w:t xml:space="preserve">Глава 1  Мировой опыт </w:t>
      </w:r>
    </w:p>
    <w:p w:rsidR="00B82893" w:rsidRDefault="00E4298B">
      <w:pPr>
        <w:pStyle w:val="1"/>
      </w:pPr>
      <w:r>
        <w:rPr>
          <w:sz w:val="32"/>
        </w:rPr>
        <w:t xml:space="preserve">Банк Международных расчетов. </w:t>
      </w:r>
    </w:p>
    <w:p w:rsidR="00B82893" w:rsidRDefault="00E4298B">
      <w:pPr>
        <w:pStyle w:val="1"/>
        <w:rPr>
          <w:b w:val="0"/>
        </w:rPr>
      </w:pPr>
      <w:r>
        <w:rPr>
          <w:b w:val="0"/>
        </w:rPr>
        <w:t>Краткий обзор БМР как международной организации</w:t>
      </w:r>
    </w:p>
    <w:p w:rsidR="00B82893" w:rsidRDefault="00E4298B">
      <w:pPr>
        <w:rPr>
          <w:snapToGrid w:val="0"/>
          <w:sz w:val="28"/>
        </w:rPr>
      </w:pPr>
      <w:r>
        <w:rPr>
          <w:sz w:val="28"/>
        </w:rPr>
        <w:t xml:space="preserve">Причины </w:t>
      </w:r>
      <w:r>
        <w:rPr>
          <w:snapToGrid w:val="0"/>
          <w:sz w:val="28"/>
        </w:rPr>
        <w:t>Создания БМР в 1930 г.</w:t>
      </w:r>
    </w:p>
    <w:p w:rsidR="00B82893" w:rsidRDefault="00E4298B">
      <w:pPr>
        <w:pStyle w:val="a5"/>
        <w:rPr>
          <w:b w:val="0"/>
          <w:sz w:val="28"/>
        </w:rPr>
      </w:pPr>
      <w:r>
        <w:rPr>
          <w:b w:val="0"/>
          <w:sz w:val="28"/>
        </w:rPr>
        <w:t>Правовой статус БМР , его Акционерный капитал и центральные банки акционеры.</w:t>
      </w:r>
    </w:p>
    <w:p w:rsidR="00B82893" w:rsidRDefault="00E4298B">
      <w:pPr>
        <w:pStyle w:val="a5"/>
        <w:rPr>
          <w:b w:val="0"/>
          <w:sz w:val="28"/>
        </w:rPr>
      </w:pPr>
      <w:r>
        <w:rPr>
          <w:b w:val="0"/>
          <w:sz w:val="28"/>
        </w:rPr>
        <w:t>Административная структура БМР.</w:t>
      </w:r>
    </w:p>
    <w:p w:rsidR="00B82893" w:rsidRDefault="00E4298B">
      <w:pPr>
        <w:rPr>
          <w:snapToGrid w:val="0"/>
          <w:sz w:val="28"/>
        </w:rPr>
      </w:pPr>
      <w:r>
        <w:rPr>
          <w:snapToGrid w:val="0"/>
          <w:sz w:val="28"/>
        </w:rPr>
        <w:t>БМР как форум международного сотрудничества .</w:t>
      </w:r>
    </w:p>
    <w:p w:rsidR="00B82893" w:rsidRDefault="00E4298B">
      <w:pPr>
        <w:pStyle w:val="a5"/>
        <w:rPr>
          <w:b w:val="0"/>
          <w:sz w:val="28"/>
        </w:rPr>
      </w:pPr>
      <w:r>
        <w:rPr>
          <w:b w:val="0"/>
          <w:sz w:val="28"/>
        </w:rPr>
        <w:t>БМР как центр монетарных и экономических  исследований .</w:t>
      </w:r>
    </w:p>
    <w:p w:rsidR="00B82893" w:rsidRDefault="00E4298B">
      <w:pPr>
        <w:pStyle w:val="a5"/>
        <w:rPr>
          <w:b w:val="0"/>
          <w:sz w:val="28"/>
        </w:rPr>
      </w:pPr>
      <w:r>
        <w:rPr>
          <w:b w:val="0"/>
          <w:sz w:val="28"/>
        </w:rPr>
        <w:t>Банковские функции БМР .</w:t>
      </w:r>
    </w:p>
    <w:p w:rsidR="00B82893" w:rsidRDefault="00E4298B">
      <w:pPr>
        <w:rPr>
          <w:snapToGrid w:val="0"/>
          <w:sz w:val="28"/>
        </w:rPr>
      </w:pPr>
      <w:r>
        <w:rPr>
          <w:snapToGrid w:val="0"/>
          <w:sz w:val="28"/>
        </w:rPr>
        <w:t>Посреднические и доверительные функции БМР.</w:t>
      </w:r>
    </w:p>
    <w:p w:rsidR="00B82893" w:rsidRDefault="00E4298B">
      <w:pPr>
        <w:rPr>
          <w:snapToGrid w:val="0"/>
          <w:sz w:val="28"/>
          <w:vertAlign w:val="subscript"/>
        </w:rPr>
      </w:pPr>
      <w:r>
        <w:rPr>
          <w:snapToGrid w:val="0"/>
          <w:sz w:val="28"/>
        </w:rPr>
        <w:t>Коротко о БМР.</w:t>
      </w:r>
    </w:p>
    <w:p w:rsidR="00B82893" w:rsidRDefault="00E4298B">
      <w:pPr>
        <w:pStyle w:val="a5"/>
      </w:pPr>
      <w:r>
        <w:t>Отношение между «Европой» и Советским Союзом история . Предпосылки создания СЭВ</w:t>
      </w:r>
    </w:p>
    <w:p w:rsidR="00B82893" w:rsidRDefault="00B82893">
      <w:pPr>
        <w:rPr>
          <w:b/>
          <w:sz w:val="32"/>
        </w:rPr>
      </w:pPr>
    </w:p>
    <w:p w:rsidR="00B82893" w:rsidRDefault="00E4298B">
      <w:pPr>
        <w:rPr>
          <w:b/>
          <w:sz w:val="32"/>
        </w:rPr>
      </w:pPr>
      <w:r>
        <w:rPr>
          <w:b/>
          <w:sz w:val="32"/>
        </w:rPr>
        <w:t xml:space="preserve">Международная Клиринговая система  </w:t>
      </w:r>
      <w:r>
        <w:rPr>
          <w:b/>
          <w:sz w:val="32"/>
          <w:lang w:val="en-US"/>
        </w:rPr>
        <w:t xml:space="preserve">RTGS </w:t>
      </w:r>
      <w:r>
        <w:rPr>
          <w:b/>
          <w:sz w:val="32"/>
        </w:rPr>
        <w:t>.</w:t>
      </w:r>
    </w:p>
    <w:p w:rsidR="00B82893" w:rsidRDefault="00B82893">
      <w:pPr>
        <w:rPr>
          <w:b/>
          <w:sz w:val="32"/>
        </w:rPr>
      </w:pPr>
    </w:p>
    <w:p w:rsidR="00B82893" w:rsidRDefault="00E4298B">
      <w:pPr>
        <w:rPr>
          <w:b/>
          <w:sz w:val="32"/>
        </w:rPr>
      </w:pPr>
      <w:r>
        <w:rPr>
          <w:b/>
          <w:sz w:val="32"/>
        </w:rPr>
        <w:t>Глава 2</w:t>
      </w:r>
    </w:p>
    <w:p w:rsidR="00B82893" w:rsidRDefault="00E4298B">
      <w:pPr>
        <w:rPr>
          <w:b/>
          <w:sz w:val="32"/>
        </w:rPr>
      </w:pPr>
      <w:r>
        <w:rPr>
          <w:b/>
          <w:sz w:val="32"/>
        </w:rPr>
        <w:t>Значение валютного клиринга для стран  СНГ.</w:t>
      </w:r>
    </w:p>
    <w:p w:rsidR="00B82893" w:rsidRDefault="00E4298B">
      <w:pPr>
        <w:rPr>
          <w:b/>
          <w:sz w:val="32"/>
        </w:rPr>
      </w:pPr>
      <w:r>
        <w:rPr>
          <w:b/>
          <w:sz w:val="32"/>
        </w:rPr>
        <w:t>Платежная система  Казахстана.</w:t>
      </w:r>
    </w:p>
    <w:p w:rsidR="00B82893" w:rsidRDefault="00E4298B">
      <w:pPr>
        <w:rPr>
          <w:b/>
          <w:sz w:val="32"/>
        </w:rPr>
      </w:pPr>
      <w:r>
        <w:rPr>
          <w:b/>
          <w:sz w:val="32"/>
        </w:rPr>
        <w:t>Значение Клиринга для стран СНГ текущие проблемы.</w:t>
      </w:r>
    </w:p>
    <w:p w:rsidR="00B82893" w:rsidRDefault="00E4298B">
      <w:pPr>
        <w:rPr>
          <w:b/>
          <w:sz w:val="32"/>
        </w:rPr>
      </w:pPr>
      <w:r>
        <w:rPr>
          <w:b/>
          <w:sz w:val="32"/>
        </w:rPr>
        <w:t>Транспортно Клиринговая Палата – как пример реальной работы по средствам валютного клиринга.</w:t>
      </w:r>
    </w:p>
    <w:p w:rsidR="00B82893" w:rsidRDefault="00B82893">
      <w:pPr>
        <w:rPr>
          <w:b/>
          <w:sz w:val="32"/>
        </w:rPr>
      </w:pPr>
    </w:p>
    <w:p w:rsidR="00B82893" w:rsidRDefault="00E4298B">
      <w:pPr>
        <w:rPr>
          <w:b/>
          <w:sz w:val="32"/>
        </w:rPr>
      </w:pPr>
      <w:r>
        <w:rPr>
          <w:b/>
          <w:sz w:val="32"/>
        </w:rPr>
        <w:t xml:space="preserve">Заключение </w:t>
      </w:r>
    </w:p>
    <w:p w:rsidR="00B82893" w:rsidRDefault="00E4298B">
      <w:pPr>
        <w:rPr>
          <w:b/>
          <w:sz w:val="32"/>
        </w:rPr>
      </w:pPr>
      <w:r>
        <w:rPr>
          <w:b/>
          <w:sz w:val="32"/>
        </w:rPr>
        <w:t>Платежный союз стран СНГ на основе клиринговых расчетов – фундамент интеграции.</w:t>
      </w:r>
    </w:p>
    <w:p w:rsidR="00B82893" w:rsidRDefault="00B82893">
      <w:pPr>
        <w:rPr>
          <w:b/>
          <w:sz w:val="32"/>
        </w:rPr>
      </w:pPr>
    </w:p>
    <w:p w:rsidR="00B82893" w:rsidRDefault="00E4298B">
      <w:pPr>
        <w:rPr>
          <w:b/>
          <w:sz w:val="32"/>
          <w:vertAlign w:val="subscript"/>
        </w:rPr>
      </w:pPr>
      <w:r>
        <w:rPr>
          <w:b/>
          <w:sz w:val="32"/>
        </w:rPr>
        <w:t>Список использованной литературы</w:t>
      </w:r>
    </w:p>
    <w:p w:rsidR="00B82893" w:rsidRDefault="00B82893">
      <w:pPr>
        <w:pStyle w:val="1"/>
        <w:rPr>
          <w:b w:val="0"/>
          <w:color w:val="000000"/>
        </w:rPr>
      </w:pPr>
    </w:p>
    <w:p w:rsidR="00B82893" w:rsidRDefault="00E4298B">
      <w:pPr>
        <w:pStyle w:val="1"/>
        <w:rPr>
          <w:b w:val="0"/>
          <w:color w:val="000000"/>
        </w:rPr>
      </w:pPr>
      <w:r>
        <w:rPr>
          <w:b w:val="0"/>
          <w:color w:val="000000"/>
        </w:rPr>
        <w:t xml:space="preserve">Введение </w:t>
      </w:r>
      <w:r>
        <w:rPr>
          <w:b w:val="0"/>
          <w:snapToGrid w:val="0"/>
          <w:color w:val="000000"/>
        </w:rPr>
        <w:tab/>
      </w:r>
      <w:r>
        <w:rPr>
          <w:b w:val="0"/>
          <w:snapToGrid w:val="0"/>
          <w:color w:val="000000"/>
          <w:lang w:val="en-US"/>
        </w:rPr>
        <w:t xml:space="preserve">                                                                                           </w:t>
      </w:r>
    </w:p>
    <w:tbl>
      <w:tblPr>
        <w:tblW w:w="0" w:type="auto"/>
        <w:tblInd w:w="-709" w:type="dxa"/>
        <w:tblLayout w:type="fixed"/>
        <w:tblCellMar>
          <w:left w:w="60" w:type="dxa"/>
          <w:right w:w="60" w:type="dxa"/>
        </w:tblCellMar>
        <w:tblLook w:val="0000" w:firstRow="0" w:lastRow="0" w:firstColumn="0" w:lastColumn="0" w:noHBand="0" w:noVBand="0"/>
      </w:tblPr>
      <w:tblGrid>
        <w:gridCol w:w="9781"/>
      </w:tblGrid>
      <w:tr w:rsidR="00B82893">
        <w:trPr>
          <w:trHeight w:val="6625"/>
        </w:trPr>
        <w:tc>
          <w:tcPr>
            <w:tcW w:w="9781" w:type="dxa"/>
            <w:vAlign w:val="center"/>
          </w:tcPr>
          <w:p w:rsidR="00B82893" w:rsidRDefault="00B82893">
            <w:pPr>
              <w:jc w:val="both"/>
              <w:rPr>
                <w:color w:val="000000"/>
                <w:sz w:val="28"/>
              </w:rPr>
            </w:pPr>
            <w:bookmarkStart w:id="0" w:name="start"/>
            <w:bookmarkStart w:id="1" w:name="КАБОТАЖ"/>
          </w:p>
          <w:p w:rsidR="00B82893" w:rsidRDefault="00E4298B">
            <w:pPr>
              <w:jc w:val="both"/>
              <w:rPr>
                <w:color w:val="000000"/>
                <w:sz w:val="28"/>
              </w:rPr>
            </w:pPr>
            <w:bookmarkStart w:id="2" w:name="КАДАСТР"/>
            <w:bookmarkStart w:id="3" w:name="КАЗНАЧЕЙСКИЕ_БИЛЕТЫ"/>
            <w:bookmarkStart w:id="4" w:name="КАЗНАЧЕЙСКИЙ_ВЕКСЕЛЬ"/>
            <w:bookmarkStart w:id="5" w:name="КАЗНАЧЕЙСТВО"/>
            <w:bookmarkStart w:id="6" w:name="КАНАЛЫ_ТОВАРОДВИЖЕНИЯ"/>
            <w:bookmarkStart w:id="7" w:name="КАНЦЕЛИНГ"/>
            <w:bookmarkStart w:id="8" w:name="КАРАНТИННЫЙ_НАДЗОР"/>
            <w:bookmarkStart w:id="9" w:name="КАРГО"/>
            <w:bookmarkStart w:id="10" w:name="КАРГОПЛАН"/>
            <w:bookmarkStart w:id="11" w:name="КАРТ_БЛАНШ"/>
            <w:bookmarkStart w:id="12" w:name="КАРТЕЛЬ"/>
            <w:bookmarkStart w:id="13" w:name="КАСКО"/>
            <w:bookmarkStart w:id="14" w:name="КАССАЦИЯ"/>
            <w:bookmarkStart w:id="15" w:name="КАЧЕСТВО_ТОВАРА"/>
            <w:bookmarkStart w:id="16" w:name="КАЧЕСТВО"/>
            <w:bookmarkStart w:id="17" w:name="КАЧЕСТВО_ПО_ОБРАЗЦУ"/>
            <w:bookmarkStart w:id="18" w:name="КАЧЕСТВО_ПО_ОПИСАНИЮ"/>
            <w:bookmarkStart w:id="19" w:name="КАЧЕСТВО_ТЕЛЬ_КЕЛЬ"/>
            <w:bookmarkStart w:id="20" w:name="КАЧЕСТВО_ФАК"/>
            <w:bookmarkStart w:id="21" w:name="КВАЛИФИКАЦИОННЫЕ_ТРЕБОВАНИЯ_К_УЧАСТНИКАМ"/>
            <w:bookmarkStart w:id="22" w:name="КВИТАНЦИЯ_СКЛАДСКАЯ"/>
            <w:bookmarkStart w:id="23" w:name="КВОТА"/>
            <w:bookmarkStart w:id="24" w:name="КВОТА_ГЛОБАЛЬНАЯ"/>
            <w:bookmarkStart w:id="25" w:name="КВОТА_ИНДИВИДУАЛЬНАЯ"/>
            <w:bookmarkStart w:id="26" w:name="КВОТА_ПРОПОРЦИОНАЛЬНАЯ"/>
            <w:bookmarkStart w:id="27" w:name="КВОТА_СЕЗОННАЯ"/>
            <w:bookmarkStart w:id="28" w:name="КВОТА_ТАРИФНАЯ"/>
            <w:bookmarkStart w:id="29" w:name="КВОТИРОВАНИЕ"/>
            <w:bookmarkStart w:id="30" w:name="КВОТИРОВАНИЕ_И_ЛИЦЕНЗИРОВАНИЕ_ЭКСПОРТА_И"/>
            <w:bookmarkStart w:id="31" w:name="КЛАССИФИКАТОР"/>
            <w:bookmarkStart w:id="32" w:name="КЛАССИФИКАЦИЯ_ТОВАРОВ"/>
            <w:bookmarkStart w:id="33" w:name="КЛАУЗУЛА"/>
            <w:bookmarkStart w:id="34" w:name="КЛЕЙМСЫ"/>
            <w:bookmarkStart w:id="35" w:name="КЛИЕНТ"/>
            <w:r>
              <w:rPr>
                <w:color w:val="000000"/>
                <w:sz w:val="28"/>
              </w:rPr>
              <w:t>Понятие клиринга .</w:t>
            </w:r>
          </w:p>
          <w:p w:rsidR="00B82893" w:rsidRDefault="00E4298B">
            <w:pPr>
              <w:jc w:val="both"/>
              <w:rPr>
                <w:color w:val="000000"/>
                <w:sz w:val="28"/>
              </w:rPr>
            </w:pPr>
            <w:bookmarkStart w:id="36" w:name="КЛИРИНГ"/>
            <w:r>
              <w:rPr>
                <w:color w:val="000000"/>
                <w:sz w:val="28"/>
              </w:rPr>
              <w:t xml:space="preserve">КЛИРИНГ (англ. clearing) - система </w:t>
            </w:r>
            <w:hyperlink r:id="rId5" w:anchor="БЕЗНАЛИЧНЫЙ_РАСЧЕТ" w:history="1">
              <w:r>
                <w:rPr>
                  <w:color w:val="000000"/>
                  <w:sz w:val="28"/>
                </w:rPr>
                <w:t>безналичных расчетов</w:t>
              </w:r>
            </w:hyperlink>
            <w:r>
              <w:rPr>
                <w:color w:val="000000"/>
                <w:sz w:val="28"/>
              </w:rPr>
              <w:t xml:space="preserve"> по </w:t>
            </w:r>
            <w:hyperlink r:id="rId6" w:anchor="ЦЕННЫЕ_БУМАГИ" w:history="1">
              <w:r>
                <w:rPr>
                  <w:color w:val="000000"/>
                  <w:sz w:val="28"/>
                </w:rPr>
                <w:t>ценным бумагам</w:t>
              </w:r>
            </w:hyperlink>
            <w:r>
              <w:rPr>
                <w:color w:val="000000"/>
                <w:sz w:val="28"/>
              </w:rPr>
              <w:t xml:space="preserve">, </w:t>
            </w:r>
            <w:hyperlink r:id="rId7" w:anchor="ТОВАРЫ" w:history="1">
              <w:r>
                <w:rPr>
                  <w:color w:val="000000"/>
                  <w:sz w:val="28"/>
                </w:rPr>
                <w:t>товарам</w:t>
              </w:r>
            </w:hyperlink>
            <w:r>
              <w:rPr>
                <w:color w:val="000000"/>
                <w:sz w:val="28"/>
              </w:rPr>
              <w:t xml:space="preserve"> и услугам посредством зачета встречных требований и обязательств; внутри страны осуществляется через специальные </w:t>
            </w:r>
            <w:hyperlink r:id="rId8" w:anchor="РАСЧЕТНАЯ_(КЛИРИНГОВАЯ)_ПАЛАТА" w:history="1">
              <w:r>
                <w:rPr>
                  <w:color w:val="000000"/>
                  <w:sz w:val="28"/>
                </w:rPr>
                <w:t>расчетные палаты</w:t>
              </w:r>
            </w:hyperlink>
            <w:r>
              <w:rPr>
                <w:color w:val="000000"/>
                <w:sz w:val="28"/>
              </w:rPr>
              <w:t xml:space="preserve"> (межбанковский К.); в </w:t>
            </w:r>
            <w:hyperlink r:id="rId9" w:anchor="МЕЖДУНАРОДНАЯ_ТОРГОВЛЯ" w:history="1">
              <w:r>
                <w:rPr>
                  <w:color w:val="000000"/>
                  <w:sz w:val="28"/>
                </w:rPr>
                <w:t>международной торговле</w:t>
              </w:r>
            </w:hyperlink>
            <w:r>
              <w:rPr>
                <w:color w:val="000000"/>
                <w:sz w:val="28"/>
              </w:rPr>
              <w:t xml:space="preserve"> - в форме межгосударственных (межправительственных) клиринговых валютных соглашений, (</w:t>
            </w:r>
            <w:hyperlink r:id="rId10" w:anchor="КЛИРИНГ_ВАЛЮТНЫЙ" w:history="1">
              <w:r>
                <w:rPr>
                  <w:color w:val="000000"/>
                  <w:sz w:val="28"/>
                </w:rPr>
                <w:t>Валютный К</w:t>
              </w:r>
            </w:hyperlink>
            <w:r>
              <w:rPr>
                <w:color w:val="000000"/>
                <w:sz w:val="28"/>
              </w:rPr>
              <w:t xml:space="preserve">.) о взаимном погашении задолженности друг другу, возникающей из проводимых операций по </w:t>
            </w:r>
            <w:hyperlink r:id="rId11" w:anchor="ВНЕШНЕТОРГОВЫЙ_ДОГОВОР_КОНТРАКТ" w:history="1">
              <w:r>
                <w:rPr>
                  <w:color w:val="000000"/>
                  <w:sz w:val="28"/>
                </w:rPr>
                <w:t>внешнеторговым договорам</w:t>
              </w:r>
            </w:hyperlink>
            <w:r>
              <w:rPr>
                <w:color w:val="000000"/>
                <w:sz w:val="28"/>
              </w:rPr>
              <w:t xml:space="preserve">. См. также </w:t>
            </w:r>
            <w:hyperlink r:id="rId12" w:anchor="КЛИРИНГ_ВАЛЮТНЫЙ" w:history="1">
              <w:r>
                <w:rPr>
                  <w:color w:val="000000"/>
                  <w:sz w:val="28"/>
                </w:rPr>
                <w:t>клиринг валютный</w:t>
              </w:r>
            </w:hyperlink>
            <w:r>
              <w:rPr>
                <w:color w:val="000000"/>
                <w:sz w:val="28"/>
              </w:rPr>
              <w:t xml:space="preserve">. </w:t>
            </w:r>
          </w:p>
          <w:p w:rsidR="00B82893" w:rsidRDefault="00E4298B">
            <w:pPr>
              <w:jc w:val="both"/>
              <w:rPr>
                <w:color w:val="000000"/>
                <w:sz w:val="28"/>
              </w:rPr>
            </w:pPr>
            <w:bookmarkStart w:id="37" w:name="КЛИРИНГ_ВАЛЮТНЫЙ"/>
            <w:r>
              <w:rPr>
                <w:color w:val="000000"/>
                <w:sz w:val="28"/>
              </w:rPr>
              <w:t xml:space="preserve">КЛИРИНГ ВАЛЮТНЫЙ (англ. currency clearing) - </w:t>
            </w:r>
            <w:hyperlink r:id="rId13" w:anchor="КЛИРИНГ" w:history="1">
              <w:r>
                <w:rPr>
                  <w:color w:val="000000"/>
                  <w:sz w:val="28"/>
                </w:rPr>
                <w:t>клиринг</w:t>
              </w:r>
            </w:hyperlink>
            <w:r>
              <w:rPr>
                <w:color w:val="000000"/>
                <w:sz w:val="28"/>
              </w:rPr>
              <w:t xml:space="preserve"> в </w:t>
            </w:r>
            <w:hyperlink r:id="rId14" w:anchor="МЕЖДУНАРОДНАЯ_ТОРГОВЛЯ" w:history="1">
              <w:r>
                <w:rPr>
                  <w:color w:val="000000"/>
                  <w:sz w:val="28"/>
                </w:rPr>
                <w:t>международной торговле</w:t>
              </w:r>
            </w:hyperlink>
            <w:r>
              <w:rPr>
                <w:color w:val="000000"/>
                <w:sz w:val="28"/>
              </w:rPr>
              <w:t xml:space="preserve">; осуществляется в форме межправительственных соглашений, оговаривающих: 1) систему клиринговых счетов; 2) объем К.в. 3) клиринговую валюту (согласованную валюту расчетов); 4) объем технического кредита (предельно допустимое </w:t>
            </w:r>
            <w:hyperlink r:id="rId15" w:anchor="САЛЬДО" w:history="1">
              <w:r>
                <w:rPr>
                  <w:color w:val="000000"/>
                  <w:sz w:val="28"/>
                </w:rPr>
                <w:t>сальдо</w:t>
              </w:r>
            </w:hyperlink>
            <w:r>
              <w:rPr>
                <w:color w:val="000000"/>
                <w:sz w:val="28"/>
              </w:rPr>
              <w:t xml:space="preserve"> </w:t>
            </w:r>
            <w:hyperlink r:id="rId16" w:anchor="БАЛАНС_ВНЕШНЕТОРГОВЫЙ" w:history="1">
              <w:r>
                <w:rPr>
                  <w:color w:val="000000"/>
                  <w:sz w:val="28"/>
                </w:rPr>
                <w:t>торгового баланса</w:t>
              </w:r>
            </w:hyperlink>
            <w:r>
              <w:rPr>
                <w:color w:val="000000"/>
                <w:sz w:val="28"/>
              </w:rPr>
              <w:t xml:space="preserve">); 5) систему выравнивания платежей по товарообороту (погашение задолженности при помощи только товарных поставок - К.в. без права </w:t>
            </w:r>
            <w:hyperlink r:id="rId17" w:anchor="КОНВЕРСИЯ" w:history="1">
              <w:r>
                <w:rPr>
                  <w:color w:val="000000"/>
                  <w:sz w:val="28"/>
                </w:rPr>
                <w:t>конверсии</w:t>
              </w:r>
            </w:hyperlink>
            <w:r>
              <w:rPr>
                <w:color w:val="000000"/>
                <w:sz w:val="28"/>
              </w:rPr>
              <w:t xml:space="preserve">) либо с привлечением клиринговой и </w:t>
            </w:r>
            <w:hyperlink r:id="rId18" w:anchor="ВАЛЮТА_ОБРАТИМАЯ_СВОБОДНО_КОНВЕРТИРУЕМАЯ_СКВ" w:history="1">
              <w:r>
                <w:rPr>
                  <w:color w:val="000000"/>
                  <w:sz w:val="28"/>
                </w:rPr>
                <w:t>свободно конвертируемой валюты</w:t>
              </w:r>
            </w:hyperlink>
            <w:r>
              <w:rPr>
                <w:color w:val="000000"/>
                <w:sz w:val="28"/>
              </w:rPr>
              <w:t xml:space="preserve"> (К.в.с ограниченной или полной конверсией); 6) схему окончательного погашения сальдо по истечении срока межправительственного соглашения. На основе К.в. могут также производиться взаиморасчеты </w:t>
            </w:r>
            <w:hyperlink r:id="rId19" w:anchor="РЕЗИДЕНТЫ" w:history="1">
              <w:r>
                <w:rPr>
                  <w:color w:val="000000"/>
                  <w:sz w:val="28"/>
                </w:rPr>
                <w:t>фирм-резидентов</w:t>
              </w:r>
            </w:hyperlink>
            <w:bookmarkStart w:id="38" w:name="КЛУБЫ_ВЗАИМНОГО_СТРАХОВАНИЯ"/>
            <w:bookmarkStart w:id="39" w:name="КНИЖКА_АТА"/>
            <w:bookmarkStart w:id="40" w:name="КНИЖКА_МДП"/>
            <w:bookmarkStart w:id="41" w:name="КОВЕРНОТ"/>
            <w:bookmarkStart w:id="42" w:name="КОДИРОВАНИЕ_ТОВАРОВ"/>
            <w:bookmarkStart w:id="43" w:name="КОЛИЧЕСТВЕННЫЕ_ОГРАНИЧЕНИЯ_ВО_ВНЕШНЕЙ_ТО"/>
            <w:bookmarkStart w:id="44" w:name="КОЛЛЕКТИВНЫЙ_ПРОТЕКЦИОНИЗМ"/>
            <w:bookmarkStart w:id="45" w:name="КОЛЛИЗИОННАЯ_НОРМА"/>
            <w:bookmarkStart w:id="46" w:name="КОМИССИОНЕР"/>
            <w:bookmarkStart w:id="47" w:name="КОМИТЕНТ"/>
            <w:bookmarkStart w:id="48" w:name="КОМАНДИТНОЕ_ТОВАРИЩЕСТВО"/>
            <w:bookmarkStart w:id="49" w:name="КОММЕРЧЕСКАЯ_ТАЙНА"/>
            <w:bookmarkStart w:id="50" w:name="КОММЕРЧЕСКИЕ_ТОВАРЫ"/>
            <w:bookmarkStart w:id="51" w:name="КОММЕРЧЕСКИЙ_ГРАФИК"/>
            <w:bookmarkStart w:id="52" w:name="КОММЕРЧЕСКИЙ_КРЕДИТ"/>
            <w:bookmarkStart w:id="53" w:name="КОММЕРЧЕСКИЙ_КОД"/>
            <w:bookmarkStart w:id="54" w:name="КОММИВОЯЖЕР"/>
            <w:bookmarkStart w:id="55" w:name="КОМПАНИЯ"/>
            <w:bookmarkStart w:id="56" w:name="КОМПАНИЯ_С_ОГРАНИЧЕННОЙ_ОТВЕТСТВЕННОСТЬЮ"/>
            <w:bookmarkStart w:id="57" w:name="КОМПЕНСАЦИОННАЯ_ПОШЛИНА"/>
            <w:bookmarkStart w:id="58" w:name="КОМПЕНСАЦИОННАЯ_СДЕЛКА"/>
            <w:bookmarkStart w:id="59" w:name="КОМПЕНСАЦИОННАЯ_ТОРГОВЛЯ"/>
            <w:bookmarkStart w:id="60" w:name="КОМПЕНСАЦИОННОЕ_СОГЛАШЕНИЕ"/>
            <w:bookmarkStart w:id="61" w:name="КОМПЕНСАЦИОННЫЕ_ИМПОРТНЫЕ_СБОРЫ"/>
            <w:bookmarkStart w:id="62" w:name="КОМПЛЕКСНАЯ_ЮРИДИЧЕСКАЯ_ЗАЩИТА_ЭКСПОРТИР"/>
            <w:bookmarkStart w:id="63" w:name="КОМПЛЕКТНАЯ_ПОСТАВКА"/>
            <w:bookmarkStart w:id="64" w:name="КОНВЕНЦИОННЫЙ_ШТРАФ"/>
            <w:bookmarkStart w:id="65" w:name="КОНВЕНЦИОННЫЕ_СТАВКИ"/>
            <w:bookmarkStart w:id="66" w:name="КОНВЕНЦИЯ"/>
            <w:bookmarkStart w:id="67" w:name="КОНВЕРСИЯ"/>
            <w:bookmarkStart w:id="68" w:name="КОНГЛОМЕРАТ"/>
            <w:bookmarkStart w:id="69" w:name="КОНДИЦИЯ"/>
            <w:bookmarkStart w:id="70" w:name="КОНКУРЕНТНЫЙ_ЛИСТ"/>
            <w:bookmarkStart w:id="71" w:name="КОНКУРЕНТОСПОСОБНОСТИ_ПОКАЗАТЕЛИ"/>
            <w:bookmarkStart w:id="72" w:name="КОНКУРЕНТОСПОСОБНОСТЬ_ТОВАРА"/>
            <w:bookmarkStart w:id="73" w:name="КОНКУРЕНЦИИ_ПРАВИЛА"/>
            <w:bookmarkStart w:id="74" w:name="КОНКУРЕНЦИЯ__КОНКУРЕНТНАЯ_БОРЬБА__НА_МИР"/>
            <w:bookmarkStart w:id="75" w:name="КОНКУРЕНЦИЯ_НЕДОБРОСОВЕСТНАЯ"/>
            <w:bookmarkStart w:id="76" w:name="КОНКУРЕНЦИЯ_НЕЦЕНОВАЯ"/>
            <w:bookmarkStart w:id="77" w:name="КОНКУРЕНЦИЯ_ЦЕНОВАЯ"/>
            <w:bookmarkStart w:id="78" w:name="КОНОСАМЕНТ"/>
            <w:bookmarkStart w:id="79" w:name="КОНОСАМЕНТ_ЗАСТРАХОВАННЫЙ"/>
            <w:bookmarkStart w:id="80" w:name="КОНОСАМЕНТ_ОБОРОТНЫЙ"/>
            <w:bookmarkStart w:id="81" w:name="КОНОСАМЕНТ_СКВОЗНОЙ"/>
            <w:bookmarkStart w:id="82" w:name="КОНОСАМЕНТ_ЧИСТЫЙ"/>
            <w:bookmarkStart w:id="83" w:name="КОНСАЛТИНГ"/>
            <w:bookmarkStart w:id="84" w:name="КОНСИГНАНТ"/>
            <w:bookmarkStart w:id="85" w:name="КОНСИГНАТОР"/>
            <w:bookmarkStart w:id="86" w:name="КОНСИГНАЦИЯ"/>
            <w:bookmarkStart w:id="87" w:name="КОНСОРЦИУМ"/>
            <w:bookmarkStart w:id="88" w:name="КОНСУЛЬСКАЯ_ФАКТУРА"/>
            <w:bookmarkStart w:id="89" w:name="КОНСУЛЬТИРОВАНИЕ_ПО_ВОПРОСАМ_ТАМОЖЕННОГО"/>
            <w:bookmarkStart w:id="90" w:name="КОНТИНГЕНТ"/>
            <w:bookmarkStart w:id="91" w:name="КОНТИНГЕНТИРОВАНИЕ"/>
            <w:bookmarkStart w:id="92" w:name="КОНТРАБАНДА"/>
            <w:bookmarkStart w:id="93" w:name="КОНТРАГЕНТ"/>
            <w:bookmarkStart w:id="94" w:name="КОНТРАКТ"/>
            <w:bookmarkStart w:id="95" w:name="КОНТРАКТАНТ"/>
            <w:bookmarkStart w:id="96" w:name="КОНТРАКТ_ДОЛГОСРОЧНЫЙ"/>
            <w:bookmarkStart w:id="97" w:name="КОНТРАКТНАЯ_СОБСТВЕННОСТЬ"/>
            <w:bookmarkStart w:id="98" w:name="КОНТРАКТНАЯ_ЦЕНА"/>
            <w:bookmarkStart w:id="99" w:name="КОНТРАФАКЦИЯ"/>
            <w:bookmarkStart w:id="100" w:name="КОНТРОЛИРУЕМЫЕ_ПОСТАВКИ"/>
            <w:bookmarkStart w:id="101" w:name="КОНТРОЛИРУЕМЫЕ_ПОСТАВКИ_НАРКОТИЧЕСКИХ_СР"/>
            <w:bookmarkStart w:id="102" w:name="КОНТРОЛЬНАЯ_ОТМЕТКА"/>
            <w:bookmarkStart w:id="103" w:name="КОНТРОЛЬНЫЙ_ПАКЕТ_АКЦИЙ"/>
            <w:bookmarkStart w:id="104" w:name="КОНТРОСТАЛИЯ"/>
            <w:bookmarkStart w:id="105" w:name="КОНФИСКАЦИЯ"/>
            <w:bookmarkStart w:id="106" w:name="КОНЦЕРН__"/>
            <w:bookmarkStart w:id="107" w:name="КОНЦЕССИЯ"/>
            <w:bookmarkStart w:id="108" w:name="КОНЪЮНКТУРА_ТОВАРНОГО_РЫНКА"/>
            <w:bookmarkStart w:id="109" w:name="КООПЕРАТИВ"/>
            <w:bookmarkStart w:id="110" w:name="КОРПОРАЦИЯ"/>
            <w:bookmarkStart w:id="111" w:name="КОРРЕСПОНДЕНТСКИЕ_ОТНОШЕНИЯ"/>
            <w:bookmarkStart w:id="112" w:name="КОРРЕСПОНДЕНТСКИЙ_СЧЕТ"/>
            <w:bookmarkStart w:id="113" w:name="КОРРУПЦИЯ"/>
            <w:bookmarkStart w:id="114" w:name="КОТИРОВКА_ИНОСТРАННЫХ_ВАЛЮТ"/>
            <w:bookmarkStart w:id="115" w:name="КОЭФФИЦИЕНТ_ОБСЛУЖИВАНИЯ_ВНЕШНЕГО_ДОЛГА"/>
            <w:bookmarkStart w:id="116" w:name="КРАТКАЯ_ДЕКЛАРАЦИЯ"/>
            <w:bookmarkStart w:id="117" w:name="КРЕДИТ"/>
            <w:bookmarkStart w:id="118" w:name="КРЕДИТ_БАНКОВСКИЙ"/>
            <w:bookmarkStart w:id="119" w:name="КРЕДИТ_КОММЕРЧЕСКИЙ"/>
            <w:bookmarkStart w:id="120" w:name="КРЕДИТ_КОМПЕНСАЦИОННЫЙ"/>
            <w:bookmarkStart w:id="121" w:name="КРЕДИТ_МЕЖДУНАРОДНЫЙ"/>
            <w:bookmarkStart w:id="122" w:name="КРЕДИТНАЯ_КАРТОЧКА"/>
            <w:bookmarkStart w:id="123" w:name="КРЕДИТНЫЙ_РИСК"/>
            <w:bookmarkStart w:id="124" w:name="КРЕДИТ_ОБЕСПЕЧЕННЫЙ"/>
            <w:bookmarkStart w:id="125" w:name="КРЕДИТОВАНИЕ_ВНЕШНЕЙ_ТОРГОВЛИ"/>
            <w:bookmarkStart w:id="126" w:name="КРЕДИТОР"/>
            <w:bookmarkStart w:id="127" w:name="КРЕДИТОСПОСОБНОСТЬ"/>
            <w:bookmarkStart w:id="128" w:name="КРЕДИТ_ПЛАТЕЖНЫЙ"/>
            <w:bookmarkStart w:id="129" w:name="КРЕДИТ_ПОКУПАТЕЛЯ"/>
            <w:bookmarkStart w:id="130" w:name="КРЕДИТ_ТАМОЖЕННЫЙ"/>
            <w:bookmarkStart w:id="131" w:name="КРИТЕРИИ_ДОСТАТОЧНОЙ_ПЕРЕРАБОТКИ_ТОВАРА"/>
            <w:bookmarkStart w:id="132" w:name="КРОСС_КУРС"/>
            <w:bookmarkStart w:id="133" w:name="КУПЛЯ_ПРОДАЖА"/>
            <w:bookmarkStart w:id="134" w:name="КУПЛЯ_ПРОДАЖА_ЦЕННЫХ_БУМАГ"/>
            <w:bookmarkStart w:id="135" w:name="КУПЮРА"/>
            <w:bookmarkStart w:id="136" w:name="КУРСОВОЙ_ДОХОД_ПОТЕРЯ"/>
            <w:bookmarkStart w:id="137" w:name="КУРСОВОЙ_ПЕРЕКОС"/>
            <w:bookmarkStart w:id="138" w:name="КУРСОВЫЕ_ПОТЕРИ"/>
            <w:bookmarkStart w:id="139" w:name="КУРС_ПЕРЕСЧЕТА"/>
            <w:r>
              <w:rPr>
                <w:color w:val="000000"/>
                <w:sz w:val="28"/>
              </w:rPr>
              <w:t xml:space="preserve"> соответствующих стран. </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tbl>
    <w:p w:rsidR="00B82893" w:rsidRDefault="00B82893">
      <w:pPr>
        <w:ind w:right="-766"/>
        <w:rPr>
          <w:color w:val="000000"/>
          <w:sz w:val="28"/>
        </w:rPr>
      </w:pPr>
    </w:p>
    <w:p w:rsidR="00B82893" w:rsidRDefault="00E4298B">
      <w:pPr>
        <w:ind w:left="-709" w:right="-766"/>
        <w:jc w:val="both"/>
        <w:rPr>
          <w:color w:val="000000"/>
          <w:sz w:val="28"/>
        </w:rPr>
      </w:pPr>
      <w:r>
        <w:rPr>
          <w:color w:val="000000"/>
          <w:sz w:val="28"/>
        </w:rPr>
        <w:t xml:space="preserve">   Клиринговая деятельность — деятельность по определению взаимных обязательств сбор, сверка, корректировка информации по и зачету по поставкам товаров и услуг  и расчетам по ним.</w:t>
      </w:r>
    </w:p>
    <w:p w:rsidR="00B82893" w:rsidRDefault="00E4298B">
      <w:pPr>
        <w:ind w:left="-709" w:right="-766"/>
        <w:jc w:val="both"/>
        <w:rPr>
          <w:color w:val="000000"/>
          <w:sz w:val="28"/>
        </w:rPr>
      </w:pPr>
      <w:r>
        <w:rPr>
          <w:color w:val="000000"/>
          <w:sz w:val="28"/>
        </w:rPr>
        <w:t xml:space="preserve">     Клиринг валютный   применяется   при  межгосударственных расчетах на основе соглашения правительств этих государств. Отношения сторон строятся на взаимном зачете встречных  требований и обязательств, вытекающем из стоимостного равенства товарных поставок и оказываемых услуг. Валютный клиринг включает набор обязательных элементов,  таких как:  систему клиринговых счетов, объем клиринга (все платежи по товарообороту или только их часть подлежит учету), валюту клиринга, объем технического кредита (предельно допустимое  сальдо  задолженности  одной стороны другой,  рассчитываемое  как  процент от оборота или в виде абсолютной величины), систему выравнивания платежей, схему окончательного  выравнивания  сальдо  по окончании действия межправительственного соглашения.</w:t>
      </w:r>
    </w:p>
    <w:p w:rsidR="00B82893" w:rsidRDefault="00E4298B">
      <w:pPr>
        <w:jc w:val="both"/>
        <w:rPr>
          <w:color w:val="000000"/>
        </w:rPr>
      </w:pPr>
      <w:r>
        <w:rPr>
          <w:color w:val="000000"/>
        </w:rPr>
        <w:t xml:space="preserve"> </w:t>
      </w:r>
    </w:p>
    <w:p w:rsidR="00B82893" w:rsidRDefault="00B82893">
      <w:pPr>
        <w:jc w:val="both"/>
        <w:rPr>
          <w:color w:val="000000"/>
          <w:sz w:val="28"/>
        </w:rPr>
      </w:pPr>
    </w:p>
    <w:p w:rsidR="00B82893" w:rsidRDefault="00E4298B">
      <w:pPr>
        <w:ind w:left="-709" w:right="-766"/>
        <w:jc w:val="both"/>
        <w:rPr>
          <w:color w:val="000000"/>
          <w:sz w:val="28"/>
        </w:rPr>
      </w:pPr>
      <w:r>
        <w:rPr>
          <w:color w:val="000000"/>
          <w:sz w:val="28"/>
        </w:rPr>
        <w:t xml:space="preserve">  Процесс клиринга очень важен для развития  международной торговой деятельности   . Чем  выше  степень  организации рынка, тем важнее роль клиринговых систем для его участника .</w:t>
      </w:r>
    </w:p>
    <w:p w:rsidR="00B82893" w:rsidRDefault="00E4298B">
      <w:pPr>
        <w:pStyle w:val="a4"/>
        <w:rPr>
          <w:color w:val="000000"/>
        </w:rPr>
      </w:pPr>
      <w:r>
        <w:rPr>
          <w:color w:val="000000"/>
        </w:rPr>
        <w:t xml:space="preserve">     Процесс клиринга важен тем , что он обеспечивает не только расчеты между участниками клиринга,  но и содержит  в  себе механизм гарантии  выполнения  обязательств сторон на  рынке, тем самым улучшает качество рынка ,  повышает его  ликвидность и  сохраняет целостность . Клиринговая палата выступает гарантом выполнения обязательств по сделкам.  Контрактные обязательства  заключаются  с  клиринговой палатой ,  а не друг с другом. Это уменьшает затраты на совершение сделок и позволяет рынкам эффективно действовать.</w:t>
      </w:r>
    </w:p>
    <w:p w:rsidR="00B82893" w:rsidRDefault="00E4298B">
      <w:pPr>
        <w:ind w:left="-709" w:right="-766"/>
        <w:jc w:val="both"/>
        <w:rPr>
          <w:color w:val="000000"/>
          <w:sz w:val="28"/>
        </w:rPr>
      </w:pPr>
      <w:r>
        <w:rPr>
          <w:color w:val="000000"/>
          <w:sz w:val="28"/>
        </w:rPr>
        <w:t xml:space="preserve">     Процесс клиринга обеспечивают клиринговые палаты, которые могут быть организованы как государственные или    как  коммерческие  организации.  Статус  клиринговой  палаты определяется тем, какие функции она будет выполнять.</w:t>
      </w:r>
    </w:p>
    <w:p w:rsidR="00B82893" w:rsidRDefault="00E4298B">
      <w:pPr>
        <w:ind w:left="-709" w:right="-766"/>
        <w:jc w:val="both"/>
        <w:rPr>
          <w:color w:val="000000"/>
          <w:sz w:val="28"/>
        </w:rPr>
      </w:pPr>
      <w:r>
        <w:rPr>
          <w:color w:val="000000"/>
          <w:sz w:val="28"/>
        </w:rPr>
        <w:t xml:space="preserve">     Развитие торговой деятельности    в России требует создания клиринговых учреждений т.к в условиях нестабильности курса национальной валюты , кризиса неплатежей , общего кризиса банковской системы , клиринг порой единственное средство для проведения торговых операций .</w:t>
      </w:r>
    </w:p>
    <w:p w:rsidR="00B82893" w:rsidRDefault="00B82893">
      <w:pPr>
        <w:ind w:left="-709" w:right="-766"/>
        <w:jc w:val="both"/>
        <w:rPr>
          <w:color w:val="000000"/>
          <w:sz w:val="28"/>
        </w:rPr>
      </w:pPr>
    </w:p>
    <w:p w:rsidR="00B82893" w:rsidRDefault="00E4298B">
      <w:pPr>
        <w:ind w:left="-709" w:right="-766"/>
        <w:jc w:val="both"/>
        <w:rPr>
          <w:color w:val="000000"/>
          <w:sz w:val="28"/>
        </w:rPr>
      </w:pPr>
      <w:r>
        <w:rPr>
          <w:b/>
          <w:color w:val="000000"/>
          <w:sz w:val="28"/>
        </w:rPr>
        <w:t>В Главе 1</w:t>
      </w:r>
      <w:r>
        <w:rPr>
          <w:color w:val="000000"/>
          <w:sz w:val="28"/>
        </w:rPr>
        <w:t xml:space="preserve"> расказывается о мировом опыте клиринговых расчетов , прежде всего о Банке Международных расчетов , как о организации изначально практиковавшую различные виды клиринговых расчетов </w:t>
      </w:r>
    </w:p>
    <w:p w:rsidR="00B82893" w:rsidRDefault="00E4298B">
      <w:pPr>
        <w:pStyle w:val="10"/>
        <w:tabs>
          <w:tab w:val="left" w:pos="9639"/>
        </w:tabs>
        <w:ind w:left="-709" w:right="-766"/>
        <w:jc w:val="both"/>
        <w:rPr>
          <w:sz w:val="28"/>
        </w:rPr>
      </w:pPr>
      <w:r>
        <w:rPr>
          <w:sz w:val="28"/>
        </w:rPr>
        <w:t xml:space="preserve">На протяжении всей своей истории - начиная с создания на Гаагской конференции в январе 1930 г. - Банк международных расчетов (БМР) неизменно оставался центральным банковским учреждением, уникальным по своему характеру на международной арене. Он принадлежит центральным банкам и контролируется ими, предоставляя целый ряд в высшей степени специализированных услуг центральным банкам, а через них - международной финансовой системе в целом. В настоящее время БМР активно укрепляет связи с центральными банками, которые находятся вне сферы его традиционных интересов в промышленно развитых странах. </w:t>
      </w:r>
    </w:p>
    <w:p w:rsidR="00B82893" w:rsidRDefault="00E4298B">
      <w:pPr>
        <w:pStyle w:val="10"/>
        <w:tabs>
          <w:tab w:val="left" w:pos="9639"/>
        </w:tabs>
        <w:ind w:left="-709" w:right="-766"/>
        <w:jc w:val="both"/>
        <w:rPr>
          <w:sz w:val="28"/>
        </w:rPr>
      </w:pPr>
      <w:r>
        <w:rPr>
          <w:sz w:val="28"/>
        </w:rPr>
        <w:t xml:space="preserve">Основные задачи Банка наиболее сжато изложены в ст. 3 его первоначального Устава. Они заключаются в том, чтобы "поощрять сотрудничество центральных банков и предоставлять дополнительные возможности для осуществления международных финансовых операций". Одна из основных целей широкого международного сотрудничества центральных банков всегда заключалась в укреплении международной финансовой стабильности. Сегодня, в условиях растущей интеграции мировых финансовых рынков, такое сотрудничество приобретает еще большую значимость. Именно поэтому БМР служит важным местом встреч представителей центральных банков. В то же время он остается банком, однако банком, депонентами которого являются почти исключительно центральные банки. Их совокупные депозиты в БМР составляют значительную долю мировых валютных резервов. Кроме того, БМР выступает и в роли агента или доверенного лица по различным международным финансовым соглашениям. И во всех этих случаях, являясь местом встреч представителей центральных банков, банком, агентом или доверенным лицом, БМР стремится к соблюдению самых высоких стандартов профессионализма, к полной конфиденциальности и осмотрительности. </w:t>
      </w:r>
    </w:p>
    <w:p w:rsidR="00B82893" w:rsidRDefault="00E4298B">
      <w:pPr>
        <w:pStyle w:val="10"/>
        <w:tabs>
          <w:tab w:val="left" w:pos="9639"/>
        </w:tabs>
        <w:ind w:left="-709" w:right="-766"/>
        <w:jc w:val="both"/>
        <w:rPr>
          <w:sz w:val="28"/>
        </w:rPr>
      </w:pPr>
      <w:r>
        <w:rPr>
          <w:sz w:val="28"/>
        </w:rPr>
        <w:t xml:space="preserve">С сентября 1994 г. Совет директоров Банка избирается из представителей одиннадцати стран, десять из которых составляют так называемую Группу десяти (Г-10), поддерживающую давние и прочные связи с БМР. Принятие в 1996-1997 гг. в число членов девяти центральных банков из Азии, Латинской Америки, Ближнего Востока и Европы положило конец ранее существовавшему в БМР преобладанию центральных банков-акционеров из промышленно развитых стран и Восточной Европы. </w:t>
      </w:r>
    </w:p>
    <w:p w:rsidR="00B82893" w:rsidRDefault="00E4298B">
      <w:pPr>
        <w:pStyle w:val="10"/>
        <w:tabs>
          <w:tab w:val="left" w:pos="9639"/>
        </w:tabs>
        <w:ind w:left="-709" w:right="-766"/>
        <w:jc w:val="both"/>
        <w:rPr>
          <w:sz w:val="28"/>
        </w:rPr>
      </w:pPr>
      <w:r>
        <w:rPr>
          <w:sz w:val="28"/>
        </w:rPr>
        <w:t xml:space="preserve">Банк поддерживает деловые и прочие отношения с гораздо большим числом партнеров, чем число его акционеров - центральных банков (поскольку около 120 центральных банков и международных финансовых учреждений используют БМР в качестве банка). Он все чаще приглашает "представителей центральных банков стран, вступающих на путь рыночной экономики, для участия в обсуждениях, проводимых в БМР. Кроме того, центральные банки или официальные денежнокредитные учреждения почти всех стран мира (за редким исключением) регулярно участвуют в собрании БМР, проходящем в июне каждого года. </w:t>
      </w:r>
    </w:p>
    <w:p w:rsidR="00B82893" w:rsidRDefault="00E4298B">
      <w:pPr>
        <w:pStyle w:val="10"/>
        <w:ind w:left="-567" w:right="-625"/>
        <w:jc w:val="both"/>
        <w:rPr>
          <w:sz w:val="28"/>
        </w:rPr>
      </w:pPr>
      <w:r>
        <w:rPr>
          <w:sz w:val="28"/>
        </w:rPr>
        <w:t>Также в главе 1 расказывается о  Валютной политике Советского государства в 1930-1980-е гг. которая фактически была построена на проведении клиринговых расчетов  и отношениях между Евросоюзом и СССР.</w:t>
      </w:r>
    </w:p>
    <w:p w:rsidR="00B82893" w:rsidRDefault="00E4298B">
      <w:pPr>
        <w:pStyle w:val="10"/>
        <w:ind w:left="-567" w:right="-625"/>
        <w:jc w:val="both"/>
        <w:rPr>
          <w:sz w:val="28"/>
        </w:rPr>
      </w:pPr>
      <w:r>
        <w:rPr>
          <w:sz w:val="28"/>
        </w:rPr>
        <w:t xml:space="preserve">До наступления полосы валютно-финансовых кризисов 30-х гг. важной частью усилий СССР являлось ведение переговоров о предоставлении внешних кредитов, увеличивающих импортные возможности страны и ускорявших реализацию пятилетних планов социалистической индустриализации. Крупнейшими удачами советской дипломатии на этом пути явилось распространение на СССР рядом стран правительственных гарантий оплаты их экспорта — кредитных линий объемом в десятки и сотни миллионов долларов. Широкое их использование привело к быстрому нарастанию объемов кредитной задолженности, однако уже к середине 30-х гг. СССР смог фактически погасить большую ее часть, а в послевоенный период почти прекратил заключение кредитных соглашений. </w:t>
      </w:r>
    </w:p>
    <w:p w:rsidR="00B82893" w:rsidRDefault="00E4298B">
      <w:pPr>
        <w:pStyle w:val="10"/>
        <w:ind w:left="-567" w:right="-625"/>
        <w:jc w:val="both"/>
        <w:rPr>
          <w:sz w:val="28"/>
        </w:rPr>
      </w:pPr>
      <w:r>
        <w:rPr>
          <w:sz w:val="28"/>
        </w:rPr>
        <w:t xml:space="preserve">Последствия глобального валютно-финансового кризиса 30-х гг. выразились и в фактически повсеместно произошедшем переходе на клиринговую систему расчетов по внешней торговле и платежам. Советский Союз практиковал различные схемы клиринга, добиваясь включения в них абсолютно всех расчетов и платежей и эффективно отстаивал защиту своих интересов от возможных финансовых потерь. </w:t>
      </w:r>
    </w:p>
    <w:p w:rsidR="00B82893" w:rsidRDefault="00E4298B">
      <w:pPr>
        <w:pStyle w:val="10"/>
        <w:ind w:left="-567" w:right="-625"/>
        <w:jc w:val="both"/>
        <w:rPr>
          <w:sz w:val="28"/>
        </w:rPr>
      </w:pPr>
      <w:r>
        <w:rPr>
          <w:sz w:val="28"/>
        </w:rPr>
        <w:t xml:space="preserve">С образованием в послевоенный период социалистической системы и начавшимся позднее распадом колониальных империй единая прежде валютная политика Советского Союза расщепилась на две, а с появлением группы молодых независимых государств — и на три составляющих. На протяжении всех послевоенных десятилетий экономика СССР развивалась в тесном и разностороннем взаимодействии с народнохозяйственными комплексами социалистических стран. Если говорить о его валютной компоненте, то здесь центральным звеном выступает организация эффективной и справедливой схемы взаиморасчетов. Она прошла через ряд этапов: двусторонний клиринг, попытка установления многостроннего клиринга (1958—1963 гг.), и наконец, разработку системы многосторонних платежей на основе искусственно созданной особой коллективной социалистической валюты — переводного рубля. Эта система успешно функционировала в течение четверти века, однако она была не свободна от некоторых внутренних противоречий, являвшихся отражением несовпадения экономических интересов (или неполного совпадения) участвовавших в ней государств, которые, накапливаясь, в конце концов привели к отказу от нее вместе с распадом организации экономической взаимопомощи социалистических стран на рубеже 80—90-х гг. </w:t>
      </w:r>
    </w:p>
    <w:p w:rsidR="00B82893" w:rsidRDefault="00E4298B">
      <w:pPr>
        <w:pStyle w:val="10"/>
        <w:ind w:left="-567" w:right="-625"/>
        <w:jc w:val="both"/>
        <w:rPr>
          <w:sz w:val="28"/>
        </w:rPr>
      </w:pPr>
      <w:r>
        <w:rPr>
          <w:sz w:val="28"/>
        </w:rPr>
        <w:t xml:space="preserve">  Невозможно не расказать  о современной системе автоматических клиринговых расчетов </w:t>
      </w:r>
      <w:r>
        <w:rPr>
          <w:sz w:val="28"/>
          <w:lang w:val="en-US"/>
        </w:rPr>
        <w:t>RTGS которая в последствии может оказать разрушаещее действие на систему корреспондентских межбанковских отношений так например</w:t>
      </w:r>
      <w:r>
        <w:rPr>
          <w:sz w:val="28"/>
        </w:rPr>
        <w:t xml:space="preserve"> апреле 1996 г. банковская отрасль Великобритании в числе последних завершила переход от системы окончательных расчетов в конце дня к новому механизму расчетов по крупным сделкам в режиме реального времени (Real-Time Gross Settlement, RTGS) для обработки крупных платежей. Этот повсеместный переход к системе RTGS в международном масштабе, наряду со стремлением широких финансовых кругов к уменьшению риска международных расчетов.</w:t>
      </w:r>
    </w:p>
    <w:p w:rsidR="00B82893" w:rsidRDefault="00E4298B">
      <w:pPr>
        <w:pStyle w:val="10"/>
        <w:ind w:left="-567" w:right="-625"/>
        <w:jc w:val="both"/>
        <w:rPr>
          <w:sz w:val="28"/>
        </w:rPr>
      </w:pPr>
      <w:r>
        <w:rPr>
          <w:sz w:val="28"/>
        </w:rPr>
        <w:t>Во второй главе рассказывается о платежной системе Казахстана и Белорусии как пример внедрения клиринговых расчетов в странах СНГ . При внедрении клиринговых систем в этих странах были учтены и мировой опыт и современные тенденции по реализации новейших платежных систем .</w:t>
      </w:r>
    </w:p>
    <w:p w:rsidR="00B82893" w:rsidRDefault="00E4298B">
      <w:pPr>
        <w:pStyle w:val="10"/>
        <w:ind w:left="-567" w:right="-625"/>
        <w:jc w:val="both"/>
        <w:rPr>
          <w:sz w:val="28"/>
        </w:rPr>
      </w:pPr>
      <w:r>
        <w:rPr>
          <w:sz w:val="28"/>
        </w:rPr>
        <w:t>Также проанализировано состояние денежных систем республик бывшего СССР т.к. проблемы для стран являются специфическими , хотя и проводится аналогия с несколькими эпизодами из  мировой истории .</w:t>
      </w:r>
    </w:p>
    <w:p w:rsidR="00B82893" w:rsidRDefault="00E4298B">
      <w:pPr>
        <w:pStyle w:val="10"/>
        <w:ind w:left="-567" w:right="-625"/>
        <w:jc w:val="both"/>
        <w:rPr>
          <w:sz w:val="28"/>
        </w:rPr>
      </w:pPr>
      <w:r>
        <w:rPr>
          <w:sz w:val="28"/>
        </w:rPr>
        <w:t>В заключении сделан вывод ,что платежный союз –это фундамент интеграции между странами СНГ и учитывая все различия между странами осуществлять взаимовыгодную торговлю возможно только с использованием клиринговых систем расчетов .</w:t>
      </w:r>
    </w:p>
    <w:p w:rsidR="00B82893" w:rsidRDefault="00B82893">
      <w:pPr>
        <w:pStyle w:val="10"/>
        <w:ind w:left="-567" w:right="-625"/>
        <w:jc w:val="both"/>
        <w:rPr>
          <w:sz w:val="28"/>
        </w:rPr>
      </w:pPr>
    </w:p>
    <w:p w:rsidR="00B82893" w:rsidRDefault="00E4298B">
      <w:pPr>
        <w:pStyle w:val="10"/>
        <w:ind w:left="-709"/>
        <w:jc w:val="both"/>
        <w:rPr>
          <w:sz w:val="28"/>
        </w:rPr>
      </w:pPr>
      <w:r>
        <w:rPr>
          <w:sz w:val="28"/>
        </w:rPr>
        <w:t xml:space="preserve"> </w:t>
      </w:r>
    </w:p>
    <w:p w:rsidR="00B82893" w:rsidRDefault="00E4298B">
      <w:pPr>
        <w:pStyle w:val="10"/>
        <w:ind w:left="-709"/>
        <w:jc w:val="both"/>
        <w:rPr>
          <w:sz w:val="28"/>
        </w:rPr>
      </w:pPr>
      <w:r>
        <w:rPr>
          <w:sz w:val="28"/>
        </w:rPr>
        <w:br/>
        <w:t xml:space="preserve">  </w:t>
      </w:r>
    </w:p>
    <w:p w:rsidR="00B82893" w:rsidRDefault="00E4298B">
      <w:pPr>
        <w:pStyle w:val="z-TopofForm"/>
        <w:spacing w:before="100" w:after="100"/>
        <w:ind w:left="-709"/>
        <w:jc w:val="both"/>
        <w:rPr>
          <w:color w:val="000000"/>
          <w:sz w:val="28"/>
        </w:rPr>
      </w:pPr>
      <w:r>
        <w:rPr>
          <w:color w:val="000000"/>
          <w:sz w:val="28"/>
        </w:rPr>
        <w:t>Top of Form 1</w:t>
      </w:r>
    </w:p>
    <w:p w:rsidR="00B82893" w:rsidRDefault="00B82893">
      <w:pPr>
        <w:pStyle w:val="10"/>
        <w:jc w:val="both"/>
        <w:rPr>
          <w:sz w:val="28"/>
        </w:rPr>
      </w:pPr>
    </w:p>
    <w:p w:rsidR="00B82893" w:rsidRDefault="00E4298B">
      <w:pPr>
        <w:pStyle w:val="z-BottomofForm"/>
        <w:spacing w:before="100" w:after="100"/>
        <w:jc w:val="both"/>
        <w:rPr>
          <w:color w:val="000000"/>
          <w:sz w:val="28"/>
        </w:rPr>
      </w:pPr>
      <w:r>
        <w:rPr>
          <w:color w:val="000000"/>
          <w:sz w:val="28"/>
        </w:rPr>
        <w:t>Bottom of Form 1</w:t>
      </w:r>
    </w:p>
    <w:p w:rsidR="00B82893" w:rsidRDefault="009E3F7C">
      <w:pPr>
        <w:pStyle w:val="10"/>
        <w:jc w:val="both"/>
        <w:rPr>
          <w:sz w:val="36"/>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75pt" fillcolor="window"/>
        </w:pict>
      </w:r>
      <w:r w:rsidR="00E4298B">
        <w:rPr>
          <w:sz w:val="36"/>
        </w:rPr>
        <w:t>Глава   1.  Мировой опыт валютного клирина .</w:t>
      </w:r>
    </w:p>
    <w:p w:rsidR="00B82893" w:rsidRDefault="00E4298B">
      <w:pPr>
        <w:pStyle w:val="10"/>
        <w:ind w:left="-709"/>
        <w:jc w:val="both"/>
        <w:rPr>
          <w:sz w:val="28"/>
        </w:rPr>
      </w:pPr>
      <w:r>
        <w:rPr>
          <w:sz w:val="28"/>
        </w:rPr>
        <w:t xml:space="preserve"> </w:t>
      </w:r>
    </w:p>
    <w:p w:rsidR="00B82893" w:rsidRDefault="00E4298B">
      <w:pPr>
        <w:pStyle w:val="10"/>
        <w:ind w:left="-142"/>
        <w:jc w:val="both"/>
        <w:rPr>
          <w:sz w:val="20"/>
        </w:rPr>
      </w:pPr>
      <w:r>
        <w:rPr>
          <w:sz w:val="20"/>
        </w:rPr>
        <w:t xml:space="preserve">КРАТКИЙ ОБЗОР ДЕЯТЕЛЬНОСТИ БАНКА МЕЖДУНАРОДНЫХ РАСЧЕТОВ (БМР) КАК МЕЖДУНАРОДНОЙ ОРГАНИЗАЦИИ </w:t>
      </w:r>
    </w:p>
    <w:p w:rsidR="00B82893" w:rsidRDefault="00E4298B">
      <w:pPr>
        <w:pStyle w:val="10"/>
        <w:tabs>
          <w:tab w:val="left" w:pos="9639"/>
        </w:tabs>
        <w:ind w:left="-142" w:right="425"/>
        <w:jc w:val="both"/>
        <w:rPr>
          <w:sz w:val="28"/>
        </w:rPr>
      </w:pPr>
      <w:r>
        <w:rPr>
          <w:sz w:val="28"/>
        </w:rPr>
        <w:t xml:space="preserve">1. ПРИЧИНЫ СОЗДАНИЯ БМР В 1930 г. </w:t>
      </w:r>
    </w:p>
    <w:p w:rsidR="00B82893" w:rsidRDefault="00E4298B">
      <w:pPr>
        <w:pStyle w:val="10"/>
        <w:tabs>
          <w:tab w:val="left" w:pos="9639"/>
        </w:tabs>
        <w:ind w:left="-142" w:right="425"/>
        <w:jc w:val="both"/>
        <w:rPr>
          <w:sz w:val="28"/>
        </w:rPr>
      </w:pPr>
      <w:r>
        <w:rPr>
          <w:sz w:val="28"/>
        </w:rPr>
        <w:t xml:space="preserve">Необходимость создания международной организации типа БМР ощущалась с начала века. Однако соответствующие шаги к этому были предприняты лишь после принятия плана Юнга в соответствии с Гаагским соглашением от 20 января. 1930 г., основная цель которого заключалась в урегулировании проблемы репарационных платежей, возложенных на Германию после Первой мировой войны. </w:t>
      </w:r>
    </w:p>
    <w:p w:rsidR="00B82893" w:rsidRDefault="00E4298B">
      <w:pPr>
        <w:pStyle w:val="10"/>
        <w:tabs>
          <w:tab w:val="left" w:pos="9639"/>
        </w:tabs>
        <w:ind w:left="-142" w:right="425"/>
        <w:jc w:val="both"/>
        <w:rPr>
          <w:sz w:val="28"/>
        </w:rPr>
      </w:pPr>
      <w:r>
        <w:rPr>
          <w:sz w:val="28"/>
        </w:rPr>
        <w:t xml:space="preserve">Межправительственные соглашения, заключенные на Гаагской конференции в январе 1930 г., привели к созданию БМР, основателем которого стала группа из шести центральных банков и одного финансового учреждения США. Швейцария, где, как было решено, должен был располагаться БМР, предоставила ему Учредительную хартию. Новая международная организация была призвана не только выполнять обязанности доверенного лица в ходе реализации плана Юнга, но, как уже отмечалось, должна была содействовать сотрудничеству центральных банков и предоставлять дополнительные возможности для осуществления международных финансовых операций. </w:t>
      </w:r>
    </w:p>
    <w:p w:rsidR="00B82893" w:rsidRDefault="00E4298B">
      <w:pPr>
        <w:pStyle w:val="10"/>
        <w:tabs>
          <w:tab w:val="left" w:pos="9639"/>
        </w:tabs>
        <w:ind w:left="-142" w:right="425"/>
        <w:jc w:val="both"/>
        <w:rPr>
          <w:sz w:val="28"/>
        </w:rPr>
      </w:pPr>
      <w:r>
        <w:rPr>
          <w:sz w:val="28"/>
        </w:rPr>
        <w:t xml:space="preserve">БМР начал свою деятельность 17 мая 1930 г. в Базеле и, таким образом, является старейшей международной финансовой организацией. Сегодня Базель стал традиционным местом международных встреч для многих управляющих центральных банков и других их сотрудников. </w:t>
      </w:r>
    </w:p>
    <w:p w:rsidR="00B82893" w:rsidRDefault="00E4298B">
      <w:pPr>
        <w:pStyle w:val="10"/>
        <w:tabs>
          <w:tab w:val="left" w:pos="9639"/>
        </w:tabs>
        <w:ind w:left="-142" w:right="425"/>
        <w:jc w:val="both"/>
        <w:rPr>
          <w:sz w:val="28"/>
        </w:rPr>
      </w:pPr>
      <w:r>
        <w:rPr>
          <w:sz w:val="28"/>
        </w:rPr>
        <w:t xml:space="preserve">2. ПРАВОВОЙ СТАТУС БМР, ЕГО АКЦИОНЕРНЫЙ КАПИТАЛ И ЦЕНТРАЛЬНЫЕ БАНКИ-АКЦИОНЕРЫ </w:t>
      </w:r>
    </w:p>
    <w:p w:rsidR="00B82893" w:rsidRDefault="00E4298B">
      <w:pPr>
        <w:pStyle w:val="10"/>
        <w:tabs>
          <w:tab w:val="left" w:pos="9639"/>
        </w:tabs>
        <w:ind w:left="-142" w:right="425"/>
        <w:jc w:val="both"/>
        <w:rPr>
          <w:sz w:val="28"/>
        </w:rPr>
      </w:pPr>
      <w:r>
        <w:rPr>
          <w:sz w:val="28"/>
        </w:rPr>
        <w:t xml:space="preserve">Подобно многим основавшим его в 1930 г. центральным банкам, по своей правовой структуре БМР являлся компанией с ограниченной ответственностью, располагавшей выпущенным акционерным капиталом. Тем не менее. Гаагские соглашения признали БМР международной организацией, подпадающей под положения международного права и пользующейся привилегиями и иммунитетами, необходимыми ей для осуществления своих функций. Международный правовой статус БМР, привилегии и иммунитеты, которыми он пользовался в Швейцарии с момента своего основания, были подтверждены Соглашением о центральных учреждениях, которое Банк подписал с Федеральным советом Швейцарии 10 февраля 1987 г. Как явствует из этого соглашения, БМР пользуется в Швейцарии правовым статусом, аналогичным тому, каким наделены многие другие международные организации, возникшие там с 1930 г. К этому следует добавить, что БМР не подпадает ни под действие федерального закона Швейцарии о банках и сберегательных учреждениях, ни под положения швейцарского законодательства о компаниях. </w:t>
      </w:r>
    </w:p>
    <w:p w:rsidR="00B82893" w:rsidRDefault="00E4298B">
      <w:pPr>
        <w:pStyle w:val="10"/>
        <w:tabs>
          <w:tab w:val="left" w:pos="9639"/>
        </w:tabs>
        <w:ind w:left="-142" w:right="425"/>
        <w:jc w:val="both"/>
        <w:rPr>
          <w:sz w:val="28"/>
        </w:rPr>
      </w:pPr>
      <w:r>
        <w:rPr>
          <w:sz w:val="28"/>
        </w:rPr>
        <w:t xml:space="preserve">Уставный акционерный капитал Банка международных расчетов составляет 1500 млн. золотых франков и представлен в виде 600000 акций с равной номинальной стоимостью (2500 золотых франков за акцию). На конец финансового года выпущено 517125 акций, и в соответствии со ст. 7 Устава БМР они полностью оплачены из расчета 25% их номинальной стоимости (625 золотых франков за акцию). Таким образом, по состоянию на 31 марта 1997 г. оплаченная часть акционерного капитала БМР составляет на балансе банка 323,2 млн. золотых франков. </w:t>
      </w:r>
    </w:p>
    <w:p w:rsidR="00B82893" w:rsidRDefault="00E4298B">
      <w:pPr>
        <w:pStyle w:val="10"/>
        <w:tabs>
          <w:tab w:val="left" w:pos="9639"/>
        </w:tabs>
        <w:ind w:left="-142" w:right="425"/>
        <w:jc w:val="both"/>
        <w:rPr>
          <w:sz w:val="28"/>
        </w:rPr>
      </w:pPr>
      <w:r>
        <w:rPr>
          <w:sz w:val="28"/>
        </w:rPr>
        <w:t xml:space="preserve">Золотой франк БМР по содержанию золота весит несколько больше 0,29 грамма чистого золота, и тем самым по золотому паритету он оставался идентичен швейцарскому франку с момента основания БМР в 1930 г. вплоть до сентября 1936 г., когда использование золотого паритета швейцарского франка было приостановлено в связи с тем, что ряд ведущих стран отказался от золотого стандарта. БМР использует золотой франк исключительно в качестве расчетной единицы при составлении балансовых отчетов. Активы и пассивы, выраженные в долларах, конвертируются в золотые франки по фиксированному курсу в $208 за унцию чистого золота (1 золотой франк = $1,94), а все остальные валюты переводятся в золотые франки на основе их рыночных курсов по отношению к доллару. </w:t>
      </w:r>
    </w:p>
    <w:p w:rsidR="00B82893" w:rsidRDefault="00E4298B">
      <w:pPr>
        <w:pStyle w:val="10"/>
        <w:tabs>
          <w:tab w:val="left" w:pos="9639"/>
        </w:tabs>
        <w:ind w:left="-142" w:right="425"/>
        <w:jc w:val="both"/>
        <w:rPr>
          <w:sz w:val="28"/>
        </w:rPr>
      </w:pPr>
      <w:r>
        <w:rPr>
          <w:sz w:val="28"/>
        </w:rPr>
        <w:t xml:space="preserve">В момент выпуска начального капитала Банка участвовавшим в подписке финансовым учреждениям была предоставлена возможность выбора: подписаться самим на все национальные выпуски акций или организовать на них публичную подписку в своих странах. В результате такого подхода часть выпуска акций в Бельгии, Франции и полный выпуск в США принадлежат не тем учреждениям, среди которых они первоначально распределялись. В целом, около 86% выпущенного акционерного капитала зарегистрировано на имя центральных банков, а держателями остальных 14% являются частные акционеры. Хотя все акции обладают равными правами с точки зрения распределения ежегодных дивидендов, частные акционеры не имеют права присутствовать или голосовать на Общем собрании акционеров БМР, так как эти права зарезервированы за центральным банком той страны, в которой проводилась первоначальная подписка на соответствующий национальный выпуск акций. </w:t>
      </w:r>
    </w:p>
    <w:p w:rsidR="00B82893" w:rsidRDefault="00E4298B">
      <w:pPr>
        <w:pStyle w:val="10"/>
        <w:tabs>
          <w:tab w:val="left" w:pos="9639"/>
        </w:tabs>
        <w:ind w:left="-142" w:right="425"/>
        <w:jc w:val="both"/>
        <w:rPr>
          <w:sz w:val="28"/>
        </w:rPr>
      </w:pPr>
      <w:r>
        <w:rPr>
          <w:sz w:val="28"/>
        </w:rPr>
        <w:t xml:space="preserve">По состоянию на 31 марта 1997 г. следующий 41 центральный банк-акционер обладал правом представительства и голосования на общих собраниях акционеров БМР: все центральные банки Группы десяти - Бельгия, Германия, Италия, Канада, Нидерланды, Соединенное Королевство, Соединенные Штаты Америки, Франция, Швеция, Швейцария и Япония и центральные банки Австралии, Австрии, Болгарии, Бразилии, Гонконга, Венгрии, Греции, Дании, Индии, Ирландии, Исландии, Испании, Китая, Кореи, Латвии, Литвы, Мексики, Норвегии, Польши, Португалии, России, Румынии, Саудовской Аравии, Сингапура, Словакии, Турции, Финляндии, Чешской Республики, Эстонии, Южной Африки. </w:t>
      </w:r>
    </w:p>
    <w:p w:rsidR="00B82893" w:rsidRDefault="00E4298B">
      <w:pPr>
        <w:pStyle w:val="10"/>
        <w:tabs>
          <w:tab w:val="left" w:pos="9639"/>
        </w:tabs>
        <w:ind w:left="-142" w:right="425"/>
        <w:jc w:val="both"/>
        <w:rPr>
          <w:sz w:val="28"/>
        </w:rPr>
      </w:pPr>
      <w:r>
        <w:rPr>
          <w:sz w:val="28"/>
        </w:rPr>
        <w:t xml:space="preserve">Вопрос о правовом статусе акционерной доли Югославии пока не урегулирован. Однако в ожидании всеобъемлющего урегулирования всех возникших в этой связи вопросов недавно на временной основе выпущены новые акции, предназначенные для некоторых центральных банков государств-правопреемников, которые расположены на территории бывшей Югославской Федерации. </w:t>
      </w:r>
    </w:p>
    <w:p w:rsidR="00B82893" w:rsidRDefault="00E4298B">
      <w:pPr>
        <w:pStyle w:val="10"/>
        <w:tabs>
          <w:tab w:val="left" w:pos="9639"/>
        </w:tabs>
        <w:ind w:left="-142" w:right="425"/>
        <w:jc w:val="both"/>
        <w:rPr>
          <w:sz w:val="28"/>
        </w:rPr>
      </w:pPr>
      <w:r>
        <w:rPr>
          <w:sz w:val="28"/>
        </w:rPr>
        <w:t xml:space="preserve">3. АДМИНИСТРАТИВНАЯ СТРУКТУРА БМР </w:t>
      </w:r>
    </w:p>
    <w:p w:rsidR="00B82893" w:rsidRDefault="00E4298B">
      <w:pPr>
        <w:pStyle w:val="10"/>
        <w:tabs>
          <w:tab w:val="left" w:pos="9639"/>
        </w:tabs>
        <w:ind w:left="-142" w:right="425"/>
        <w:jc w:val="both"/>
        <w:rPr>
          <w:sz w:val="28"/>
        </w:rPr>
      </w:pPr>
      <w:r>
        <w:rPr>
          <w:sz w:val="28"/>
        </w:rPr>
        <w:t xml:space="preserve">БМР имеет три административных органа: Общее собрание акционеров. Совет директоров и Правление. </w:t>
      </w:r>
    </w:p>
    <w:p w:rsidR="00B82893" w:rsidRDefault="00E4298B">
      <w:pPr>
        <w:pStyle w:val="10"/>
        <w:tabs>
          <w:tab w:val="left" w:pos="9639"/>
        </w:tabs>
        <w:ind w:left="-142" w:right="425"/>
        <w:jc w:val="both"/>
        <w:rPr>
          <w:sz w:val="28"/>
        </w:rPr>
      </w:pPr>
      <w:r>
        <w:rPr>
          <w:sz w:val="28"/>
        </w:rPr>
        <w:t xml:space="preserve">Общее собрание акционеров проводится ежегодно, обычно во второй понедельник июня. </w:t>
      </w:r>
    </w:p>
    <w:p w:rsidR="00B82893" w:rsidRDefault="00E4298B">
      <w:pPr>
        <w:pStyle w:val="10"/>
        <w:tabs>
          <w:tab w:val="left" w:pos="9639"/>
        </w:tabs>
        <w:ind w:left="-142" w:right="425"/>
        <w:jc w:val="both"/>
        <w:rPr>
          <w:sz w:val="28"/>
        </w:rPr>
      </w:pPr>
      <w:r>
        <w:rPr>
          <w:sz w:val="28"/>
        </w:rPr>
        <w:t xml:space="preserve">Совет директоров состоит из управляющих центральных банков Бельгии, Германии, Италии, Соединенного Королевства, Франции и председателя Совета управляющих Федеральной резервной системы США, выступающих в качестве официальных членов, каждый из которых назначает еще одного члена, представляющего его страну. Положения Устава также предусматривают избрание в Совет не более девяти управляющих других центральных банков-членов. В настоящее время выбранными членами Совета являются управляющие центральных банков Канады, Нидерландов, Швейцарии, Швеции и Японии. </w:t>
      </w:r>
    </w:p>
    <w:p w:rsidR="00B82893" w:rsidRDefault="00E4298B">
      <w:pPr>
        <w:pStyle w:val="10"/>
        <w:tabs>
          <w:tab w:val="left" w:pos="9639"/>
        </w:tabs>
        <w:ind w:left="-142" w:right="425"/>
        <w:jc w:val="both"/>
        <w:rPr>
          <w:sz w:val="28"/>
        </w:rPr>
      </w:pPr>
      <w:r>
        <w:rPr>
          <w:sz w:val="28"/>
        </w:rPr>
        <w:t xml:space="preserve">Совет директоров избирает из числа своих членов председателя и назначает президента банка. С 1948 г. выполнение этих двух должностей возложено на одно и то же лицо. До конца июня 1997 г. эти посты занимал президент Нидерландского банка В.Ф. Дуисенберг. После его ухода в отставку с поста президента Нидерландского банка 30 июня 1997 г. его преемником на посту председателя Совета и президента БМР стал управляющий Национальным банком Бельгии Альфонс Верплатсе. </w:t>
      </w:r>
    </w:p>
    <w:p w:rsidR="00B82893" w:rsidRDefault="00E4298B">
      <w:pPr>
        <w:pStyle w:val="10"/>
        <w:tabs>
          <w:tab w:val="left" w:pos="9639"/>
        </w:tabs>
        <w:ind w:left="-142" w:right="425"/>
        <w:jc w:val="both"/>
        <w:rPr>
          <w:sz w:val="28"/>
        </w:rPr>
      </w:pPr>
      <w:r>
        <w:rPr>
          <w:sz w:val="28"/>
        </w:rPr>
        <w:t xml:space="preserve">Совет директоров назначает генерального менеджера и других членов Правления. В настоящее время персонал Банка (включая временный) насчитывает 470 сотрудников из двадцати семи стран. </w:t>
      </w:r>
    </w:p>
    <w:p w:rsidR="00B82893" w:rsidRDefault="00E4298B">
      <w:pPr>
        <w:pStyle w:val="10"/>
        <w:tabs>
          <w:tab w:val="left" w:pos="9639"/>
        </w:tabs>
        <w:ind w:left="-142" w:right="425"/>
        <w:jc w:val="both"/>
        <w:rPr>
          <w:sz w:val="28"/>
        </w:rPr>
      </w:pPr>
      <w:r>
        <w:rPr>
          <w:sz w:val="28"/>
        </w:rPr>
        <w:t xml:space="preserve">4. БМР КАК ФОРУМ МЕЖДУНАРОДНОГО ДЕНЕЖНОКРЕДИТНОГО СОТРУДНИЧЕСТВА </w:t>
      </w:r>
    </w:p>
    <w:p w:rsidR="00B82893" w:rsidRDefault="00E4298B">
      <w:pPr>
        <w:pStyle w:val="10"/>
        <w:tabs>
          <w:tab w:val="left" w:pos="9639"/>
        </w:tabs>
        <w:ind w:left="-142" w:right="425"/>
        <w:jc w:val="both"/>
        <w:rPr>
          <w:sz w:val="28"/>
        </w:rPr>
      </w:pPr>
      <w:r>
        <w:rPr>
          <w:sz w:val="28"/>
        </w:rPr>
        <w:t xml:space="preserve">Место встречи представителей центральных банков </w:t>
      </w:r>
    </w:p>
    <w:p w:rsidR="00B82893" w:rsidRDefault="00E4298B">
      <w:pPr>
        <w:pStyle w:val="10"/>
        <w:tabs>
          <w:tab w:val="left" w:pos="9639"/>
        </w:tabs>
        <w:ind w:left="-142" w:right="425"/>
        <w:jc w:val="both"/>
        <w:rPr>
          <w:sz w:val="28"/>
        </w:rPr>
      </w:pPr>
      <w:r>
        <w:rPr>
          <w:sz w:val="28"/>
        </w:rPr>
        <w:t xml:space="preserve">Офисы Банка в Базеле - регулярное место встреч управляющих и других сотрудников не только центральных банков-акционеров, упомянутых в разделе 3, но и центральных банков многих других стран мира - как ведущих промышленно развитых стран, так и, с недавних пор, стран, вступающих на путь рыночной экономики. Цель этих встреч - достигнуть высокой степени взаимопонимания по вопросам денежно-кредитного и экономического характера, содействовать международному сотрудничеству в областях, представляющих взаимный интерес, в частности в области мониторинга и поддержки международной финансовой системы. </w:t>
      </w:r>
    </w:p>
    <w:p w:rsidR="00B82893" w:rsidRDefault="00E4298B">
      <w:pPr>
        <w:pStyle w:val="10"/>
        <w:tabs>
          <w:tab w:val="left" w:pos="9639"/>
        </w:tabs>
        <w:ind w:left="-142" w:right="425"/>
        <w:jc w:val="both"/>
        <w:rPr>
          <w:sz w:val="28"/>
        </w:rPr>
      </w:pPr>
      <w:r>
        <w:rPr>
          <w:sz w:val="28"/>
        </w:rPr>
        <w:t xml:space="preserve">Поощрение международной финансовой стабильности: роль Группы десяти Стабильность международной денежно-кредитной и финансовой системы издавна являлась одним из основных вопросов, обсуждавшихся представителями международных банков в ходе встреч в БМР. Например, в период с 1947 по 1958 г. Банк играл важную роль в разработке и осуществлении соглашений по платежам, заключенных между европейскими странами. Затем в 1960-1971 гг. и особенно в дни, когда прокатилась волна спекуляций по отношению к целому ряду валют, базельские встречи во многих случаях завершались принятием важных инициатив, которые выдвигались центральными банками. </w:t>
      </w:r>
    </w:p>
    <w:p w:rsidR="00B82893" w:rsidRDefault="00E4298B">
      <w:pPr>
        <w:pStyle w:val="10"/>
        <w:tabs>
          <w:tab w:val="left" w:pos="9639"/>
        </w:tabs>
        <w:ind w:left="-142" w:right="425"/>
        <w:jc w:val="both"/>
        <w:rPr>
          <w:sz w:val="28"/>
        </w:rPr>
      </w:pPr>
      <w:r>
        <w:rPr>
          <w:sz w:val="28"/>
        </w:rPr>
        <w:t xml:space="preserve">Общее соглашение о займах (ОСЗ) от 1962 г., в соответствии с которым десять стран - членов МВФ (совместно со Швейцарией, которая в то время не являлась членом Фонда) обязались предоставлять в распоряжение Фонда дополнительные средства сверх своих квот, способствовало тому, что страны - участницы ОСЗ стали известны как Группа десяти. В дополнение к предоставлению согласно ОСЗ ресурсов для МВФ Группа десяти с 1963 г. превратилась в один из основных форумов по обсуждению международных денежно-кредитных проблем. БМР с самого начала принимал участие во встречах Группы десяти - в первую очередь в силу того, что управляющие центральных банков Группы десяти регулярно собираются в Банке по случаю ежемесячных базельских встреч. Именно посредством таких контактов в БМР центральные банки Группы десяти в 1961-1968 гг. координировали свою политику интервенции на рынках золота, используя для этих целей так называемый золотой пул, который функционировал на основе директив, разработанных в Базеле и введенных в практику управляющими центральных банков. Кроме того, сеть соглашений по операциям "своп", которая существовала между учреждениями денежно-кредитной системы США и рядом центральных банков в целях укрепления доверия к доллару, была создана в 1962 г. именно в рамках БМР. Со временем встречи Группы десяти превратились в главный форум, на котором центральные банки "десятки" инициировали все более крупные начинания, направленные на обеспечение международной финансовой стабильности, например в области мониторинга и анализа валютно-финансового рынка, банковского надзора, платежных и расчетных систем. </w:t>
      </w:r>
    </w:p>
    <w:p w:rsidR="00B82893" w:rsidRDefault="00E4298B">
      <w:pPr>
        <w:pStyle w:val="10"/>
        <w:tabs>
          <w:tab w:val="left" w:pos="9639"/>
        </w:tabs>
        <w:ind w:left="-142" w:right="425"/>
        <w:jc w:val="both"/>
        <w:rPr>
          <w:sz w:val="28"/>
        </w:rPr>
      </w:pPr>
      <w:r>
        <w:rPr>
          <w:sz w:val="28"/>
        </w:rPr>
        <w:t xml:space="preserve">Следует, однако, отметить, что БМР все чаще становится местом встреч управляющих и других представителей центральных банков стран, которые вносят существенный вклад в дело международного денежно-кредитного сотрудничества, независимо от того, являются ли они акционерами БМР или нет. </w:t>
      </w:r>
    </w:p>
    <w:p w:rsidR="00B82893" w:rsidRDefault="00E4298B">
      <w:pPr>
        <w:pStyle w:val="10"/>
        <w:tabs>
          <w:tab w:val="left" w:pos="9639"/>
        </w:tabs>
        <w:ind w:left="-142" w:right="425"/>
        <w:jc w:val="both"/>
        <w:rPr>
          <w:sz w:val="28"/>
        </w:rPr>
      </w:pPr>
      <w:r>
        <w:rPr>
          <w:sz w:val="28"/>
        </w:rPr>
        <w:t xml:space="preserve">Растущая интернационализация финансовых рынков и стремительный прогресс в области финансовых инструментов, имевший место за последние 20 лет, также обусловили необходимость более глубокого понимания возможных системных последствий и сотрудничества между центральными банками, наиболее затронутыми этими процессами. Еще в 1971 г. по инициативе центральных банков, озабоченных возможной эволюцией рынков евровалюты, был создан Постоянный комитет центральных банков Группы десяти, который с тех пор периодически проводит свои встречи в Базеле. В зависимости от обстоятельств, заинтересованным центральным банкам время от времени приходится заниматься рассмотрением конкретных вопросов, таких, как явная нехватка на европейском рынке кредитора в последней инстанции, последствия проблемы международной задолженности, финансовые инновации, эволюция структуры финансовых рынков и сбор новой статистической информации, например о быстро прогрессирующей с недавних пор области производных финансовых инструментов. </w:t>
      </w:r>
    </w:p>
    <w:p w:rsidR="00B82893" w:rsidRDefault="00E4298B">
      <w:pPr>
        <w:pStyle w:val="10"/>
        <w:tabs>
          <w:tab w:val="left" w:pos="9639"/>
        </w:tabs>
        <w:ind w:left="-142" w:right="425"/>
        <w:jc w:val="both"/>
        <w:rPr>
          <w:sz w:val="28"/>
        </w:rPr>
      </w:pPr>
      <w:r>
        <w:rPr>
          <w:sz w:val="28"/>
        </w:rPr>
        <w:t xml:space="preserve">Работающий на более регулярной основе Комитет экспертов по золоту и валюте проводит ежемесячные встречи и отслеживает текущую ситуацию на рынках, анализируя ее последствия для политики и операционных процедур центральных банков. </w:t>
      </w:r>
    </w:p>
    <w:p w:rsidR="00B82893" w:rsidRDefault="00E4298B">
      <w:pPr>
        <w:pStyle w:val="10"/>
        <w:tabs>
          <w:tab w:val="left" w:pos="9639"/>
        </w:tabs>
        <w:ind w:left="-142" w:right="425"/>
        <w:jc w:val="both"/>
        <w:rPr>
          <w:sz w:val="28"/>
        </w:rPr>
      </w:pPr>
      <w:r>
        <w:rPr>
          <w:sz w:val="28"/>
        </w:rPr>
        <w:t xml:space="preserve">Другой важной инициативой явилось принятое в декабре 1974 г. решение управляющих центральных банков Группы десяти о создании комитета по усовершенствованию сотрудничества между банковскими надзорными органами в свете опыта, связанного с имевшими место в начале этого года банкротствами германского "Банкхаус Герштатт" и Франклинского национального банка в Нью-Йорке. Деятельность Базельского комитета по банковскому надзору, который обслуживается секретариатом, предоставленным Банком международных расчетов, охватывает три основные области. Во-первых, Комитет служит форумом для обсуждения конкретных проблем банковского надзора. Во-вторых, он координирует распределение обязанностей между национальными надзорными ведомствами по отношению к зарубежным учреждениям банков в целях обеспечения эффективного надзора за деятельностью банков по всему миру. Доклад Комитета по этому вопросу (известный как Базельский конкордат) был опубликован в 1983 г., а в 1992 г. Комитет усилил ранее принятые им положения, разработав минимальные стандарты по надзору за деятельностью международных банковских групп и их зарубежных учреждений. В-третьих, он стремится к упрочению стандартов в области надзора, особенно по вопросу о платежеспособности, что направлено на укрепление надежности и стабильности международного банковского дела. В этих целях он в 1988 г. подготовил соглашение о сближении международных оценок достаточности собственного капитала банков и о минимальных стандартах, которые должны применяться ведущими международными банками с конца 1992 г. Комитет опубликовал также ряд материалов, призванных помочь всем банковским надзорным органам в разработке обоснованных стандартов надзора. Совсем недавно выдвинуты предложения по расширению требований, предъявляемых к капиталу банка на случай рыночного риска, новаторские по своей сути, поскольку они предусматривают использование моделей управления риском, разработанных самими банками. </w:t>
      </w:r>
    </w:p>
    <w:p w:rsidR="00B82893" w:rsidRDefault="00E4298B">
      <w:pPr>
        <w:pStyle w:val="10"/>
        <w:tabs>
          <w:tab w:val="left" w:pos="9639"/>
        </w:tabs>
        <w:ind w:left="-142" w:right="425"/>
        <w:jc w:val="both"/>
        <w:rPr>
          <w:sz w:val="28"/>
        </w:rPr>
      </w:pPr>
      <w:r>
        <w:rPr>
          <w:sz w:val="28"/>
        </w:rPr>
        <w:t xml:space="preserve">Одной из основных задач, стоящих перед центральными банками, является обеспечение эффективности и стабильности систем внутренних и международных платежей и расчетов. </w:t>
      </w:r>
    </w:p>
    <w:p w:rsidR="00B82893" w:rsidRDefault="00E4298B">
      <w:pPr>
        <w:pStyle w:val="10"/>
        <w:tabs>
          <w:tab w:val="left" w:pos="9639"/>
        </w:tabs>
        <w:ind w:left="-142" w:right="425"/>
        <w:jc w:val="both"/>
        <w:rPr>
          <w:sz w:val="28"/>
        </w:rPr>
      </w:pPr>
      <w:r>
        <w:rPr>
          <w:sz w:val="28"/>
        </w:rPr>
        <w:t xml:space="preserve">БМР организует у себя встречи Комитета по системам платежей и расчетов, заседания его рабочих групп, равно как обеспечивает Комитету необходимый для работы секретариат. Упомянутый Комитет анализирует состояние систем платежей и расчетов, включая область ценных бумаг и операции на международном валютном рынке. Он также отслеживает деятельность, связанную с международными и многосторонними неттинговыми схемами. Такая практика сложилась после опубликования в 1990 г. доклада специального Комитета по межбанковским неттинговым схемам. </w:t>
      </w:r>
    </w:p>
    <w:p w:rsidR="00B82893" w:rsidRDefault="00E4298B">
      <w:pPr>
        <w:pStyle w:val="10"/>
        <w:tabs>
          <w:tab w:val="left" w:pos="9639"/>
        </w:tabs>
        <w:ind w:left="-142" w:right="425"/>
        <w:jc w:val="both"/>
        <w:rPr>
          <w:sz w:val="28"/>
        </w:rPr>
      </w:pPr>
      <w:r>
        <w:rPr>
          <w:sz w:val="28"/>
        </w:rPr>
        <w:t xml:space="preserve">Другие сферы сотрудничества между БМР и центральными банками По мере активизации сотрудничества между центральными банками в других частях мира, которое осуществляется в рамках региональных политических ассоциаций или специализированных организаций центральных банков, БМР поддерживал контакты с большинством этих учреждений, в частности в Латинской, Америке - с СЕМЛА (Центр денежно-кредитных исследований Латинской Америки), в Азии - с ЕМЕАП (Исполнительный комитет центральных банков стран Восточной Азии и Тихоокеанского региона), с СЕАНЗА (Центральные банки Юго-Восточной Азии, Новой Зеландии и Австралии), СЕАСЕН (Центральные банки Юго-Восточной Азии), в Южной Азии с СААРК (Ассоциация регионального сотрудничества Южной Азии), в районе Персидского залива - с ГСС (Совет сотрудничества стран Залива) и в Южной Африке - с САДС (Южноафриканское сообщество по вопросам развития). БМР содействует деятельности этих организаций, равно как проводит совместные семинары с некоторыми из них. </w:t>
      </w:r>
    </w:p>
    <w:p w:rsidR="00B82893" w:rsidRDefault="00E4298B">
      <w:pPr>
        <w:pStyle w:val="10"/>
        <w:tabs>
          <w:tab w:val="left" w:pos="9639"/>
        </w:tabs>
        <w:ind w:left="-142" w:right="425"/>
        <w:jc w:val="both"/>
        <w:rPr>
          <w:sz w:val="28"/>
        </w:rPr>
      </w:pPr>
      <w:r>
        <w:rPr>
          <w:sz w:val="28"/>
        </w:rPr>
        <w:t xml:space="preserve">БМР задействован в области предоставления технического содействия центральным банкам стран Восточной Европы, бывшего Советского Союза и ряда стран Азии, находящихся в переходном периоде, координирует техническое содействие и обучение, предоставляемое центральными банками 20-ти с лишним промышленно развитых стран. Эта координация осуществляется на основе созданной базы данных и регулярных встреч представителей центральных банков - доноров и получателей содействия. Международного валютного фонда (МВФ) и других международных организаций. Кроме того. Банк между народных расчетов совместно с ЕБРР, МБРР, МВФ и ОЭСР участвует в деятельности учреждения, конкретно занятого обучением персонала (Объединенный Венский Институт), созданного ими в сентябре 1992 г. На курсах ОВИ обучаются сотрудники центральных банков, экономических и финансовых ведомств стран, где ранее практиковалась плановая экономика. </w:t>
      </w:r>
    </w:p>
    <w:p w:rsidR="00B82893" w:rsidRDefault="00E4298B">
      <w:pPr>
        <w:pStyle w:val="10"/>
        <w:tabs>
          <w:tab w:val="left" w:pos="9639"/>
        </w:tabs>
        <w:ind w:left="-142" w:right="425"/>
        <w:jc w:val="both"/>
        <w:rPr>
          <w:sz w:val="28"/>
        </w:rPr>
      </w:pPr>
      <w:r>
        <w:rPr>
          <w:sz w:val="28"/>
        </w:rPr>
        <w:t xml:space="preserve">БМР регулярно организует встречи экономистов и других экспертов центральных банков, посвященные экономическим и денежно-кредитным аспектам, представляющим интерес для центральных банков (например, технические методы и операционные процедуры денежно-кредитной политики, неттинговые операции). Проводятся встречи экспертов центральных банков и по более специализированным темам, таким, как управление банком данных, безопасность, автоматизация, внутренние процедуры управления банком, сбор международной банковской статистики и конкретные правовые вопросы, интересующие центральные банки. </w:t>
      </w:r>
    </w:p>
    <w:p w:rsidR="00B82893" w:rsidRDefault="00E4298B">
      <w:pPr>
        <w:pStyle w:val="10"/>
        <w:tabs>
          <w:tab w:val="left" w:pos="9639"/>
        </w:tabs>
        <w:ind w:left="-142" w:right="425"/>
        <w:jc w:val="both"/>
        <w:rPr>
          <w:sz w:val="28"/>
        </w:rPr>
      </w:pPr>
      <w:r>
        <w:rPr>
          <w:sz w:val="28"/>
        </w:rPr>
        <w:t xml:space="preserve">ЭКОНОМИЧЕСКОЕ И ВАЛЮТНОЕ СОТРУДНИЧЕСТВО В ЕВРОПЕ </w:t>
      </w:r>
    </w:p>
    <w:p w:rsidR="00B82893" w:rsidRDefault="00E4298B">
      <w:pPr>
        <w:pStyle w:val="10"/>
        <w:tabs>
          <w:tab w:val="left" w:pos="9639"/>
        </w:tabs>
        <w:ind w:left="-142" w:right="425"/>
        <w:jc w:val="both"/>
        <w:rPr>
          <w:sz w:val="28"/>
        </w:rPr>
      </w:pPr>
      <w:r>
        <w:rPr>
          <w:sz w:val="28"/>
        </w:rPr>
        <w:t xml:space="preserve">С 1964 г. до конца 1993 г. в БМР размещался секретариат Комитета управляющих центральных банков государств - членов Европейского экономического сообщества (Комитет управляющих). С 1 июня 1973 г. до конца 1993 г. секретариат этого Комитета обслуживал также и Совет управляющих Европейского фонда валютного сотрудничества (ЕФВС), а БМР выполнял роль агента этого фонда. До замещения их 1 января 1994 г. Европейским валютным институтом (ЕВИ) Комитет управляющих и ЕФВС являлись органами сообщества, обеспечивающими институционную структуру денежно-кредитного сотрудничества в рамках Европейского сообщества. </w:t>
      </w:r>
    </w:p>
    <w:p w:rsidR="00B82893" w:rsidRDefault="00E4298B">
      <w:pPr>
        <w:pStyle w:val="10"/>
        <w:tabs>
          <w:tab w:val="left" w:pos="9639"/>
        </w:tabs>
        <w:ind w:left="-142" w:right="425"/>
        <w:jc w:val="both"/>
        <w:rPr>
          <w:sz w:val="28"/>
        </w:rPr>
      </w:pPr>
      <w:r>
        <w:rPr>
          <w:sz w:val="28"/>
        </w:rPr>
        <w:t xml:space="preserve">5. БМР КАК ЦЕНТР МОНЕТАРНЫХ И ЭКОНОМИЧЕСКИХ ИССЛЕДОВАНИЙ </w:t>
      </w:r>
    </w:p>
    <w:p w:rsidR="00B82893" w:rsidRDefault="00E4298B">
      <w:pPr>
        <w:pStyle w:val="10"/>
        <w:tabs>
          <w:tab w:val="left" w:pos="9639"/>
        </w:tabs>
        <w:ind w:left="-142" w:right="425"/>
        <w:jc w:val="both"/>
        <w:rPr>
          <w:sz w:val="28"/>
        </w:rPr>
      </w:pPr>
      <w:r>
        <w:rPr>
          <w:sz w:val="28"/>
        </w:rPr>
        <w:t xml:space="preserve">Кроме конкретных задач, которые выполняют БМР, различные комитеты и группы экспертов (о чем шла речь в разделе 5), Денежнокредитный и экономический департамент Банка ведет научные исследования, особенно по монетарным и финансовым проблемам; собирает и публикует информацию о положении на международном рынке банковских и финансовых услуг; отвечает за межбанковскую базу данных, автоматизированный доступ к которой имеют участвующие в ней центральные банки. </w:t>
      </w:r>
    </w:p>
    <w:p w:rsidR="00B82893" w:rsidRDefault="00E4298B">
      <w:pPr>
        <w:pStyle w:val="10"/>
        <w:tabs>
          <w:tab w:val="left" w:pos="9639"/>
        </w:tabs>
        <w:ind w:left="-142" w:right="425"/>
        <w:jc w:val="both"/>
        <w:rPr>
          <w:sz w:val="28"/>
        </w:rPr>
      </w:pPr>
      <w:r>
        <w:rPr>
          <w:sz w:val="28"/>
        </w:rPr>
        <w:t xml:space="preserve">Исследовательская работа БМР в основном ведется по вопросам, представляющим непосредственный интерес для центральных банков, и поэтому носит прикладной характер. Исследования и аналитические материалы БМР по экономической тематике публикуются в различных Экономических записках. Рабочих документах и Политических разработках, издаваемых БМР. В значительной степени эта работа прямо или косвенно находит отражение в широких по охвату обзорах международного экономического и финансового положения, которые публикуются в издаваемом Банком "Ежегоднике" - пожалуй, наиболее известном широкой публике издании БМР. </w:t>
      </w:r>
    </w:p>
    <w:p w:rsidR="00B82893" w:rsidRDefault="00E4298B">
      <w:pPr>
        <w:pStyle w:val="10"/>
        <w:tabs>
          <w:tab w:val="left" w:pos="9639"/>
        </w:tabs>
        <w:ind w:left="-142" w:right="425"/>
        <w:jc w:val="both"/>
        <w:rPr>
          <w:sz w:val="28"/>
        </w:rPr>
      </w:pPr>
      <w:r>
        <w:rPr>
          <w:sz w:val="28"/>
        </w:rPr>
        <w:t xml:space="preserve">По просьбе центральных банков БМР также собирает и анализирует данные о процессах, происходящих на международных рынках банковских услуг и ценных бумаг. Международная банковская статистика, на долю которой приходится основной объем собираемой информации, помогает пролить свет на постоянно возрастающую международную деятельность банков и на проблему международной задолженности стран. Недавно эти данные были адаптированы для нужд подготовки более точной статистической информации о национальном платежном балансе. Кроме того, Банку поручено создать базы данных по международным рынкам долговых бумаг, равно как по производным финансовым инструментам, обращающимся на фондовой бирже и на внебиржевом рынке. Наконец, Банк располагает базой данных по результатам трехгодичного обзора деятельности центральных банков на внешнем валютном рынке, который был расширен в 1995 г. и теперь содержит в себе исчерпывающую информацию о рынках производных финансовых инструментов. </w:t>
      </w:r>
    </w:p>
    <w:p w:rsidR="00B82893" w:rsidRDefault="00E4298B">
      <w:pPr>
        <w:pStyle w:val="10"/>
        <w:tabs>
          <w:tab w:val="left" w:pos="9639"/>
        </w:tabs>
        <w:ind w:left="-142" w:right="425"/>
        <w:jc w:val="both"/>
        <w:rPr>
          <w:sz w:val="28"/>
        </w:rPr>
      </w:pPr>
      <w:r>
        <w:rPr>
          <w:sz w:val="28"/>
        </w:rPr>
        <w:t xml:space="preserve">Банк регулярно публикует большинство этих данных в своем ежеквартальнике "События на международных банковских и финансовых рынках", где подробно рассматриваются события, имевшие место на этом рынке. Некоторые статистические данные публикуются в "Ежегодном докладе БМР", одна из глав которого посвящена анализу тенденций международного финансового рынка. Дважды в год публикуется информация по срокам погашения, внешних активов банков, также сопровождаемая комментарием. Кроме того, БМР предоставляет данные по банковским ссудам для совместных с ОЭСР публикаций по внешней задолженности. Наконец, БМР издает отдельный доклад, содержащий результаты трехгодичного Обзора деятельности центральных банков на рынке иностранной валюты и производных финансовых инструментов. </w:t>
      </w:r>
    </w:p>
    <w:p w:rsidR="00B82893" w:rsidRDefault="00E4298B">
      <w:pPr>
        <w:pStyle w:val="10"/>
        <w:tabs>
          <w:tab w:val="left" w:pos="9639"/>
        </w:tabs>
        <w:ind w:left="-142" w:right="425"/>
        <w:jc w:val="both"/>
        <w:rPr>
          <w:sz w:val="28"/>
        </w:rPr>
      </w:pPr>
      <w:r>
        <w:rPr>
          <w:sz w:val="28"/>
        </w:rPr>
        <w:t xml:space="preserve">Информацию о БМР, а также как все возрастающее число его публикаций можно получить по World Wide Web (http://www.bis.org). </w:t>
      </w:r>
    </w:p>
    <w:p w:rsidR="00B82893" w:rsidRDefault="00E4298B">
      <w:pPr>
        <w:pStyle w:val="10"/>
        <w:tabs>
          <w:tab w:val="left" w:pos="9639"/>
        </w:tabs>
        <w:ind w:left="-142" w:right="425"/>
        <w:jc w:val="both"/>
        <w:rPr>
          <w:sz w:val="28"/>
        </w:rPr>
      </w:pPr>
      <w:r>
        <w:rPr>
          <w:sz w:val="28"/>
        </w:rPr>
        <w:t xml:space="preserve">6. БАНКОВСКИЕ ФУНКЦИИ БМР </w:t>
      </w:r>
    </w:p>
    <w:p w:rsidR="00B82893" w:rsidRDefault="00E4298B">
      <w:pPr>
        <w:pStyle w:val="10"/>
        <w:tabs>
          <w:tab w:val="left" w:pos="9639"/>
        </w:tabs>
        <w:ind w:left="-142" w:right="425"/>
        <w:jc w:val="both"/>
        <w:rPr>
          <w:sz w:val="28"/>
        </w:rPr>
      </w:pPr>
      <w:r>
        <w:rPr>
          <w:sz w:val="28"/>
        </w:rPr>
        <w:t xml:space="preserve">Баланс БМР </w:t>
      </w:r>
    </w:p>
    <w:p w:rsidR="00B82893" w:rsidRDefault="00E4298B">
      <w:pPr>
        <w:pStyle w:val="10"/>
        <w:tabs>
          <w:tab w:val="left" w:pos="9639"/>
        </w:tabs>
        <w:ind w:left="-142" w:right="425"/>
        <w:jc w:val="both"/>
        <w:rPr>
          <w:sz w:val="28"/>
        </w:rPr>
      </w:pPr>
      <w:r>
        <w:rPr>
          <w:sz w:val="28"/>
        </w:rPr>
        <w:t xml:space="preserve">По состоянию на 31 марта 1997 г. общая сумма баланса составила 66,8 млрд. золотых франков, из которых собственными фондами банка (капитал и резервы) являются 2,4 млрд. золотых франков. С учетом рыночной цены на золото в тот момент в долларовом выражении это составляет соответственно $135,6 млрд. и $5,5 млрд. </w:t>
      </w:r>
    </w:p>
    <w:p w:rsidR="00B82893" w:rsidRDefault="00E4298B">
      <w:pPr>
        <w:pStyle w:val="10"/>
        <w:tabs>
          <w:tab w:val="left" w:pos="9639"/>
        </w:tabs>
        <w:ind w:left="-142" w:right="425"/>
        <w:jc w:val="both"/>
        <w:rPr>
          <w:sz w:val="28"/>
        </w:rPr>
      </w:pPr>
      <w:r>
        <w:rPr>
          <w:sz w:val="28"/>
        </w:rPr>
        <w:t xml:space="preserve">Банковские операции </w:t>
      </w:r>
    </w:p>
    <w:p w:rsidR="00B82893" w:rsidRDefault="00E4298B">
      <w:pPr>
        <w:pStyle w:val="10"/>
        <w:tabs>
          <w:tab w:val="left" w:pos="9639"/>
        </w:tabs>
        <w:ind w:left="-142" w:right="425"/>
        <w:jc w:val="both"/>
        <w:rPr>
          <w:sz w:val="28"/>
        </w:rPr>
      </w:pPr>
      <w:r>
        <w:rPr>
          <w:sz w:val="28"/>
        </w:rPr>
        <w:t xml:space="preserve">Департамент банковских услуг БМР выполняет широкую гамму банковских операций, которые связаны с функциями банка по предоставлению финансовых услуг, направленных на оказание содействия центральным банкам в управлении их валютными резервами. В настоящее время около 120 центральных банков и международных финансовых учреждений многих стран мира размещают свои депозиты в БМР. Общая сумма размещенных в БМР валютных депозитов на конец марта 1997 г. составляла около $113,1 млрд., т.е. примерно 7% мировых валютных запасов. </w:t>
      </w:r>
    </w:p>
    <w:p w:rsidR="00B82893" w:rsidRDefault="00E4298B">
      <w:pPr>
        <w:pStyle w:val="10"/>
        <w:tabs>
          <w:tab w:val="left" w:pos="9639"/>
        </w:tabs>
        <w:ind w:left="-142" w:right="425"/>
        <w:jc w:val="both"/>
        <w:rPr>
          <w:sz w:val="28"/>
        </w:rPr>
      </w:pPr>
      <w:r>
        <w:rPr>
          <w:sz w:val="28"/>
        </w:rPr>
        <w:t xml:space="preserve">Внушительные размеры суммы, находящейся на балансе банка, отражают важность его функций в качестве банкира центральных банков. В связи с тем, что существенная доля резервных активов центральных банков, размещенных в виде депозитов в Банке международных расчетов, может потребоваться им в достаточно сжатые сроки, операции БМР с этими ресурсами ставят себе целью обеспечить высокий уровень ликвидности. Основная часть этих фондов размещается на рынке главным образов в форме инвестиций, в солидных коммерческих банках или идет на покупку краткосрочных государственных ценных бумаг. Хотя эти операции составляют сегодня основную долю банковских услуг, предоставляемых БМР, он также осуществляет от имени своих клиентов целый ряд операций с золотом и валютой. </w:t>
      </w:r>
    </w:p>
    <w:p w:rsidR="00B82893" w:rsidRDefault="00E4298B">
      <w:pPr>
        <w:pStyle w:val="10"/>
        <w:tabs>
          <w:tab w:val="left" w:pos="9639"/>
        </w:tabs>
        <w:ind w:left="-142" w:right="425"/>
        <w:jc w:val="both"/>
        <w:rPr>
          <w:sz w:val="28"/>
        </w:rPr>
      </w:pPr>
      <w:r>
        <w:rPr>
          <w:sz w:val="28"/>
        </w:rPr>
        <w:t xml:space="preserve">Основной принцип, которого обязан придерживаться БМР в своих банковских операциях, изложен в ст. 19 его Устава: "Операции банка должны соответствовать монетарной политике центральных банков соответствующих стран". Банку не разрешено выдавать кредиты правительствам или открывать им текущие счета. </w:t>
      </w:r>
    </w:p>
    <w:p w:rsidR="00B82893" w:rsidRDefault="00E4298B">
      <w:pPr>
        <w:pStyle w:val="10"/>
        <w:tabs>
          <w:tab w:val="left" w:pos="9639"/>
        </w:tabs>
        <w:ind w:left="-142" w:right="425"/>
        <w:jc w:val="both"/>
        <w:rPr>
          <w:sz w:val="28"/>
        </w:rPr>
      </w:pPr>
      <w:r>
        <w:rPr>
          <w:sz w:val="28"/>
        </w:rPr>
        <w:t xml:space="preserve">Инвестиционные услуги центральным банкам </w:t>
      </w:r>
    </w:p>
    <w:p w:rsidR="00B82893" w:rsidRDefault="00E4298B">
      <w:pPr>
        <w:pStyle w:val="10"/>
        <w:tabs>
          <w:tab w:val="left" w:pos="9639"/>
        </w:tabs>
        <w:ind w:left="-142" w:right="425"/>
        <w:jc w:val="both"/>
        <w:rPr>
          <w:sz w:val="28"/>
        </w:rPr>
      </w:pPr>
      <w:r>
        <w:rPr>
          <w:sz w:val="28"/>
        </w:rPr>
        <w:t xml:space="preserve">В последние годы банк расширил круг инвестиционных услуг, которые он предлагает центральным банкам: новые инструменты, разработанные БМР, позволяют центральным банкам более эффективно управлять своими ликвидными средствами. В то же время, помогая управлять им долгосрочными резервами, Банк предлагает индивидуально разработанные для них схемы оптимального размещения портфеля ценных бумаг. </w:t>
      </w:r>
    </w:p>
    <w:p w:rsidR="00B82893" w:rsidRDefault="00E4298B">
      <w:pPr>
        <w:pStyle w:val="10"/>
        <w:tabs>
          <w:tab w:val="left" w:pos="9639"/>
        </w:tabs>
        <w:ind w:left="-142" w:right="425"/>
        <w:jc w:val="both"/>
        <w:rPr>
          <w:sz w:val="28"/>
        </w:rPr>
      </w:pPr>
      <w:r>
        <w:rPr>
          <w:sz w:val="28"/>
        </w:rPr>
        <w:t xml:space="preserve">Услуги, предоставляемые центральным банкам, и "промежуточное" финансирование </w:t>
      </w:r>
    </w:p>
    <w:p w:rsidR="00B82893" w:rsidRDefault="00E4298B">
      <w:pPr>
        <w:pStyle w:val="10"/>
        <w:tabs>
          <w:tab w:val="left" w:pos="9639"/>
        </w:tabs>
        <w:ind w:left="-142" w:right="425"/>
        <w:jc w:val="both"/>
        <w:rPr>
          <w:sz w:val="28"/>
        </w:rPr>
      </w:pPr>
      <w:r>
        <w:rPr>
          <w:sz w:val="28"/>
        </w:rPr>
        <w:t xml:space="preserve">Помимо размещения фондов на международных рынках, БМР иногда предоставляет центральным банкам и ликвидные средства. Обычно речь идет об обеспеченных кредитах, гарантированных золотом или хранящимися в БМР валютными депозитами, хотя иногда это могут быть и необеспеченные кредиты, например в виде резервного кредита, который может быть использован центральными банками в очень сжатые сроки. </w:t>
      </w:r>
    </w:p>
    <w:p w:rsidR="00B82893" w:rsidRDefault="00E4298B">
      <w:pPr>
        <w:pStyle w:val="10"/>
        <w:tabs>
          <w:tab w:val="left" w:pos="9639"/>
        </w:tabs>
        <w:ind w:left="-142" w:right="425"/>
        <w:jc w:val="both"/>
        <w:rPr>
          <w:sz w:val="28"/>
        </w:rPr>
      </w:pPr>
      <w:r>
        <w:rPr>
          <w:sz w:val="28"/>
        </w:rPr>
        <w:t xml:space="preserve">Еще одно направление в кредитной деятельности банка возникло в 1982 г., когда резко обострился кризис задолженности, создавший потенциальную угрозу стабильности международной финансовой системы. По просьбе ведущих центральных банков и при их поддержке (в форме гарантии) БМР с тех пор содействовал в предоставлении промежуточного финансирования целому ряду центральных банков, в основном в Латинской Америке и Восточной Европе. Это делается в ожидании выплаты кредитов, предоставленных такими международными организациями, как МВФ, МБРР или ЕЭС, и обусловленных рядом обязательств в отношении будущей экономической политики стран. </w:t>
      </w:r>
    </w:p>
    <w:p w:rsidR="00B82893" w:rsidRDefault="00E4298B">
      <w:pPr>
        <w:pStyle w:val="10"/>
        <w:tabs>
          <w:tab w:val="left" w:pos="9639"/>
        </w:tabs>
        <w:ind w:left="-142" w:right="425"/>
        <w:jc w:val="both"/>
        <w:rPr>
          <w:sz w:val="28"/>
        </w:rPr>
      </w:pPr>
      <w:r>
        <w:rPr>
          <w:sz w:val="28"/>
        </w:rPr>
        <w:t xml:space="preserve">7. ПОСРЕДНИЧЕСКИЕ И ДОВЕРИТЕЛЬНЫЕ ФУНКЦИИ БМР </w:t>
      </w:r>
    </w:p>
    <w:p w:rsidR="00B82893" w:rsidRDefault="00E4298B">
      <w:pPr>
        <w:pStyle w:val="10"/>
        <w:tabs>
          <w:tab w:val="left" w:pos="9639"/>
        </w:tabs>
        <w:ind w:left="-142" w:right="425"/>
        <w:jc w:val="both"/>
        <w:rPr>
          <w:sz w:val="28"/>
        </w:rPr>
      </w:pPr>
      <w:r>
        <w:rPr>
          <w:sz w:val="28"/>
        </w:rPr>
        <w:t xml:space="preserve">В ряде областей БМР содействует выполнению международных финансовых соглашений, предоставляя с этой целью посреднические и доверительные услуги. </w:t>
      </w:r>
    </w:p>
    <w:p w:rsidR="00B82893" w:rsidRDefault="00E4298B">
      <w:pPr>
        <w:pStyle w:val="10"/>
        <w:tabs>
          <w:tab w:val="left" w:pos="9639"/>
        </w:tabs>
        <w:ind w:left="-142" w:right="425"/>
        <w:jc w:val="both"/>
        <w:rPr>
          <w:sz w:val="28"/>
        </w:rPr>
      </w:pPr>
      <w:r>
        <w:rPr>
          <w:sz w:val="28"/>
        </w:rPr>
        <w:t xml:space="preserve">Международные соглашения о займах </w:t>
      </w:r>
    </w:p>
    <w:p w:rsidR="00B82893" w:rsidRDefault="00E4298B">
      <w:pPr>
        <w:pStyle w:val="10"/>
        <w:tabs>
          <w:tab w:val="left" w:pos="9639"/>
        </w:tabs>
        <w:ind w:left="-142" w:right="425"/>
        <w:jc w:val="both"/>
        <w:rPr>
          <w:sz w:val="28"/>
        </w:rPr>
      </w:pPr>
      <w:r>
        <w:rPr>
          <w:sz w:val="28"/>
        </w:rPr>
        <w:t xml:space="preserve">В прошлом БМР выполнял различные функции в качестве доверителя, фискального агента или банка-депозитария по целому ряду международных соглашений о займах, таких, как займы Дауэса и Юнга, выпущенные правительством Германии в 1924 и 1930 гг. соответственно, и гарантированные займы Европейского объединения угля и стали, предоставлявшиеся с 1952 г. Вскоре после объединения Германии ФРГ выпустила новую серию долгосрочных облигаций в связи с просроченными выплатами по займам Дауэса и Юнга. </w:t>
      </w:r>
    </w:p>
    <w:p w:rsidR="00B82893" w:rsidRDefault="00E4298B">
      <w:pPr>
        <w:pStyle w:val="10"/>
        <w:tabs>
          <w:tab w:val="left" w:pos="9639"/>
        </w:tabs>
        <w:ind w:left="-142" w:right="425"/>
        <w:jc w:val="both"/>
        <w:rPr>
          <w:sz w:val="28"/>
        </w:rPr>
      </w:pPr>
      <w:r>
        <w:rPr>
          <w:sz w:val="28"/>
        </w:rPr>
        <w:t xml:space="preserve">Прежние функции БМР, осуществлявшиеся для ЕПС, ЕВС, ОЭСР, ЕФВС и ЕВИ </w:t>
      </w:r>
    </w:p>
    <w:p w:rsidR="00B82893" w:rsidRDefault="00E4298B">
      <w:pPr>
        <w:pStyle w:val="10"/>
        <w:tabs>
          <w:tab w:val="left" w:pos="9639"/>
        </w:tabs>
        <w:ind w:left="-142" w:right="425"/>
        <w:jc w:val="both"/>
        <w:rPr>
          <w:sz w:val="28"/>
        </w:rPr>
      </w:pPr>
      <w:r>
        <w:rPr>
          <w:sz w:val="28"/>
        </w:rPr>
        <w:t xml:space="preserve">Одной из функций, в настоящее время утратившей свое значение, хотя ее влияние и сохранилось в различных формах валютного сотрудничества, является функция, которую Банк выполнял в рамках Европейского платежного союза (1950-1958 гг.), а до него в рамках соглашений 1947-1950 гг. о многосторонних расчетах. В конце 1958 г., когда европейские валюты перешли на полную конвертируемость, на смену Европейскому платежному союзу пришло Европейское валютное соглашение (ЕВС), которое являлось многосторонней системой расчетов, и вплоть до истечения его срока действия в 1972 г. на Банк была возложена ответственность за выполнение всех финансовых операций, связанных с этим соглашением. Затем Банк выступал в качестве агента по реализации Соглашения ОЭСР о валютных гарантиях, заключенного вместо ЕВС и действовавшего до конца 1978 г. </w:t>
      </w:r>
    </w:p>
    <w:p w:rsidR="00B82893" w:rsidRDefault="00E4298B">
      <w:pPr>
        <w:pStyle w:val="10"/>
        <w:tabs>
          <w:tab w:val="left" w:pos="9639"/>
        </w:tabs>
        <w:ind w:left="-142" w:right="425"/>
        <w:jc w:val="both"/>
        <w:rPr>
          <w:sz w:val="28"/>
        </w:rPr>
      </w:pPr>
      <w:r>
        <w:rPr>
          <w:sz w:val="28"/>
        </w:rPr>
        <w:t xml:space="preserve">С июня 1973 г. по конец 1993 г. БМР выступал в качестве агента Европейского фонда валютного сотрудничества (ЕФВС). 1 января 1994 г. ЕФВС был распущен и в соответствии с договором о Европейском союзе, принятым 1 декабря 1991 г. в Маастрихте, ранее выполнявшиеся этим фондом функции перешли к Европейскому валютному институту (ЕВИ). </w:t>
      </w:r>
    </w:p>
    <w:p w:rsidR="00B82893" w:rsidRDefault="00E4298B">
      <w:pPr>
        <w:pStyle w:val="10"/>
        <w:tabs>
          <w:tab w:val="left" w:pos="9639"/>
        </w:tabs>
        <w:ind w:left="-142" w:right="425"/>
        <w:jc w:val="both"/>
        <w:rPr>
          <w:sz w:val="28"/>
        </w:rPr>
      </w:pPr>
      <w:r>
        <w:rPr>
          <w:sz w:val="28"/>
        </w:rPr>
        <w:t xml:space="preserve">Функции, связанные с деятельностью БАЭ С октября 1986 г. БМР выступает в роли агента частной системы клиринговых платежей и расчетов в ЭКЮ, что соответствует условиям целого ряда соглашений, заключенных между Банковской ассоциацией ЭКЮ (БАЭ, Париж) и БМР. Последнее из них было подписано и вступило в силу 16 сентября 1996 г. </w:t>
      </w:r>
    </w:p>
    <w:p w:rsidR="00B82893" w:rsidRDefault="00E4298B">
      <w:pPr>
        <w:pStyle w:val="10"/>
        <w:tabs>
          <w:tab w:val="left" w:pos="9639"/>
        </w:tabs>
        <w:ind w:left="-142" w:right="425"/>
        <w:jc w:val="both"/>
        <w:rPr>
          <w:sz w:val="28"/>
        </w:rPr>
      </w:pPr>
      <w:r>
        <w:rPr>
          <w:sz w:val="28"/>
        </w:rPr>
        <w:t xml:space="preserve">По состоянию на начало мая 1997 г. насчитывалось 49 коммерческих банков, получивших статус клирингового банка при БАЭ и участвующих в системе клиринговых платежей и расчетов в ЭКЮ. </w:t>
      </w:r>
    </w:p>
    <w:p w:rsidR="00B82893" w:rsidRDefault="00E4298B">
      <w:pPr>
        <w:pStyle w:val="10"/>
        <w:tabs>
          <w:tab w:val="left" w:pos="9639"/>
        </w:tabs>
        <w:ind w:left="-142" w:right="425"/>
        <w:jc w:val="both"/>
        <w:rPr>
          <w:sz w:val="28"/>
        </w:rPr>
      </w:pPr>
      <w:r>
        <w:rPr>
          <w:sz w:val="28"/>
        </w:rPr>
        <w:t xml:space="preserve">Функции агента по обеспечению долга </w:t>
      </w:r>
    </w:p>
    <w:p w:rsidR="00B82893" w:rsidRDefault="00E4298B">
      <w:pPr>
        <w:pStyle w:val="10"/>
        <w:tabs>
          <w:tab w:val="left" w:pos="9639"/>
        </w:tabs>
        <w:ind w:left="-142" w:right="425"/>
        <w:jc w:val="both"/>
        <w:rPr>
          <w:sz w:val="28"/>
        </w:rPr>
      </w:pPr>
      <w:r>
        <w:rPr>
          <w:sz w:val="28"/>
        </w:rPr>
        <w:t xml:space="preserve">В апреле 1994 г. в связи с имевшим место пересмотром сроков погашения внешней задолженности Бразилии, на который последняя согласилась в ноябре 1993 г., БМР взял на себя новые функции. В соответствии с двумя соглашениями о дополнительном обеспечении БМР выступает в качестве агента, наделенного правом держать и инвестировать обеспечение в интересах держателей ряда облигаций в долларах США со сроком погашения в 15 или 30 лет, выпущенных Бразилией в рамках договоренностей об изменении графика выплат ее внешнего долга. </w:t>
      </w:r>
    </w:p>
    <w:p w:rsidR="00B82893" w:rsidRDefault="00E4298B">
      <w:pPr>
        <w:pStyle w:val="10"/>
        <w:tabs>
          <w:tab w:val="left" w:pos="9639"/>
        </w:tabs>
        <w:ind w:left="-142" w:right="425"/>
        <w:jc w:val="both"/>
        <w:rPr>
          <w:sz w:val="28"/>
        </w:rPr>
      </w:pPr>
      <w:r>
        <w:rPr>
          <w:sz w:val="28"/>
        </w:rPr>
        <w:t xml:space="preserve">Начиная с марта 1997 г., БМР взял на себя аналогичные функции в связи с пересмотром сроков внешней задолженности Перу, решение о котором было принято в ноябре 1996 г. До мая 1997 г. в рамках этих мер БМР выступил также в роли агента залогового счета. </w:t>
      </w:r>
    </w:p>
    <w:p w:rsidR="00B82893" w:rsidRDefault="00E4298B">
      <w:pPr>
        <w:pStyle w:val="10"/>
        <w:tabs>
          <w:tab w:val="left" w:pos="9639"/>
        </w:tabs>
        <w:ind w:left="-142" w:right="425"/>
        <w:jc w:val="both"/>
        <w:rPr>
          <w:sz w:val="28"/>
        </w:rPr>
      </w:pPr>
      <w:r>
        <w:rPr>
          <w:sz w:val="28"/>
        </w:rPr>
        <w:t xml:space="preserve">8. КОРОТКО О БМР </w:t>
      </w:r>
    </w:p>
    <w:p w:rsidR="00B82893" w:rsidRDefault="00E4298B">
      <w:pPr>
        <w:pStyle w:val="10"/>
        <w:tabs>
          <w:tab w:val="left" w:pos="9639"/>
        </w:tabs>
        <w:ind w:left="-142" w:right="425"/>
        <w:jc w:val="both"/>
        <w:rPr>
          <w:sz w:val="28"/>
        </w:rPr>
      </w:pPr>
      <w:r>
        <w:rPr>
          <w:sz w:val="28"/>
        </w:rPr>
        <w:t xml:space="preserve">Из приведенного выше описания БМР можно выделить следующие ключевые области деятельности Банка: </w:t>
      </w:r>
    </w:p>
    <w:p w:rsidR="00B82893" w:rsidRDefault="00E4298B">
      <w:pPr>
        <w:pStyle w:val="10"/>
        <w:tabs>
          <w:tab w:val="left" w:pos="9639"/>
        </w:tabs>
        <w:ind w:left="-142" w:right="425"/>
        <w:jc w:val="both"/>
        <w:rPr>
          <w:sz w:val="28"/>
        </w:rPr>
      </w:pPr>
      <w:r>
        <w:rPr>
          <w:sz w:val="28"/>
        </w:rPr>
        <w:t xml:space="preserve">- являясь форумом международного денежно-кредитного сотрудничества, БМР организует у себя встречи представителей центральных банков и создает возможности для работы различных комитетов (как постоянных, так и специальных), тем самым внося значительный вклад в международное сотрудничество и взаимопонимание в денежно-кредитной области; </w:t>
      </w:r>
    </w:p>
    <w:p w:rsidR="00B82893" w:rsidRDefault="00E4298B">
      <w:pPr>
        <w:pStyle w:val="10"/>
        <w:tabs>
          <w:tab w:val="left" w:pos="9639"/>
        </w:tabs>
        <w:ind w:left="-142" w:right="425"/>
        <w:jc w:val="both"/>
        <w:rPr>
          <w:sz w:val="28"/>
        </w:rPr>
      </w:pPr>
      <w:r>
        <w:rPr>
          <w:sz w:val="28"/>
        </w:rPr>
        <w:t xml:space="preserve">- выступая в роли "банка центральных банков", БМР играет важную роль, предоставляя центральным банкам широкую гамму финансовых услуг, которые помогают им в управлении внешними резервами; </w:t>
      </w:r>
    </w:p>
    <w:p w:rsidR="00B82893" w:rsidRDefault="00E4298B">
      <w:pPr>
        <w:pStyle w:val="10"/>
        <w:tabs>
          <w:tab w:val="left" w:pos="9639"/>
        </w:tabs>
        <w:ind w:left="-142" w:right="425"/>
        <w:jc w:val="both"/>
        <w:rPr>
          <w:sz w:val="28"/>
        </w:rPr>
      </w:pPr>
      <w:r>
        <w:rPr>
          <w:sz w:val="28"/>
        </w:rPr>
        <w:t xml:space="preserve">- будучи центром денежно-кредитных и экономических исследований, БМР способствует лучшему пониманию международных финансовых рынков и взаимодействию денежно-кредитной политики разных стран; </w:t>
      </w:r>
    </w:p>
    <w:p w:rsidR="00B82893" w:rsidRDefault="00E4298B">
      <w:pPr>
        <w:pStyle w:val="10"/>
        <w:tabs>
          <w:tab w:val="left" w:pos="9639"/>
        </w:tabs>
        <w:ind w:left="-142" w:right="425"/>
        <w:jc w:val="both"/>
        <w:rPr>
          <w:sz w:val="28"/>
        </w:rPr>
      </w:pPr>
      <w:r>
        <w:rPr>
          <w:sz w:val="28"/>
        </w:rPr>
        <w:t xml:space="preserve">- выполняя функции агента и доверенного лица, БМР тем самым содействует осуществлению различных международных финансовых соглашений. </w:t>
      </w:r>
    </w:p>
    <w:p w:rsidR="00B82893" w:rsidRDefault="00E4298B">
      <w:pPr>
        <w:pStyle w:val="10"/>
        <w:tabs>
          <w:tab w:val="left" w:pos="9639"/>
        </w:tabs>
        <w:ind w:left="-142" w:right="425"/>
        <w:jc w:val="both"/>
        <w:rPr>
          <w:sz w:val="28"/>
        </w:rPr>
      </w:pPr>
      <w:r>
        <w:rPr>
          <w:sz w:val="28"/>
        </w:rPr>
        <w:t xml:space="preserve">НЭБ по материалам газеты "Бизнес и банки" от 1.04.98 </w:t>
      </w:r>
    </w:p>
    <w:p w:rsidR="00B82893" w:rsidRDefault="00E4298B">
      <w:pPr>
        <w:pStyle w:val="10"/>
        <w:ind w:left="-142"/>
        <w:jc w:val="both"/>
      </w:pPr>
      <w:r>
        <w:t xml:space="preserve">  </w:t>
      </w:r>
    </w:p>
    <w:p w:rsidR="00B82893" w:rsidRDefault="00B82893">
      <w:pPr>
        <w:pStyle w:val="10"/>
        <w:ind w:left="-142"/>
        <w:jc w:val="both"/>
      </w:pPr>
    </w:p>
    <w:p w:rsidR="00B82893" w:rsidRDefault="00B82893">
      <w:pPr>
        <w:pStyle w:val="10"/>
        <w:ind w:left="-142"/>
        <w:jc w:val="both"/>
      </w:pPr>
    </w:p>
    <w:p w:rsidR="00B82893" w:rsidRDefault="00B82893">
      <w:pPr>
        <w:pStyle w:val="10"/>
        <w:ind w:left="-142"/>
        <w:jc w:val="both"/>
      </w:pPr>
    </w:p>
    <w:p w:rsidR="00B82893" w:rsidRDefault="00B82893">
      <w:pPr>
        <w:pStyle w:val="10"/>
        <w:ind w:left="-142"/>
        <w:jc w:val="both"/>
      </w:pPr>
    </w:p>
    <w:p w:rsidR="00B82893" w:rsidRDefault="00B82893">
      <w:pPr>
        <w:pStyle w:val="10"/>
        <w:ind w:left="-142"/>
        <w:jc w:val="both"/>
      </w:pPr>
    </w:p>
    <w:p w:rsidR="00B82893" w:rsidRDefault="00B82893">
      <w:pPr>
        <w:pStyle w:val="10"/>
        <w:ind w:left="-142"/>
        <w:jc w:val="both"/>
      </w:pPr>
    </w:p>
    <w:p w:rsidR="00B82893" w:rsidRDefault="00B82893">
      <w:pPr>
        <w:pStyle w:val="10"/>
        <w:ind w:left="-142"/>
        <w:jc w:val="both"/>
      </w:pPr>
    </w:p>
    <w:p w:rsidR="00B82893" w:rsidRDefault="00B82893">
      <w:pPr>
        <w:pStyle w:val="10"/>
        <w:ind w:left="-142"/>
        <w:jc w:val="both"/>
      </w:pPr>
    </w:p>
    <w:p w:rsidR="00B82893" w:rsidRDefault="00B82893">
      <w:pPr>
        <w:pStyle w:val="10"/>
        <w:ind w:left="-142"/>
        <w:jc w:val="both"/>
      </w:pPr>
    </w:p>
    <w:p w:rsidR="00B82893" w:rsidRDefault="009E3F7C">
      <w:pPr>
        <w:pStyle w:val="10"/>
        <w:ind w:left="-142"/>
        <w:rPr>
          <w:sz w:val="28"/>
        </w:rPr>
      </w:pPr>
      <w:hyperlink r:id="rId20" w:history="1">
        <w:r w:rsidR="00E4298B">
          <w:rPr>
            <w:rStyle w:val="11"/>
            <w:color w:val="000000"/>
            <w:sz w:val="36"/>
            <w:u w:val="none"/>
          </w:rPr>
          <w:t xml:space="preserve">Отношения между «Европой»  и Советским Союзом история . Предпосылки создания СЭВ  . </w:t>
        </w:r>
      </w:hyperlink>
      <w:r w:rsidR="00E4298B">
        <w:rPr>
          <w:sz w:val="28"/>
        </w:rPr>
        <w:br/>
        <w:t xml:space="preserve"> </w:t>
      </w:r>
    </w:p>
    <w:p w:rsidR="00B82893" w:rsidRDefault="00E4298B">
      <w:pPr>
        <w:pStyle w:val="10"/>
        <w:ind w:left="-142" w:right="-951"/>
        <w:jc w:val="both"/>
        <w:rPr>
          <w:sz w:val="28"/>
        </w:rPr>
      </w:pPr>
      <w:r>
        <w:rPr>
          <w:sz w:val="28"/>
        </w:rPr>
        <w:t xml:space="preserve">исторический и теоретический аспекты Перемены, которые затронули структуру или форму действующих лиц, обязывают нас признать последовательную смену двух четко выделяемых исторических периодов, разделенных системными изменениями 1989 - 1992 годов. В первый период отношения Европейского Сообщества и России, входившей в Советский Союз, были заморожены, заблокированы по соображениям политического и стратегического характера (I). Между 1990 и 1992 годами три структурных изменения потрясли европейскую систему: объединение Германии (3 октября 1990 г.), распад Советского Союза (и заключение 31 мая 1992 г. договора, учреждающего Российскую Федерацию), подписание Маастрихтского договора, который включил обновленное Европейское Сообщество в новый Европейский Союз. </w:t>
      </w:r>
    </w:p>
    <w:p w:rsidR="00B82893" w:rsidRDefault="00E4298B">
      <w:pPr>
        <w:pStyle w:val="10"/>
        <w:ind w:left="-142" w:right="-951"/>
        <w:jc w:val="both"/>
        <w:rPr>
          <w:sz w:val="28"/>
        </w:rPr>
      </w:pPr>
      <w:r>
        <w:rPr>
          <w:sz w:val="28"/>
        </w:rPr>
        <w:t xml:space="preserve">Эти три изменения взаимосвязаны. Объединение Германии идет в Рамках развития европейской интеграции, исчезновение СССР вызывает необходимость поиска стабильности, идея которой находится в центре договора о Европейском Союзе. Российская Федерация является ныне важнейшим партнером Европейского Союза, который укрепляет свои воображаемые политические границы игрой в различия между соглашениями об ассоциированном членстве (участники которых имеют разные возможности в зависимости от заинтересованности государства в присоединении) и соглашениями о партнерстве и сотрудничестве (II). I. Россия в составе Советского Союза Для СССР цели политического характера были важны до такой степени, что переговоры о договорных связях с Сообществом в области торговли шли очень медленно. Тем не менее, связи с Сообществом составляли настолько важную часть межрегиональных отношений, что советские руководители желали уберечь их от колебаний в отношениях Восток - Запад. Это желание проявилось в подписании заключительного акта в Хельсинки и было в некоторой степени претворено в жизнь в течение 1976 - 1985 годов, которые были ознаменованы новым оживлением трений. А. Политические цели: идеологическая форма, стратегическое содержание Развитие Европейских сообществ вызывало с советской стороны разнообразные реакции: от открытой враждебности и полного отрицания до признания факта существования Общего рынка с его многочисленными возможностями. В иерархии целей политическая, по мысли советских руководителей, стояла всегда выше по сравнению с экономической, которая была связана с торговлей, в частности энергией, или передачей технологии и которая поддерживалась двусторонними соглашениями. Такая позиция выражала одну постоянную черту советской дипломатии, отдававшей предпочтение двусторонним отношениям во взаимодействии как с социалистическими странами, так и со странами, расположенными вне социалистической зоны. </w:t>
      </w:r>
      <w:r>
        <w:rPr>
          <w:sz w:val="28"/>
        </w:rPr>
        <w:br/>
        <w:t xml:space="preserve">1) Советские люди помнят, что "европейские" ценности использовались в годы второй мировой войны в антисоветских целях: понятие "Европа" появилось в немецкой военной пропаганде в 1942 году, вскоре после немецкого вторжения в Советский Союз. Несколько лет спустя, во время холодной войны, европейцы добились того, чтобы европейское строительство сосуществовало с атлантическим альянсом, а вопрос о совместимости двух серий соглашений не занимал их внимания в тот период. В дальнейшем, создавая мифологическую историю международных отношений, некоторые из европейцев стремились указать, что европейские обязательства, касающиеся сообществ, не были связаны с атлантическими и что, например, Европейское оборонительное сообщество, если бы оно было создано, могло бы привести к образованию нового политического центра в Западной Европе, независимого от Соединенных Штатов. Однако, если дискуссию по этому вопросу продолжить, то можно сказать следующее: в случае создания Европейское оборонительное сообщество не стало бы системой, отличной от Западноевропейского союза, то есть региональной подсистемы, зависимой от атлантического альянса. Советский Союз имел некоторые основания беспокоиться по поводу Парижского договора от 18 апреля 1951 года, который был в определенном отношении договором о мире, соответствующим в своем назначении договору о мире, заключенному государствами Западной Европы с Федеративной республикой Германии. Связывая судьбу ФРГ с судьбой Западной Европы, решая временно часть споров, рожденных войной, договор явился первым шагом в осуществлении в Западной Европе мифа о сепаратном договоре с Германией, идея которого была заимствована у Советского Союза. </w:t>
      </w:r>
      <w:r>
        <w:rPr>
          <w:sz w:val="28"/>
        </w:rPr>
        <w:br/>
        <w:t xml:space="preserve">Исследования в Советском Союзе Римского договора, учредившего ЕЭС, которые были осуществлены под эгидой Института Мировой Экономики, проявились в виде двух взрывов: в 1957 и затем в 1962 году (с изменениями позиций). Напомним известный факт: в 1957 г. - 17 диссертаций, 32 диссертации 5 лет спустя. Этот скачок с 17 до 32 выражал не только развитие научных исследований, но и соответствовал более детальному, более исчерпывающему анализу опасностей, которые, несомненно, представляло европейское строительство для Советского Союза, а также некоторых выгод, которые оно могло дать. Если в 1957 году капиталистическая интеграция Западной Европы воспринималась как агрессивная, то осуждение интеграции в 1962 году было более мягким. Первые изменения позиций были связаны с развитием евроамериканских разногласий, проявившихся прежде всего в экономических вопросах, и вскоре смененных другими противоречиями в сфере безопасности и обороны. Работы Института Мировой Экономики открыли путь к признанию факта существования Общего рынка. Леонид Брежнев в речи, произнесенной в 1972 году, подтвердил это признание, которое коммунистичекие партии Западной Европы со своей стороны сделали быстрее (во Франции, с президентских выборов 1965 г.). Мы видим в этом новый позитивный шаг советской дипломатии - признание факта, имеющее своим результатом смягчение позиций в области идеологии. </w:t>
      </w:r>
    </w:p>
    <w:p w:rsidR="00B82893" w:rsidRDefault="00E4298B">
      <w:pPr>
        <w:pStyle w:val="10"/>
        <w:ind w:left="-142" w:right="-951"/>
        <w:jc w:val="both"/>
        <w:rPr>
          <w:sz w:val="28"/>
        </w:rPr>
      </w:pPr>
      <w:r>
        <w:rPr>
          <w:sz w:val="28"/>
        </w:rPr>
        <w:t xml:space="preserve">Недоверие не было преодолено, тем не менее, после 1962 г.: Советский Союз показал свою враждебность по отношению к расширению сообщества, в частности, по поводу вступления в него Британии. В этой ситуации франко-советский "тайный сговор" конечно же нашел своих приверженцев. Советский Союз создавал также трудности для деятельности ЕЭС: соглашение, заключенное сообществом с Финляндией, стало объектом пристального контроля со стороны Советского Союза, впрочем, в соответствии с международным статусом этой страны. </w:t>
      </w:r>
    </w:p>
    <w:p w:rsidR="00B82893" w:rsidRDefault="00E4298B">
      <w:pPr>
        <w:pStyle w:val="10"/>
        <w:ind w:left="-142" w:right="-951"/>
        <w:jc w:val="both"/>
        <w:rPr>
          <w:sz w:val="28"/>
        </w:rPr>
      </w:pPr>
      <w:r>
        <w:rPr>
          <w:sz w:val="28"/>
        </w:rPr>
        <w:t xml:space="preserve">2) Советская политика постоянно ставила три препятствия развитию </w:t>
      </w:r>
      <w:r>
        <w:rPr>
          <w:sz w:val="28"/>
        </w:rPr>
        <w:tab/>
        <w:t xml:space="preserve">Сообщества.   </w:t>
      </w:r>
      <w:r>
        <w:rPr>
          <w:sz w:val="28"/>
        </w:rPr>
        <w:br/>
        <w:t xml:space="preserve">Первое из них было связано с идеей о том, что Сообщество не должно было стать автономным центром ни политическим, ни военно-политическим. Суждение советской стороны основывалось на видении мировой системы. Так как советская сторона полагала, что, система является полностью биполярной или по преимуществу биполярной, то для понимания Европейского Сообщества как автономного политического и военно-политического центра не оставалось никаких оснований. Пересмотр такого положения вещей мог произойти только под влиянием нового видения мировой системы. </w:t>
      </w:r>
    </w:p>
    <w:p w:rsidR="00B82893" w:rsidRDefault="00E4298B">
      <w:pPr>
        <w:pStyle w:val="10"/>
        <w:ind w:left="-142" w:right="-951"/>
        <w:jc w:val="both"/>
        <w:rPr>
          <w:sz w:val="28"/>
        </w:rPr>
      </w:pPr>
      <w:r>
        <w:rPr>
          <w:sz w:val="28"/>
        </w:rPr>
        <w:t xml:space="preserve">Вторым препятствием были интересы обороны блока восточноевропейских стран, сплоченность социалистического лагеря. Перед лицом интеграционных начинаний Сообщества проявилось усиление интеграции на Востоке, после чего слишком жесткий принцип международного разделения труда между социалистическими странами был некоторыми партнерами Советского Союза подвергнут критике и отклонен. Ему на смену пришел более мягкий принцип международного разделения труда: комплексная программа интеграции, принятая в Будапеште в 1971 г., в то время, когда Сообщество, пребывавшее в глубоком финансовом кризисе и стоявшее накануне другого кризиса, еще более тяжелого, готовилось к тому, чтобы объединить свою политику внешней торговли и предполагало преобразовать себя в экономический и финансовый союз. В то же время прогресс в интеграции Сообщества был прямым ответом на успехи социалистической экономики и, в частности, на структурно-функциональные ориентиры Совета Экономической Взаимопомощи. Подтверждение этому может быть найдено в том, что Совет Экономической Взаимопомощи стал брать на себя общие компетенции, право заключения договоров и задачи более тесной координации позиций государств-членов; короче говоря, он стремился расширить свои юридические полномочия, хотя традиционно советская доктрина международного права не благоприятствовала такого рода учреждениям. Третье препятствие было связано со структурой международного коммунистического движения, Сообщество возлагало на него ответственность за трудности, побуждая коммунистические партии государств-членов к более широкому сотрудничеству, правда лишь в Ассамблее сообществ. И это порождало один из главных вопросов еврокоммунизма: такое положение дел возможно только на фазе перехода к социализму или же оно будет оставаться и на фазе, следующей за переходной? Политическое развитие сообществ могло бы скорее подтвердить второе, нежели первое. Было очевидно, что, если Советский Союз мог относиться терпимо и приспособиться к национальной версии еврокоммунизма, то он опасался версии еврокоммунизма Сообщества, которая могла бы привести к двум нежелательным последствиям: </w:t>
      </w:r>
      <w:r>
        <w:rPr>
          <w:sz w:val="28"/>
        </w:rPr>
        <w:br/>
        <w:t xml:space="preserve">а) прежде всего к усилению полицентризма мирового коммунизма в духе балканских идей; </w:t>
      </w:r>
      <w:r>
        <w:rPr>
          <w:sz w:val="28"/>
        </w:rPr>
        <w:br/>
        <w:t xml:space="preserve">б) затем к превращению коммунистических партий в реформистские, что могло бы произойти в результате признания ими Сообщества, поддержке друг друга в политике относительно Общего рынка, превращению в правящие партии или вхождению в коалиции правящих партий, что привело бы к глубокому изменению их природы, к тому, что пережили партии социал-демократические. </w:t>
      </w:r>
      <w:r>
        <w:rPr>
          <w:sz w:val="28"/>
        </w:rPr>
        <w:br/>
        <w:t xml:space="preserve">в) Переговоры об установлении договорных отношений. </w:t>
      </w:r>
    </w:p>
    <w:p w:rsidR="00B82893" w:rsidRDefault="00E4298B">
      <w:pPr>
        <w:pStyle w:val="10"/>
        <w:ind w:left="-142" w:right="-951"/>
        <w:jc w:val="both"/>
        <w:rPr>
          <w:sz w:val="28"/>
        </w:rPr>
      </w:pPr>
      <w:r>
        <w:rPr>
          <w:sz w:val="28"/>
        </w:rPr>
        <w:t xml:space="preserve">Переговоры между Сообществом, Советским Союзом и восточноевропейскими странами об установлении договорных отношений содержали политические цели. Конечно, советская торговля с ЕЭС была малочувствительна к политике Общего рынка в отличие от торговли других восточных стран. </w:t>
      </w:r>
    </w:p>
    <w:p w:rsidR="00B82893" w:rsidRDefault="00E4298B">
      <w:pPr>
        <w:pStyle w:val="10"/>
        <w:ind w:left="-142" w:right="-951"/>
        <w:jc w:val="both"/>
        <w:rPr>
          <w:sz w:val="28"/>
        </w:rPr>
      </w:pPr>
      <w:r>
        <w:rPr>
          <w:sz w:val="28"/>
        </w:rPr>
        <w:t xml:space="preserve">Трудности, с которыми сталкивались страны рыночной экономики в установлении договорных связей о товарообмене, известны; понятно, что, одни затруднения исходили из стран рыночной экономики, другие из-за самих социалистических стран: ограничение на экспорт товаров стратегического назначения со стороны западных стран (даже пищевые продукты могли рассматриваться как стратегические), неконвекртируемость валюты социалистических стран, различные правила операций с девизами в социалистических странах, сложность и негибкость бартерных сделок, недейственность механизма таможенных льгот на Востоке в силу того, что внешняя торговля подчинялась плановым нормам. </w:t>
      </w:r>
    </w:p>
    <w:p w:rsidR="00B82893" w:rsidRDefault="00E4298B">
      <w:pPr>
        <w:pStyle w:val="10"/>
        <w:ind w:left="-142" w:right="-951"/>
        <w:jc w:val="both"/>
        <w:rPr>
          <w:sz w:val="28"/>
        </w:rPr>
      </w:pPr>
      <w:r>
        <w:rPr>
          <w:sz w:val="28"/>
        </w:rPr>
        <w:t xml:space="preserve">Эти трудности прибавлялись к общей асимметрии в области торговли, состоящей в том, что социалистические страны импортировали главным образом капиталовложения и потребительские товары, а страны Сообщества полезные ископаемые и энергию. В этих условиях даже переговоры о двусторонних отношениях были затруднены, еще сложнее обстояло дело для переговоров от имени ЕЭС. После отказа советской стороны заключить торговый договор с Сообществом каждая страна-член приступила к заключению договоров о сотрудничестве (более широких, чем договоры о торговле) с СССР и другими социалистическими странами. В ожидании того, что Сообщество будет уполномочено государствами-членами их изменять, в 1976 г. были начаты переговоры о природе и порядке торговых договорных связей. </w:t>
      </w:r>
    </w:p>
    <w:p w:rsidR="00B82893" w:rsidRDefault="00E4298B">
      <w:pPr>
        <w:pStyle w:val="10"/>
        <w:ind w:left="-142" w:right="-951"/>
        <w:jc w:val="both"/>
        <w:rPr>
          <w:sz w:val="28"/>
        </w:rPr>
      </w:pPr>
      <w:r>
        <w:rPr>
          <w:sz w:val="28"/>
        </w:rPr>
        <w:t xml:space="preserve">В соответствии с советской концепцией разрядки, в том виде, в котором она была конкретизирована на Конференции по безопасности и сотрудничеству, СССР предложил, чтобы Сообщество установило договорные связи не просто с отдельными социалистическими странами, а с Советом Экономической Взаимопомощи и дополнительно с каждым социалистическим государством. Сообщество со своей стороны стремилось заключить прямые соглашения с социалистическими государствами, опасаясь роста возможностей управления своими союзниками, которыми располагал СССР. Ожидая принятия решения на этих переговорах, Сообщество приступило к процедуре консультаций и информированию о соглашениях с третьими странами. Кроме того оно предприняло под названием "автономной" торговой политики различные меры (режим импорта, предоставление режима наибольшего благоприятствования, кредиты на оплату экспорта для социалистических стран). В то же время квоты на рыбную ловлю были установлены в одностороннем порядке до заключения соглашения о рыболовстве. </w:t>
      </w:r>
    </w:p>
    <w:p w:rsidR="00B82893" w:rsidRDefault="00E4298B">
      <w:pPr>
        <w:pStyle w:val="10"/>
        <w:ind w:left="-142" w:right="-951"/>
        <w:jc w:val="both"/>
        <w:rPr>
          <w:sz w:val="28"/>
        </w:rPr>
      </w:pPr>
      <w:r>
        <w:rPr>
          <w:sz w:val="28"/>
        </w:rPr>
        <w:t xml:space="preserve">В то время, как несколько отдельных соглашений (о сельскохозяйственной продукции, об импорте металлургической продукции, о таможенных тарифах) были заключены с некоторыми социалистическими странами (Румыния, Чехословакия и др.), переговоры с СССР натолкнулись на проблему формы и содержания договорных связей. На проект торгового соглашения Общего рынка с каждым социалистическим государством, Совет Экономической Взаимопомощи ответил предложением о сотрудничестве двух региональных организаций. Этот договор мог бы быть дополнен другими договорами различных типов (государство - государство, ЕЭС - социалистическое государство, КОМЕКОН - государство-член ЕЭС и т.п.). </w:t>
      </w:r>
    </w:p>
    <w:p w:rsidR="00B82893" w:rsidRDefault="00E4298B">
      <w:pPr>
        <w:pStyle w:val="10"/>
        <w:ind w:left="-142" w:right="-951"/>
        <w:jc w:val="both"/>
        <w:rPr>
          <w:sz w:val="28"/>
        </w:rPr>
      </w:pPr>
      <w:r>
        <w:rPr>
          <w:sz w:val="28"/>
        </w:rPr>
        <w:t xml:space="preserve">Сообщество приняло принцип договора, устанавливающего связи между двумя организациями, дискуссии были перенесены на его содержание: символическую сторону, содержащую ссылки на общие принципы торговой политики (что было особенно важно для ЕЭС, тогда как Совет Экономической Взаимопомощи не располагал, как заявляли его представители, необходимой юридической компетенцией, чтобы заменять государства, являющиеся его членами,) и практическую сторону - соглашение о создании смешанной комиссии, имеющее важное значение для советской стороны. II. Российская Федерация, полноправный партнер Европейского Союза А. Запоздалое изменение (1988 - 1991) После пятнадцати лет переговоров 25 июня 1988 года соглашение между Сообществом и Советом Экономической Взаимопомощи о взаимном признании было заключено. Это соглашение вписалось в рамки глубоких изменений, начавшихся в Советском Союзе с 1985 г. в форме перестройки. Соглашение было скорее символическим, так как в действительности переговоры Европейского Сообщества с некоторыми странами Восточной Европы (особенно с Венгрией) уже начались. Тем не менее, соглашение от 25 июля 1988 г. имеет важное историческое значение, ибо включало сферы торговли, а также научных исследований, связей в области транспорта, окружающей среды. Список охватываемых секторов указывал на те направления, которые предполагалось развивать в дальнейшем, и на сферы, которые уже были затронуты участием и сотрудничеством. Запоздание в принятии соглашения о взаимном признании было осложнено разрушением Совета Экономической Взаимопомощи. Возможность сохранения Совета Экономической Взаимопомощи вытекала, главным образом, из того, что Советский Союз был производителем и поставщиком энергии для своих социалистических союзников на условиях, благоприятных для них. Устранение Советским Союзом последних связей с СЭВ произошло вместе с принятием международных торговых цен и стремлением ввести оплату энергетической продукции в девизах. Известно, что Совет Экономической Взаимопомощи, который стоял в 1985 г. на пороге новой эры изменения комплексной программы научного сотрудничества, был распущен в середине 1991 г. Изменения произошли также и в определении роли и идентификации Сообщества. С момента своего создания Сообщество выступало и во внутренних делах, и во внешних как духовная сила, осуществляющая экономическую и политическую интеграцию, цели которой были поставлены перед ним в эксплицитной и имплицитной форме. В 1989 г. анализ, принципиально обновленный вследствие внутренних перемен, произошедших в стране, был дан в документе (14 тезисов), созданном в Институте Мировой Экономики и Международных Отношений Академии Наук. 14 тезисов знаменовали полный разрыв с прошлым. В целом, процессы экономической интеграции рассматривались позитивно, так же как и завершение создания внутреннего рынка на базе единого акта. По словам авторов, Сообщество было и оставалось фактором развития производительных сил региона и способствовало перераспределению внутриполитических сил в Западной Европе. Европейскому Сообществу приписывались заслуги в установлении подлинного полицентризма внутри капиталистического мира и способность участвовать в системе многосторонней безопасности и сотрудничества со всеми странами Европы независимо от их социально-политической природы. Начиная с 1989 г., с заключения двусторонних соглашений, связывающих Сообщество с каждой из стран Центральной и Восточной Европы, к нему были предъявлены новые требования. От Сообщества было потребовано внести вклад в экономическую и политическую модернизацию стран Восточной Европы и включить их более тесно в европейскую систему. </w:t>
      </w:r>
    </w:p>
    <w:p w:rsidR="00B82893" w:rsidRDefault="00E4298B">
      <w:pPr>
        <w:pStyle w:val="10"/>
        <w:ind w:left="-142" w:right="-951"/>
        <w:jc w:val="both"/>
        <w:rPr>
          <w:sz w:val="28"/>
        </w:rPr>
      </w:pPr>
      <w:r>
        <w:rPr>
          <w:sz w:val="28"/>
        </w:rPr>
        <w:t xml:space="preserve">Вопрос связей с Сообществом был решен очень быстро в результате дифференциации партнеров Сообщества, особенно после исчезновения крупных международных организаций, а затем и распада Советского Союза в 1991 г. Б. Соглашение о партнерстве и сотрудничестве В 90-е гг. Россия действительно стала полноправным партнером Европейского Союза благодаря своим экономическому, научному и технологическому потенциалам, а также благодаря своей выдающейся роли в установлении стабильности на европейском континенте в целом. Кроме того, Европейский Союз является первым торговым партнером России, с которым она к тому же имеет смежную территорию после вступления Финляндии 1 января 1995 г. Соглашение о партнерстве и сотрудничестве, подписанное на Корфу в июле 1994 г., развивает дальше механизмы, установленные соглашением о торговле и сотрудничестве 1989 г., которое ввело понятие нации наибольшего благоприятствования и двустороннего политического диалога. Ввиду того, что ратификация соглашения о партнерстве затягивается, было принято временное соглашение призванное осуществить часть положений о торговле и сотрудничестве. В настоящее время соглашение о сотрудничестве по прежнему еще не ратифицировано, хотя уже в 1997 г. должны были начаться переговоры о создании зоны свободной торговли. Соглашение не было ратифицировано несколькими государствами-членами Европейского Союза, среди которых находится Федеративная Республика Германии, и не было ратифицировано также Россией из-за возражений, высказанных Думой. </w:t>
      </w:r>
    </w:p>
    <w:p w:rsidR="00B82893" w:rsidRDefault="00E4298B">
      <w:pPr>
        <w:pStyle w:val="10"/>
        <w:ind w:left="-142" w:right="-951"/>
        <w:jc w:val="both"/>
        <w:rPr>
          <w:sz w:val="28"/>
        </w:rPr>
      </w:pPr>
      <w:r>
        <w:rPr>
          <w:sz w:val="28"/>
        </w:rPr>
        <w:t xml:space="preserve">Соглашение о торговле содержит экономический и социальный аспекты, а также аспект политического диалога. Что касается торговых связей, то существует асимметрия между уровнем таможенных пошлин, взимаемых Сообществом, и средним уровнем пошлин, принятым в России. Российская сторона утверждает, что торговые уступки, сделанные Европейским Союзом, в целом очень ограниченны и, в частности, включают широкое применение антидемпинговых мер с тех пор как торговля не рассматривается как полностью либерализированная. Такое положение дел будет подталкивать к переговорам о свободной торговле, но в то же время создает риск отсрочить момент их наступления, ибо положения соглашения о партнерстве должны быть рассмотрены вместе с другими видами связей: программой ТАСИС, другими формами сотрудничества, в частности в области энергетики, чтобы создать законодательную основу, способную обеспечить рост торговли и в дальнейшем поощрять иностранные инвестиции в энергетику. Вместе с тем в настоящее время иностранные инвестиции в России остаются очень слабыми и не соответствуют потенциалу и численности населения Российской Федерации. </w:t>
      </w:r>
    </w:p>
    <w:p w:rsidR="00B82893" w:rsidRDefault="00E4298B">
      <w:pPr>
        <w:pStyle w:val="10"/>
        <w:ind w:left="-142" w:right="-951"/>
        <w:jc w:val="both"/>
        <w:rPr>
          <w:sz w:val="28"/>
        </w:rPr>
      </w:pPr>
      <w:r>
        <w:rPr>
          <w:sz w:val="28"/>
        </w:rPr>
        <w:t xml:space="preserve">Политический диалог уже начался. Его логика состоит в том, чтобы в конечном итоге Россия стала участником многих международных организаций и конференций. Заметим, что большая семерка, собравшаяся в Денвере в июне 1997 г., решила немного больше открыться, чем на предыдущей встрече, по отношению к России, таким образом большая семерка идет к тому, чтобы стать большой восьмеркой. Кстати, этот политический диалог создает механизм, способствующий разрешению местных конфликтов, продолжает оказывать помощь в проведении демократических преобразований и в расширении сферы применения прав человека. В связи с этим заметим, что соглашение о партнерстве включает для России особые положения, связанные с правами человека: не только статью, называемую болгарской, цель которой состоит во введении процедуры повторной консультации в случае трудностей или возникновения противоположных трактовок ситуации, связанной с правами человека, но и кроме того специальную процедуру урегулирования, в случае особой необходимости, которая состоит в том, чтобы отражать некоторый договорный реализм. Соглашение о партнерстве и сотрудничестве представляет собой, возможно, основу, еще не достаточно устойчивую, для отношений между Европейским Союзом и Россией. Установление равновесия сможет произойти только в результате развития торговли и изменения представлений о российском партнере со стороны Европейского Союза. 31 мая 1995 г. Комиссия представила заявление, которое содержит несколько точных указаний на будущие отношения между Европейским Союзом и Россией. Совет принял общую точку зрения, касающуюся целей и приоритетов Европейского Союза по отношению к Российской Федерации. Соглашение о партнерстве, с того момента, когда оно будет ратифицировано, должно дать гибкий инструмент для управления связями между Россией и Европейским Союзом. В. Теория "модели сообществ" С начала 90-х гг. система сообществ, система интеграционных связей государств поднялась на новый уровень. Она представляет, в действительности, модель, которая привлекает внимание и вызывает интерес многочисленных представителей правительственных кругов в различных частях мира. Европейское Сообщество стало источником вдохновения для латиноамериканских стран, которые создали зону, идя по пути интеграции. Наиболее близким европейскому союзу был Мегсорит. Аналогичное явление мы видим в отношениях между африканскими государствами, особенно в восточной Африке и, в меньшей степени, в Центральной Африке. Эксперимент сообществ может действительно способствовать экономической и политической интеграции государств, которые ранее, исторически и политически, существовали отдельно. В других случаях, можно опираться на прецедент создания Европейского сообщества, стабилизировавшего и, следовательно, поддержавшего связи, которые раньше уже существовали; модель сообществ является также ограничителем центробежных тенденций политической дезинтеграции. </w:t>
      </w:r>
    </w:p>
    <w:p w:rsidR="00B82893" w:rsidRDefault="00E4298B">
      <w:pPr>
        <w:pStyle w:val="10"/>
        <w:ind w:left="-142" w:right="-951"/>
        <w:jc w:val="both"/>
        <w:rPr>
          <w:sz w:val="28"/>
        </w:rPr>
      </w:pPr>
      <w:r>
        <w:rPr>
          <w:sz w:val="28"/>
        </w:rPr>
        <w:t xml:space="preserve">Интереса к модели сообществ не избегли ни советские руководители накануне распада Союза, ни руководители новой России, стремящиеся поддержать в различных формах связи, настолько тесные, насколько это возможно, с государствами-членами Содружества Независимых Государств (СНГ). Такой подход не носит релятивного характера и не зависит от состояния экономических и политических отношений между Европейским Союзом и странами Восточной Европы. Он открывает тем не менее возможности институционального регулирования сотрудничества. </w:t>
      </w:r>
    </w:p>
    <w:p w:rsidR="00B82893" w:rsidRDefault="00E4298B">
      <w:pPr>
        <w:pStyle w:val="10"/>
        <w:ind w:left="-142" w:right="-951"/>
        <w:jc w:val="both"/>
        <w:rPr>
          <w:sz w:val="28"/>
        </w:rPr>
      </w:pPr>
      <w:r>
        <w:rPr>
          <w:sz w:val="28"/>
        </w:rPr>
        <w:t>Если анализировать международные отношения, то можно заметить, что Европейский Союз представляет для Российской Федерации интересные в двух отношениях. Во-первых, Союз может, с того момента, когда речь заходит об урегулировании проблем строго европейского характера, облегчить разрешение противоречий с североатлантической системой. Важно отметить, что российские политики не настроены враждебно по отношению к расширению Европейского Союза в направлении Центральной и Восточной Европы, со странами, которые не были частью Советского Союза. Россия проявляет гораздо большее беспокойство по поводу попыток создать основы альянса на ее восточном фланге. Можно утверждать, что в этом имеется определенного рода преемственность подходов между периодом, далеко предшествовавшим 1990 году, и периодом недавнего прошлого. Кроме того, Европейский Союз, явно и неявно, в соглашениях о партнерстве и сотрудничестве, которые он заключил со странами Восточной Европы, проводит экономическую и даже политическую модернизацию своих партнеров. Очевидно, что связи с ним, во всей их совокупности, подчинены двум условиям: экономическому (полному завершению создания рыночной экономики) и политическому, принцип которого провозглашенный в июле 1989 г. на встрече в Арше группой семи, был воспринят и развит в соглашениях и программах технического и финансового содействия новым государствам - бенефициариям. Существует одна сложность, вытекающая, несомненно, из концепции "переходной" экономики, оценка которой значительно варьируется. Руководители Европейского Союза понимают под переходной экономикой ту экономическую систему, которую российские руководителями рассматривают как уже прошедшую переходную фазу и полностью соответствующую критериям либеральной экономики. Это создает одно из самых, быть может, больших общеевропейских недоразумений, которое подпитывает, в некотором смысле слова, два процесса: неблагодарность российских руководителей и сомнение в европейском подходе Союза. Возможность преодолеть эти недоразумения может проявиться только в долгой перспективе сотрудничества и более глубокого взаимного узнавания. Это лейтмотив</w:t>
      </w:r>
      <w:r>
        <w:rPr>
          <w:sz w:val="28"/>
        </w:rPr>
        <w:tab/>
        <w:t xml:space="preserve">будущего.                   </w:t>
      </w:r>
      <w:r>
        <w:rPr>
          <w:sz w:val="28"/>
        </w:rPr>
        <w:br/>
        <w:t>В этой связи стоит особо отметить методы валютной политики применявшиеся СССР для достижения необходимых целей .</w:t>
      </w:r>
      <w:r>
        <w:rPr>
          <w:rStyle w:val="HTMLMarkup"/>
          <w:color w:val="000000"/>
          <w:sz w:val="28"/>
        </w:rPr>
        <w:t>&lt;!DOCTYPE HTML PUBLIC "-//W3C//DTD HTML 4.0 Transitional//EN"&gt;&lt;!-- saved from url=(0157)http://sm.aport.ru/scripts/template.dll?r=%C2%E0%EB%FE%F2%ED%FB%E9+%EA%EB%E8%F0%E8%ED%E3&amp;id=75125841&amp;Base=&amp;That=std&amp;Rt=4&amp;Site=32&amp;DocNum=1&amp;DocID=2196347&amp;HID=1 --&gt;</w:t>
      </w:r>
    </w:p>
    <w:p w:rsidR="00B82893" w:rsidRDefault="00E4298B">
      <w:pPr>
        <w:pStyle w:val="10"/>
        <w:ind w:left="-567" w:right="-625"/>
        <w:jc w:val="both"/>
        <w:rPr>
          <w:sz w:val="28"/>
        </w:rPr>
      </w:pPr>
      <w:r>
        <w:rPr>
          <w:rStyle w:val="HTMLMarkup"/>
          <w:color w:val="000000"/>
          <w:sz w:val="28"/>
        </w:rPr>
        <w:t>&lt;SCRIPT language=JavaScript&gt;</w:t>
      </w:r>
      <w:r>
        <w:rPr>
          <w:sz w:val="28"/>
        </w:rPr>
        <w:t xml:space="preserve">Под «валютной политикой» мы условимся понимать определенную совокупность мероприятий, направленных на поддержание определенных курсов национальной денежной единицы к иностранным валютам; определенное состояние платежного баланса, и, наконец, определенного уровня золотых и валютных резервов. </w:t>
      </w:r>
    </w:p>
    <w:p w:rsidR="00B82893" w:rsidRDefault="00E4298B">
      <w:pPr>
        <w:pStyle w:val="10"/>
        <w:ind w:left="-567" w:right="-625"/>
        <w:jc w:val="both"/>
        <w:rPr>
          <w:sz w:val="28"/>
        </w:rPr>
      </w:pPr>
      <w:r>
        <w:rPr>
          <w:sz w:val="28"/>
        </w:rPr>
        <w:t xml:space="preserve">Практиковавшиеся Советским Союзом, начиная с 1930-х гг. методы валютного регулирования являлись совершенно новыми как в теории, так и на практике. Система валютного регулирования была построена на целом ряде планов, из которых на первом месте и по важности, и по сложности стоял план по внешней торговле, дополнявшийся так называемым «валютным» планом — содержавшим утвержденный перечень поступлений по экспорту и платежей по импорту, и, наконец, планами получения и погашения иностранных кредитов и накопления валютных ресурсов за счет внутренней добычи золота и скупки его у населения. Кроме «торговой» общие валютные планы включали в себя и «неторговую» часть — внешний валютный оборот по всем статьям, кроме торговли. В таком же порядке кроме пятилетних составлялись годовые и квартальные планы. </w:t>
      </w:r>
    </w:p>
    <w:p w:rsidR="00B82893" w:rsidRDefault="00E4298B">
      <w:pPr>
        <w:pStyle w:val="10"/>
        <w:ind w:left="-567" w:right="-625"/>
        <w:jc w:val="both"/>
        <w:rPr>
          <w:sz w:val="28"/>
        </w:rPr>
      </w:pPr>
      <w:r>
        <w:rPr>
          <w:sz w:val="28"/>
        </w:rPr>
        <w:t xml:space="preserve">Еще один важный круг вопросов связан с установлением валютного паритета рубля. Вплоть до середины 30-х гг. за отправную точку бралось золотое содержание рубля, установленное реформой 1922—1924 гг. Череда охвативших мир с начала 30-х гг. валютно-финансовых кризисов, в ходе которых абсолютное большинство валют утратили твердый паритет к золоту, заставили перейти на новую расчетную базу в виде еще сохранявших такой паритет к золоту капиталистических валют (французский франк, а затем доллар США). В начале 50-х гг. в связи с произошедшими важнейшими изменениями экономического и политического положения СССР было осуществлено повышение паритета рубля к доллару, а затем вновь перевод его на золотую базу. </w:t>
      </w:r>
    </w:p>
    <w:p w:rsidR="00B82893" w:rsidRDefault="00E4298B">
      <w:pPr>
        <w:pStyle w:val="10"/>
        <w:ind w:left="-567" w:right="-625"/>
        <w:jc w:val="both"/>
        <w:rPr>
          <w:sz w:val="32"/>
        </w:rPr>
      </w:pPr>
      <w:r>
        <w:rPr>
          <w:sz w:val="32"/>
        </w:rPr>
        <w:t>Клиринг СССР  30-80 гг.</w:t>
      </w:r>
    </w:p>
    <w:p w:rsidR="00B82893" w:rsidRDefault="00E4298B">
      <w:pPr>
        <w:pStyle w:val="10"/>
        <w:ind w:left="-567" w:right="-625"/>
        <w:jc w:val="both"/>
        <w:rPr>
          <w:sz w:val="28"/>
        </w:rPr>
      </w:pPr>
      <w:r>
        <w:rPr>
          <w:sz w:val="28"/>
        </w:rPr>
        <w:t xml:space="preserve">До наступления полосы валютно-финансовых кризисов 30-х гг. важной частью усилий СССР являлось ведение переговоров о предоставлении внешних кредитов, увеличивающих импортные возможности страны и ускорявших реализацию пятилетних планов социалистической индустриализации. Крупнейшими удачами советской дипломатии на этом пути явилось распространение на СССР рядом стран правительственных гарантий оплаты их экспорта — кредитных линий объемом в десятки и сотни миллионов долларов. Широкое их использование привело к быстрому нарастанию объемов кредитной задолженности, однако уже к середине 30-х гг. СССР смог фактически погасить большую ее часть, а в послевоенный период почти прекратил заключение кредитных соглашений. </w:t>
      </w:r>
    </w:p>
    <w:p w:rsidR="00B82893" w:rsidRDefault="00E4298B">
      <w:pPr>
        <w:pStyle w:val="10"/>
        <w:ind w:left="-567" w:right="-625"/>
        <w:jc w:val="both"/>
        <w:rPr>
          <w:sz w:val="28"/>
        </w:rPr>
      </w:pPr>
      <w:r>
        <w:rPr>
          <w:sz w:val="28"/>
        </w:rPr>
        <w:t xml:space="preserve">Последствия глобального валютно-финансового кризиса 30-х гг. выразились и в фактически повсеместно произошедшем переходе на клиринговую систему расчетов по внешней торговле и платежам. Советский Союз практиковал различные схемы клиринга, добиваясь включения в них абсолютно всех расчетов и платежей и эффективно отстаивал защиту своих интересов от возможных финансовых потерь. </w:t>
      </w:r>
    </w:p>
    <w:p w:rsidR="00B82893" w:rsidRDefault="00E4298B">
      <w:pPr>
        <w:pStyle w:val="10"/>
        <w:ind w:left="-567" w:right="-625"/>
        <w:jc w:val="both"/>
        <w:rPr>
          <w:sz w:val="28"/>
        </w:rPr>
      </w:pPr>
      <w:r>
        <w:rPr>
          <w:sz w:val="28"/>
        </w:rPr>
        <w:t xml:space="preserve">С образованием в послевоенный период социалистической системы и начавшимся позднее распадом колониальных империй единая прежде валютная политика Советского Союза расщепилась на две, а с появлением группы молодых независимых государств — и на три составляющих. На протяжении всех послевоенных десятилетий экономика СССР развивалась в тесном и разностороннем взаимодействии с народнохозяйственными комплексами социалистических стран. Если говорить о его валютной компоненте, то здесь центральным звеном выступает организация эффективной и справедливой схемы взаиморасчетов. Она прошла через ряд этапов: двусторонний клиринг, попытка установления многостроннего клиринга (1958—1963 гг.), и наконец, разработку системы многосторонних платежей на основе искусственно созданной особой коллективной социалистической валюты — переводного рубля. Эта система успешно функционировала в течение четверти века, однако она была не свободна от некоторых внутренних противоречий, являвшихся отражением несовпадения экономических интересов (или неполного совпадения) участвовавших в ней государств, которые, накапливаясь, в конце концов привели к отказу от нее вместе с распадом организации экономической взаимопомощи социалистических стран на рубеже 80—90-х гг. </w:t>
      </w:r>
    </w:p>
    <w:p w:rsidR="00B82893" w:rsidRDefault="00E4298B">
      <w:pPr>
        <w:pStyle w:val="10"/>
        <w:ind w:left="-567" w:right="-625"/>
        <w:jc w:val="both"/>
        <w:rPr>
          <w:sz w:val="28"/>
        </w:rPr>
      </w:pPr>
      <w:r>
        <w:rPr>
          <w:sz w:val="28"/>
        </w:rPr>
        <w:t xml:space="preserve">Начиная со второй половины 50-х гг. происходит существенное расширение объема экономических связей СССР с капиталистическим миром, основой которого служила обоюдная заинтересованность в расширении экономических связей. Эта обоюдная заинтересованность упиралась в определенные препятствия политического («холодная война»), институционального и технического порядка. Среди «технических» проблем центральное место занимали способы решения внутренних валютно-финансовых проблем капиталистического мира, поскольку от этого во многом зависел выбор общего направления валютной политики СССР и конкретных способов ее проведения. Решение внутренних валютно-финансовых проблем капиталистического мира последовательно продвигалось к достижению послевоенной стабилизации с жесткой привязкой валют к золоту и фиксацией обменных соотношений (этот этап отличался бесспорной гегемонией доллара в качестве основной резервной валюты), затем к постепенному ослаблению роли доллара в пользу других ставших сильными валют (японская йена, немецкая марка и др.), дальше к «демонетаризации» под влиянием острых экономических и финансовых потрясений начала 70-х гг. золота, переходу к системе «плавающих» обменных курсов и системе так называемого мультивалютного резервирования, а также сложной институциональной организации мировых (финансовых потоков, включающей деятельность наднациональных финансовых институтов (в первую очередь МВФ), «вненациональных» рынков капиталов и др. </w:t>
      </w:r>
    </w:p>
    <w:p w:rsidR="00B82893" w:rsidRDefault="00E4298B">
      <w:pPr>
        <w:pStyle w:val="10"/>
        <w:ind w:left="-567" w:right="-625"/>
        <w:jc w:val="both"/>
        <w:rPr>
          <w:sz w:val="28"/>
        </w:rPr>
      </w:pPr>
      <w:r>
        <w:rPr>
          <w:sz w:val="28"/>
        </w:rPr>
        <w:t xml:space="preserve">Основными проблемами экономических отношений с Западом для СССР являлись: проблема источников получения валюты, проблема кредитования и проблема поддержания платежного баланса со странами Запада. Вплоть до конца 50-х гг. Запад проводил в отношении СССР и других социалистических стран политику торговой и кредитной дискриминации. Однако эта политика наносила ущерб и экономическим интересам западных стран, в связи с чем с конца 50-х гг. возобновилась практика предоставления внешнеторговым организациям СССР кредитов — вначале относительно небольших «фирменных» кредитов, затем относительно крупных консорциальных банковских кредитов, и наконец, в начале 70-х гг. была выработана обоюдоприемлемая форма компенсационных соглашений. </w:t>
      </w:r>
    </w:p>
    <w:p w:rsidR="00B82893" w:rsidRDefault="00E4298B">
      <w:pPr>
        <w:pStyle w:val="10"/>
        <w:ind w:left="-567" w:right="-625"/>
        <w:jc w:val="both"/>
        <w:rPr>
          <w:sz w:val="28"/>
        </w:rPr>
      </w:pPr>
      <w:r>
        <w:rPr>
          <w:sz w:val="28"/>
        </w:rPr>
        <w:t xml:space="preserve">Немалая роль как источникам поступления наличной валюты для СССР принадлежала экспорту нефти, вооружений, золота, платины и алмазов, роль которых последовательно возрастала начиная с 60-х гг. и превратилась в 70-е гг. в важнейший по значимости источник конвертируемой валюты (в 1978 г., например, нефть дала порядка 5,5 млрд. долл. из всего торгового экспорта СССР в 13,2 млрд.). С начала 70-х гг. Советский Союз включился в процесс «рециклирования» нефтедолларов через продажу прежде всего арабским странам современных вооружений за конвертируемую валюты, объем которой, по оценке Стокгольмского института проблем мира (СИПРИ) находился в 70-е гг. на уровне 1,6 млрд. долл. в год или 11% (по западным оценкам) валютных поступлений от регулярной внешней торговли. Третьим важным источником конвертируемой валюты являлись золото, платина и алмазы. Согласно западным оценкам, продажа золота приносила в среднем 14—15% общей стоимости валютного экспорта, и в 1978 г. приблизилась по ценности к 2,5 млрд. долл. Экспортируя золото, Советский Союз преследовал достаточно широкий круг целей, включая монетарный, политико-стратегический компонент (так, например, крупные продажи золота были предприняты в 1981 г. для экстренного погашения внешнего долга Польской Народной республики), а также просто коммерческие цели. Сделки с золотом тесно координировались с операциями Советского Союза на рынке евродолларов: резко возросшие поступления в 70-е гг. наличной валюты, которые частично не совпадали по срокам с производством собственных платежей, позволили СССР стать активным участником рынка евродолларов (и в более широком плане других евровалют), действуя через сеть так называемых совзагранбанков: «Моснарбанк» в Лондоне, «Эйро-банк» в Париже, банк «Восход» в Цюрихе, «Ост-Вест Хандельс-банк» во Франкфурте-на-Майне и др. </w:t>
      </w:r>
    </w:p>
    <w:p w:rsidR="00B82893" w:rsidRDefault="00E4298B">
      <w:pPr>
        <w:pStyle w:val="10"/>
        <w:ind w:left="-567" w:right="-625"/>
        <w:jc w:val="both"/>
        <w:rPr>
          <w:sz w:val="28"/>
        </w:rPr>
      </w:pPr>
      <w:r>
        <w:rPr>
          <w:sz w:val="28"/>
        </w:rPr>
        <w:t xml:space="preserve">Торговый баланс по «регулярной» торговле со странами Запада был традиционно дефицитным, однако платежный баланс, в особенности, в 70-е гг., за исключением тех лет, когда СССР осуществлял крупные закупки зерна, сводился с избытком. Пассивное сальдо уравновешивалось в текущем плане торговыми кредитами, а в окончательном варианте тремя балансирующими статьями: продажа нефти, золота, платины и алмазов, экспорт вооружений, чистый доход от услуг, в первую очередь, морского фрахта и сухопутных транзитных перевозок между Западной Европой и Японией. </w:t>
      </w:r>
    </w:p>
    <w:p w:rsidR="00B82893" w:rsidRDefault="00E4298B">
      <w:pPr>
        <w:pStyle w:val="10"/>
        <w:ind w:left="-567" w:right="-625"/>
        <w:jc w:val="both"/>
        <w:rPr>
          <w:sz w:val="28"/>
        </w:rPr>
      </w:pPr>
      <w:r>
        <w:rPr>
          <w:sz w:val="28"/>
        </w:rPr>
        <w:t xml:space="preserve">С точки зрения принятых на Западе критериев, финансовое положение Советского Союза еше к середине 80-х гг. можно бьшо считать вполне благоприятным: общая сумма внешнего долга не превышала половины стоимости годового экспорта, а обслуживание долга не превышало 18%. В то же время это благоприятное стечение обстоятельств, давшее Советскому Союзу щедрый приток валюты сверх, так сказать, обычных ожиданий, давшее возможность, прежде всего, резко увеличить импорт и поднять жизненный уровень, до известной степени оказало стране и дурную услугу, оттянув назревшее проведение структурных реформ, что, в свою очередь, усугубило остроту и размах кризиса 90-х гг. </w:t>
      </w:r>
    </w:p>
    <w:p w:rsidR="00B82893" w:rsidRDefault="00E4298B">
      <w:pPr>
        <w:pStyle w:val="10"/>
        <w:ind w:left="-567" w:right="-625"/>
        <w:jc w:val="both"/>
        <w:rPr>
          <w:sz w:val="28"/>
        </w:rPr>
      </w:pPr>
      <w:r>
        <w:rPr>
          <w:sz w:val="28"/>
        </w:rPr>
        <w:t xml:space="preserve">Переходя к вопросу об определении валютных курсов рубля в послевоенный период, следует сказать, что оно всегда имело под собой прежде всего официально установленное золотое содержание этих валют и учет всех видимых изменений их курсов к валютам с определенным золотым содержанием. После того, как в начале 70-х гг. капиталистический мир фактически отказался от ситуации золото-долларового эталона, в основе назначения курсов в конечном счете выступало изменение покупательной способности денег относительно товаров, то есть различия в движении индекса стоимости жизни и уровня инфляции по странам. В 70-е гг. усиление интернационализации финансовой сферы и изменение баланса сил отдельных западных государств объективно привело к развитию и в СССР системы многовалютного резервирования; хотя основной валютой по удельному весу транзакций продолжал оставаться доллар, все большую роль приобретали расчеты в швейцарских франках, немецких марках, йенах, а также в экю. </w:t>
      </w:r>
    </w:p>
    <w:p w:rsidR="00B82893" w:rsidRDefault="00E4298B">
      <w:pPr>
        <w:pStyle w:val="10"/>
        <w:ind w:left="-567" w:right="-625"/>
        <w:jc w:val="both"/>
        <w:rPr>
          <w:sz w:val="28"/>
        </w:rPr>
      </w:pPr>
      <w:r>
        <w:rPr>
          <w:sz w:val="28"/>
        </w:rPr>
        <w:t xml:space="preserve">Экономические отношения СССР с группой развивающихся стран на практике тяготели к одной из двух парадигм. Говорить о валютной политике в собственном смысле слова можно применительно к небольшой относительно группе стран, с которыми наша страна поддерживала довольно значительный уровень экономических связей. Фундамент валютно-финансовых отношений социалистических и развивающихся стран составляли прежде всего взаимная торговля и предоставление краткосрочных и долгосрочных кредитов. Социалистические страны подходили к экономическим отношениям с «третьим миром» с сильно идеологизированных позиций — в особенности это было характерно для СССР, и потому отдельные примеры сугубо прагматического подхода (например, погашение кредитов поставками важного и дорогостоящего промышленного сырья из этих стран) сопровождались гораздо большим количеством примеров, когда СССР вполне сознательно шел на менее выгодные для себя с узкоэкономической точки зрения варианты ради более долговременных или сугубо политических расчетов. Товарооборот с развивающимися странами достиг к началу 80-х гг. порядка 15% общего внешнеторгового оборота Советского Союза. Торговля с развивающимися странами неизменно велась в форме двустороннего клиринга, и при оказании экономической помощи и предоставлении кредитов львиная их доля также приходилась на товарные поставки. Контрактные цены и пересчет сальдо в твердую валюту определялся на основании курса переводного рубля. Торговый и платежный баланс СССР с группой развивающихся стран в целом носил ярко выраженный активный характер, компенсируя обнаруживающийся в отдельные годы пассив баланса с развитыми капиталистическими странами. </w:t>
      </w:r>
    </w:p>
    <w:p w:rsidR="00B82893" w:rsidRDefault="00E4298B">
      <w:pPr>
        <w:pStyle w:val="z-BottomofForm"/>
        <w:spacing w:before="100" w:after="100"/>
        <w:ind w:left="-567" w:right="-625"/>
        <w:jc w:val="both"/>
        <w:rPr>
          <w:color w:val="000000"/>
          <w:sz w:val="28"/>
        </w:rPr>
      </w:pPr>
      <w:r>
        <w:rPr>
          <w:color w:val="000000"/>
          <w:sz w:val="28"/>
        </w:rPr>
        <w:br/>
        <w:t>Bottom of Form 1</w:t>
      </w:r>
    </w:p>
    <w:p w:rsidR="00B82893" w:rsidRDefault="009E3F7C">
      <w:pPr>
        <w:rPr>
          <w:b/>
          <w:sz w:val="32"/>
        </w:rPr>
      </w:pPr>
      <w:r>
        <w:rPr>
          <w:noProof/>
          <w:sz w:val="28"/>
        </w:rPr>
        <w:pict>
          <v:shape id="_x0000_i1031" type="#_x0000_t75" style="width:3in;height:3.75pt" fillcolor="window"/>
        </w:pict>
      </w:r>
      <w:r w:rsidR="00E4298B">
        <w:rPr>
          <w:b/>
          <w:sz w:val="32"/>
        </w:rPr>
        <w:t xml:space="preserve">Международная Клиринговая система  </w:t>
      </w:r>
      <w:r w:rsidR="00E4298B">
        <w:rPr>
          <w:b/>
          <w:sz w:val="32"/>
          <w:lang w:val="en-US"/>
        </w:rPr>
        <w:t xml:space="preserve">RTGS </w:t>
      </w:r>
      <w:r w:rsidR="00E4298B">
        <w:rPr>
          <w:b/>
          <w:sz w:val="32"/>
        </w:rPr>
        <w:t>.</w:t>
      </w:r>
    </w:p>
    <w:p w:rsidR="00B82893" w:rsidRDefault="00E4298B">
      <w:pPr>
        <w:pStyle w:val="10"/>
        <w:jc w:val="both"/>
        <w:rPr>
          <w:sz w:val="28"/>
        </w:rPr>
      </w:pPr>
      <w:r>
        <w:rPr>
          <w:sz w:val="28"/>
        </w:rPr>
        <w:t xml:space="preserve">    (     </w:t>
      </w:r>
      <w:r>
        <w:rPr>
          <w:sz w:val="32"/>
          <w:lang w:val="en-US"/>
        </w:rPr>
        <w:t>Real  Time  Gross Settlement    )</w:t>
      </w:r>
      <w:r>
        <w:rPr>
          <w:sz w:val="32"/>
        </w:rPr>
        <w:t xml:space="preserve"> </w:t>
      </w:r>
      <w:r>
        <w:rPr>
          <w:sz w:val="28"/>
        </w:rPr>
        <w:t xml:space="preserve"> </w:t>
      </w:r>
    </w:p>
    <w:p w:rsidR="00B82893" w:rsidRDefault="00E4298B">
      <w:pPr>
        <w:pStyle w:val="10"/>
        <w:ind w:left="-709"/>
        <w:jc w:val="both"/>
        <w:rPr>
          <w:sz w:val="28"/>
        </w:rPr>
      </w:pPr>
      <w:r>
        <w:rPr>
          <w:sz w:val="28"/>
        </w:rPr>
        <w:t xml:space="preserve">После ранних и не представляющих ценности теоретических разработок по проектированию платежных систем как в коммерческих, так и центральных банках, отмеченных публикацией отчета Энджела (Angell) и разработкой стандартов Ламфалусси (Lamfalussy), особое внимание обращено теперь на практическое применение этой идеи. </w:t>
      </w:r>
    </w:p>
    <w:p w:rsidR="00B82893" w:rsidRDefault="00E4298B">
      <w:pPr>
        <w:pStyle w:val="10"/>
        <w:ind w:left="-709"/>
        <w:jc w:val="both"/>
        <w:rPr>
          <w:sz w:val="28"/>
        </w:rPr>
      </w:pPr>
      <w:r>
        <w:rPr>
          <w:sz w:val="28"/>
        </w:rPr>
        <w:t xml:space="preserve">Среди достигнутых результатов можно отметить принятое странами Европейского союза решение о том, что каждая страна должна иметь по крайней мере одну систему для обслуживания крупных сделок, предоставляющую возможность расчетов в реальном масштабе времени; подобное решение в некоторой степени послужило причиной изменений, вводимых в настоящее время в электронную систему клиринговых расчетов Chaps (Clearing House Automated Payment System), а также привело к разработке систем TBF во Франции и Tops -- в Нидерландах и, конечно, к тому, что в 1995 г. консорциум Echo получил полномочия на многосторонний учет взаимных требований и обязательств. </w:t>
      </w:r>
    </w:p>
    <w:p w:rsidR="00B82893" w:rsidRDefault="00E4298B">
      <w:pPr>
        <w:pStyle w:val="10"/>
        <w:ind w:left="-709"/>
        <w:jc w:val="both"/>
        <w:rPr>
          <w:sz w:val="28"/>
        </w:rPr>
      </w:pPr>
      <w:r>
        <w:rPr>
          <w:sz w:val="28"/>
        </w:rPr>
        <w:t xml:space="preserve">Изменения сопровождались длительными и трудными обсуждениями между центральными и коммерческими банками. Основное внимание в них неизменно уделялось изменениям систем и способам обеспечения ликвидности. Не покидало чувство, что во всех этих спорах мы упустили из виду потенциальное коммерческое влияние системы RTGS. Или, говоря более определенно, мы не учли все благоприятные возможности, которые откроются в связи с этими изменениями. В настоящее время, когда системы RTGS близки к внедрению, следует воспользоваться удобным моментом для критической оценки и всестороннего обдумывания. Корреспондентские отношения между банками -- это одна из сфер, где их влияние может быть очень сильным, хотя, для того чтобы ощутить это влияние в полной мере, потребуется время. </w:t>
      </w:r>
    </w:p>
    <w:p w:rsidR="00B82893" w:rsidRDefault="00E4298B">
      <w:pPr>
        <w:pStyle w:val="10"/>
        <w:ind w:left="-709"/>
        <w:jc w:val="both"/>
        <w:rPr>
          <w:sz w:val="28"/>
        </w:rPr>
      </w:pPr>
      <w:r>
        <w:rPr>
          <w:sz w:val="28"/>
        </w:rPr>
        <w:t xml:space="preserve">Банковская деятельность на основе корреспондентских отношений уже в настоящее время испытывает на себе давление трех факторов: </w:t>
      </w:r>
    </w:p>
    <w:p w:rsidR="00B82893" w:rsidRDefault="00E4298B">
      <w:pPr>
        <w:pStyle w:val="10"/>
        <w:numPr>
          <w:ilvl w:val="0"/>
          <w:numId w:val="7"/>
        </w:numPr>
        <w:ind w:left="-709" w:firstLine="0"/>
        <w:jc w:val="both"/>
        <w:rPr>
          <w:sz w:val="28"/>
        </w:rPr>
      </w:pPr>
      <w:r>
        <w:rPr>
          <w:sz w:val="28"/>
        </w:rPr>
        <w:t xml:space="preserve">экономического -- прибыльна ли она? </w:t>
      </w:r>
    </w:p>
    <w:p w:rsidR="00B82893" w:rsidRDefault="00E4298B">
      <w:pPr>
        <w:pStyle w:val="10"/>
        <w:numPr>
          <w:ilvl w:val="0"/>
          <w:numId w:val="7"/>
        </w:numPr>
        <w:ind w:left="-709" w:firstLine="0"/>
        <w:jc w:val="both"/>
        <w:rPr>
          <w:sz w:val="28"/>
        </w:rPr>
      </w:pPr>
      <w:r>
        <w:rPr>
          <w:sz w:val="28"/>
        </w:rPr>
        <w:t xml:space="preserve">технического -- нужна ли она? </w:t>
      </w:r>
    </w:p>
    <w:p w:rsidR="00B82893" w:rsidRDefault="00E4298B">
      <w:pPr>
        <w:pStyle w:val="10"/>
        <w:numPr>
          <w:ilvl w:val="0"/>
          <w:numId w:val="7"/>
        </w:numPr>
        <w:ind w:left="-709" w:firstLine="0"/>
        <w:jc w:val="both"/>
        <w:rPr>
          <w:sz w:val="28"/>
        </w:rPr>
      </w:pPr>
      <w:r>
        <w:rPr>
          <w:sz w:val="28"/>
        </w:rPr>
        <w:t xml:space="preserve">нормативного -- безопасна ли она? </w:t>
      </w:r>
    </w:p>
    <w:p w:rsidR="00B82893" w:rsidRDefault="00E4298B">
      <w:pPr>
        <w:pStyle w:val="10"/>
        <w:ind w:left="-709"/>
        <w:jc w:val="both"/>
        <w:rPr>
          <w:sz w:val="28"/>
        </w:rPr>
      </w:pPr>
      <w:r>
        <w:rPr>
          <w:sz w:val="28"/>
        </w:rPr>
        <w:t xml:space="preserve">Более широкое использование системы RTGS усилит давление не только этих факторов в целом, но и каждого из них в отдельности. Говоря откровенно, корреспондентская деятельность банков, вероятно, и не будет вытеснена полностью, но ее будущее может стать очень ограниченным и не очень прибыльным. </w:t>
      </w:r>
    </w:p>
    <w:p w:rsidR="00B82893" w:rsidRDefault="00E4298B">
      <w:pPr>
        <w:pStyle w:val="10"/>
        <w:ind w:left="-709"/>
        <w:jc w:val="both"/>
        <w:rPr>
          <w:sz w:val="28"/>
        </w:rPr>
      </w:pPr>
      <w:r>
        <w:rPr>
          <w:sz w:val="28"/>
        </w:rPr>
        <w:t xml:space="preserve">Правда, системы RTGS уже в течение некоторого времени существуют и ни один из этих эффектов пока не наблюдался, тем не менее нужно учесть, что использование таких систем носит зачастую очень ограниченный характер. Во многих странах оно еще не достигло критической массы. Например, в Германии система Бундесбанка EILZV используется для обработки не более чем 8% ежедневного объема сделок, а система EAF учета взаимных требований и обязательств -- для 50%. В Италии аналогичный показатель использования системы Biss не превышает 0,5%. В Нидерландах система FA используется, по-видимому, для 44% ежедневного объема сделок, но для многих из этих сделок расчеты не производятся в реальном масштабе времени и они даже могут быть аннулированы в конце дня. (Не стоит забывать о различии между просто расчетами по крупным сделкам и расчетами по крупным сделкам в режиме реального времени.) </w:t>
      </w:r>
    </w:p>
    <w:p w:rsidR="00B82893" w:rsidRDefault="00E4298B">
      <w:pPr>
        <w:pStyle w:val="10"/>
        <w:ind w:left="-709"/>
        <w:jc w:val="both"/>
        <w:rPr>
          <w:sz w:val="28"/>
        </w:rPr>
      </w:pPr>
      <w:r>
        <w:rPr>
          <w:sz w:val="28"/>
        </w:rPr>
        <w:t xml:space="preserve">Недотягивание до критической массы становится еще более очевидным в Европейском союзе, где многие страны не имеют единой системы для обслуживания крупных сделок, которая обрабатывала бы значительную долю всех национальных платежей, не говоря уже о такой системе, работающей в реальном масштабе времени. Однако все страны Европейского союза обязались иметь в наличии одну систему RTGS к концу 1996 г. В настоящее время многие из уже функционирующих систем модернизируются, и банки "поощряются" шире ими пользоваться. </w:t>
      </w:r>
    </w:p>
    <w:p w:rsidR="00B82893" w:rsidRDefault="00E4298B">
      <w:pPr>
        <w:pStyle w:val="10"/>
        <w:ind w:left="-709"/>
        <w:jc w:val="both"/>
        <w:rPr>
          <w:sz w:val="28"/>
        </w:rPr>
      </w:pPr>
      <w:r>
        <w:rPr>
          <w:sz w:val="28"/>
        </w:rPr>
        <w:t xml:space="preserve">Аналогичное положение складывается и в странах, где корреспондентские отношения между банками в остальных аспектах кажутся непоколебимыми, особенно в Азиатско-Тихоокеанском регионе, в Латинской Америке и республиках бывшего Советского Союза. </w:t>
      </w:r>
    </w:p>
    <w:p w:rsidR="00B82893" w:rsidRDefault="00E4298B">
      <w:pPr>
        <w:pStyle w:val="10"/>
        <w:ind w:left="-709"/>
        <w:jc w:val="both"/>
        <w:rPr>
          <w:sz w:val="28"/>
        </w:rPr>
      </w:pPr>
      <w:r>
        <w:rPr>
          <w:sz w:val="28"/>
        </w:rPr>
        <w:t xml:space="preserve">Для осуществления этих планов потребуется время, но тенденция ясна. Пока существующие системы учета взаимных требований и обязательств сохраняются, они будут становиться все более дорогостоящими, вследствие необходимости выполнения минимальных стандартов Ламфалусси. </w:t>
      </w:r>
    </w:p>
    <w:p w:rsidR="00B82893" w:rsidRDefault="00E4298B">
      <w:pPr>
        <w:pStyle w:val="10"/>
        <w:ind w:left="-709"/>
        <w:jc w:val="both"/>
        <w:rPr>
          <w:sz w:val="28"/>
        </w:rPr>
      </w:pPr>
      <w:r>
        <w:rPr>
          <w:sz w:val="28"/>
        </w:rPr>
        <w:t xml:space="preserve">Скептики могут утверждать, что даже в тех странах, где принимают систему RTGS впервые или вводят модернизированные системы, большая часть потока крупных платежей будет проходить через системы учета взаимных требований и обязательств, которые производят окончательный расчет в конце дня или через фиксированные интервалы времени на протяжении дня. </w:t>
      </w:r>
    </w:p>
    <w:p w:rsidR="00B82893" w:rsidRDefault="00E4298B">
      <w:pPr>
        <w:pStyle w:val="10"/>
        <w:ind w:left="-709"/>
        <w:jc w:val="both"/>
        <w:rPr>
          <w:sz w:val="28"/>
        </w:rPr>
      </w:pPr>
      <w:r>
        <w:rPr>
          <w:sz w:val="28"/>
        </w:rPr>
        <w:t xml:space="preserve">Маловероятно, чтобы коммерческие банки по собственной инициативе изменили свои методы работы, тем не менее косвенное давление нормативов и стремительный темп деловой жизни, вынуждающий сделать это, окажется очень сильным. Опыт показывает, что там, где регулирующие банки могут указать меры по уменьшению риска, они будут стремиться поддержать их использование, по меньшей мере стимулами, если не прямыми указаниями. </w:t>
      </w:r>
    </w:p>
    <w:p w:rsidR="00B82893" w:rsidRDefault="00E4298B">
      <w:pPr>
        <w:pStyle w:val="10"/>
        <w:ind w:left="-709"/>
        <w:jc w:val="both"/>
        <w:rPr>
          <w:sz w:val="28"/>
        </w:rPr>
      </w:pPr>
      <w:r>
        <w:rPr>
          <w:sz w:val="28"/>
        </w:rPr>
        <w:t xml:space="preserve">Существуют также причины коммерческого характера, заставляющие банки самих решиться проводить более существенную часть своих потоков сделок через системы RTGS. Во-первых, анализ собственного риска приведет их к желанию шире использовать системы RTGS для уменьшения своего риска потенциальных убытков, существующего на протяжении дня. Во-вторых, требования клиентов относительно получения денег непосредственно в день заключения сделки станут подталкивать банки в том же направлении -- некоторые предприятия считают, что они уже их получат и тем самым оставят своих банкиров с риском потенциальных убытков, который будет становиться все более неприемлемым. В-третьих, к этим факторам добавятся приход схем оплаты "поставка против платежа" на рынки ценных бумаг и "платеж против платежа" на рынки иностранной валюты. </w:t>
      </w:r>
    </w:p>
    <w:p w:rsidR="00B82893" w:rsidRDefault="00E4298B">
      <w:pPr>
        <w:pStyle w:val="10"/>
        <w:ind w:left="-709"/>
        <w:jc w:val="both"/>
        <w:rPr>
          <w:sz w:val="28"/>
        </w:rPr>
      </w:pPr>
      <w:r>
        <w:rPr>
          <w:sz w:val="28"/>
        </w:rPr>
        <w:t xml:space="preserve">Многие существующие системы учета взаимных требований и обязательств предлагают беспроцентный или за низкий процент кредит, предоставляемый на один день, который зачастую не требует обеспечения и не ограничивается. Они также эффективно используют ликвидность, поскольку чистые позиции обычно составляют малую часть общего риска потенциальных убытков. Но существуют кредитные риски и риски, связанные с функционированием системы или нарушением закона, которые можно ограничить только применением к этим системам учета взаимных требований и обязательств регулирующих мер. Эти меры могут сильно уменьшить их привлекательность в коммерческом плане. </w:t>
      </w:r>
    </w:p>
    <w:p w:rsidR="00B82893" w:rsidRDefault="00E4298B">
      <w:pPr>
        <w:pStyle w:val="10"/>
        <w:ind w:left="-709"/>
        <w:jc w:val="both"/>
        <w:rPr>
          <w:sz w:val="28"/>
        </w:rPr>
      </w:pPr>
      <w:r>
        <w:rPr>
          <w:sz w:val="28"/>
        </w:rPr>
        <w:t xml:space="preserve">Наоборот, в системах расчетов по крупным сделкам в режиме реального времени того типа, что разрабатывается и внедряется в настоящее время, кредит, предоставляемый на один день, строго ограничен либо абсолютной суммой, либо суммой обеспеченных овердрафтов или же овердрафт совсем не допускается; либо он имеет явную цену, как в системе электронной связи федеральных резервных банков Fedwire, либо для него используется альтернативная форма оплаты в виде активов, которые должны быть заложены в центральном банке; минимизация использования этого кредита или достижение разрешенного максимума означает, что платежи должны выполняться в первую очередь, ставиться в очередь или задерживаться. </w:t>
      </w:r>
    </w:p>
    <w:p w:rsidR="00B82893" w:rsidRDefault="00E4298B">
      <w:pPr>
        <w:pStyle w:val="10"/>
        <w:ind w:left="-709"/>
        <w:jc w:val="both"/>
        <w:rPr>
          <w:sz w:val="28"/>
        </w:rPr>
      </w:pPr>
      <w:r>
        <w:rPr>
          <w:sz w:val="28"/>
        </w:rPr>
        <w:t xml:space="preserve">Использование систем RTGS приводит к тому, что управление ликвидностью организации в целом становится значительно более напряженным. Отделы банков, занимающиеся корреспондентскими отношениями, в конце концов обнаружат, что они борются с другими подразделениями своей организации за дефицитные ресурсы, которые приобретают ощутимую стоимость в течение дня. Короче говоря, система RTGS придает деньгам самостоятельную ценность в течение дня. </w:t>
      </w:r>
    </w:p>
    <w:p w:rsidR="00B82893" w:rsidRDefault="00E4298B">
      <w:pPr>
        <w:pStyle w:val="10"/>
        <w:ind w:left="-709"/>
        <w:jc w:val="both"/>
        <w:rPr>
          <w:sz w:val="28"/>
        </w:rPr>
      </w:pPr>
      <w:r>
        <w:rPr>
          <w:sz w:val="28"/>
        </w:rPr>
        <w:t xml:space="preserve">Все это привлекает особое внимание к банкам, предоставляющим корреспондентские услуги. Как они собираются покрывать эти издержки? Как они будут убеждать клиентов вносить плату за то, что прежде было бесплатным, т.е. за кредиты, предоставляемые на один день? </w:t>
      </w:r>
    </w:p>
    <w:p w:rsidR="00B82893" w:rsidRDefault="00E4298B">
      <w:pPr>
        <w:pStyle w:val="10"/>
        <w:ind w:left="-709"/>
        <w:jc w:val="both"/>
        <w:rPr>
          <w:sz w:val="28"/>
        </w:rPr>
      </w:pPr>
      <w:r>
        <w:rPr>
          <w:sz w:val="28"/>
        </w:rPr>
        <w:t xml:space="preserve">На внутрибанковском уровне им придется подумать, каким рискам они подвергаются при своем внутреннем учете взаимных требований и обязательств по корреспондентским счетам. Когда окончательность расчетов действительно достигается? </w:t>
      </w:r>
    </w:p>
    <w:p w:rsidR="00B82893" w:rsidRDefault="00E4298B">
      <w:pPr>
        <w:pStyle w:val="10"/>
        <w:ind w:left="-709"/>
        <w:jc w:val="both"/>
        <w:rPr>
          <w:sz w:val="28"/>
        </w:rPr>
      </w:pPr>
      <w:r>
        <w:rPr>
          <w:sz w:val="28"/>
        </w:rPr>
        <w:t xml:space="preserve">Система RTGS не только затрудняет обоснование правил, которые исключают зарубежные корреспондентские банки из непосредственного членства в национальных платежных системах, но и дает этим банкам явный стимул уменьшить издержки путем отказа от прежних корреспондентов. </w:t>
      </w:r>
    </w:p>
    <w:p w:rsidR="00B82893" w:rsidRDefault="00E4298B">
      <w:pPr>
        <w:pStyle w:val="10"/>
        <w:ind w:left="-709"/>
        <w:jc w:val="both"/>
        <w:rPr>
          <w:sz w:val="28"/>
        </w:rPr>
      </w:pPr>
      <w:r>
        <w:rPr>
          <w:sz w:val="28"/>
        </w:rPr>
        <w:t xml:space="preserve">Для многих международных банков это хорошо согласуется с растущим убеждением, что они должны проявлять больше интереса к тому, чтобы прямо контролировать потоки своих платежей по всему миру, а не оставлять их в руках своих корреспондентов, которые в более широком контексте могут также быть их конкурентами. Например, в Великобритании в течение последних двух лет банки Deutsche Bank и Credit Lyonnais вошли в систему Chaps в качестве членов по непосредственным расчетам. </w:t>
      </w:r>
    </w:p>
    <w:p w:rsidR="00B82893" w:rsidRDefault="00E4298B">
      <w:pPr>
        <w:pStyle w:val="10"/>
        <w:ind w:left="-709"/>
        <w:jc w:val="both"/>
        <w:rPr>
          <w:sz w:val="28"/>
        </w:rPr>
      </w:pPr>
      <w:r>
        <w:rPr>
          <w:sz w:val="28"/>
        </w:rPr>
        <w:t xml:space="preserve">Непосредственное членство позволяет банку решительно взять в свои руки контроль над координацией потоков его собственных платежей, вводя осуществление платежей в ряд общих мер по управлению ликвидностью, а также позволяет использовать обеспечение не только в одной точке, но по крайней мере в пределах одного часового пояса, а в лучшем случае, и круглосуточно. Оно может также дать то дополнительное преимущество, что в будущем банк составит свое мнение об издержках системы и, следовательно, о ценах, которые он решит назначить своим клиентам. </w:t>
      </w:r>
    </w:p>
    <w:p w:rsidR="00B82893" w:rsidRDefault="00E4298B">
      <w:pPr>
        <w:pStyle w:val="10"/>
        <w:ind w:left="-709"/>
        <w:jc w:val="both"/>
        <w:rPr>
          <w:sz w:val="28"/>
        </w:rPr>
      </w:pPr>
      <w:r>
        <w:rPr>
          <w:sz w:val="28"/>
        </w:rPr>
        <w:t xml:space="preserve">Конечно, не перед всеми банками этот выбор встанет так остро, но он будет привлекать многих, и, вероятно, наиболее выгодных корреспондентов. В будущем, когда в основном будут использоваться системы RTGS, лидером рынка станет банк, управляющий своей ликвидностью наиболее эффективно. </w:t>
      </w:r>
    </w:p>
    <w:p w:rsidR="00B82893" w:rsidRDefault="00E4298B">
      <w:pPr>
        <w:pStyle w:val="10"/>
        <w:ind w:left="-709"/>
        <w:jc w:val="both"/>
        <w:rPr>
          <w:sz w:val="28"/>
        </w:rPr>
      </w:pPr>
      <w:r>
        <w:rPr>
          <w:sz w:val="28"/>
        </w:rPr>
        <w:t xml:space="preserve">В контексте Европейского союза действует еще один дополнительный фактор: системы RTGS почти наверняка будут связаны между собой, чтобы обеспечить необходимую часть финансовой инфраструктуры Европейского валютного союза (EMU), даже между теми государствами -- членами ЕС, которые первоначально не присоединятся к единой валюте. Путь к этому указывает работа Европейского валютного института над проектом Target. </w:t>
      </w:r>
    </w:p>
    <w:p w:rsidR="00B82893" w:rsidRDefault="00E4298B">
      <w:pPr>
        <w:pStyle w:val="10"/>
        <w:ind w:left="-709"/>
        <w:jc w:val="both"/>
        <w:rPr>
          <w:sz w:val="28"/>
        </w:rPr>
      </w:pPr>
      <w:r>
        <w:rPr>
          <w:sz w:val="28"/>
        </w:rPr>
        <w:t xml:space="preserve">Хотя основная причина объединения систем RTGS -- необходимость обеспечения беспрепятственного проведения кредитно-денежной политики в пределах всего Европейского союза, непосредственная передача этим путем некоторых коммерческих платежей может стать также привлекательной и в отношении экономической выгоды. Платежи, которые должны быть произведены к концу текущего дня, платежи большого объема на денежных рынках, крупные платежи для незнакомых контрагентов и платежи, выполняемые во время напряженности на рынке, -- все могут проходить через этот канал. </w:t>
      </w:r>
    </w:p>
    <w:p w:rsidR="00B82893" w:rsidRDefault="00E4298B">
      <w:pPr>
        <w:pStyle w:val="10"/>
        <w:ind w:left="-709"/>
        <w:jc w:val="both"/>
        <w:rPr>
          <w:sz w:val="28"/>
        </w:rPr>
      </w:pPr>
      <w:r>
        <w:rPr>
          <w:sz w:val="28"/>
        </w:rPr>
        <w:t xml:space="preserve">Возможность осуществлять окончательные платежи откуда угодно в пределах Европейского союза непосредственно членам каждой национальной системы также может быть привлекательной и с точки зрения собственной деятельности банка, и давать ему мощный инструмент в конкурентной борьбе за качество обслуживания корпоративных клиентов, включая управление денежными средствами. </w:t>
      </w:r>
    </w:p>
    <w:p w:rsidR="00B82893" w:rsidRDefault="00E4298B">
      <w:pPr>
        <w:pStyle w:val="10"/>
        <w:ind w:left="-709"/>
        <w:jc w:val="both"/>
        <w:rPr>
          <w:sz w:val="28"/>
        </w:rPr>
      </w:pPr>
      <w:r>
        <w:rPr>
          <w:sz w:val="28"/>
        </w:rPr>
        <w:t xml:space="preserve">В основе всех этих факторов лежит растущее понимание того, что существующая схема договоренности об оплате позволяет существовать неприемлемому уровню риска, связанного с партнером, в особенности расчетного риска. </w:t>
      </w:r>
    </w:p>
    <w:p w:rsidR="00B82893" w:rsidRDefault="00E4298B">
      <w:pPr>
        <w:pStyle w:val="10"/>
        <w:ind w:left="-709"/>
        <w:jc w:val="both"/>
        <w:rPr>
          <w:sz w:val="28"/>
        </w:rPr>
      </w:pPr>
      <w:r>
        <w:rPr>
          <w:sz w:val="28"/>
        </w:rPr>
        <w:t xml:space="preserve">Многие процедуры, принятые на рынке, к тому же излишне увеличивают эти риски -- это платежи, поступающие в систему ранее даты расчета, иногда чтобы удовлетворять слишком ранним крайним срокам для расчетов в день заключения сделки; системы, которые не позволяют банкам выявить и отозвать платежи в случае возникновения проблем; выписки, посылаемые с запозданием или даже по почте; выверки, делаемые часто и десять дней спустя. </w:t>
      </w:r>
    </w:p>
    <w:p w:rsidR="00B82893" w:rsidRDefault="00E4298B">
      <w:pPr>
        <w:pStyle w:val="10"/>
        <w:ind w:left="-709"/>
        <w:jc w:val="both"/>
        <w:rPr>
          <w:sz w:val="28"/>
        </w:rPr>
      </w:pPr>
      <w:r>
        <w:rPr>
          <w:sz w:val="28"/>
        </w:rPr>
        <w:t xml:space="preserve">Тем временем риск потенциальных убытков может возрасти до уровня, значительно превышающего тот, которому банки, выполняющие расчеты, были бы готовы подвергаться. Как стало ясно из недавнего коммюнике расположенной в Базеле Комиссии группы G-10 по платежным и расчетным системам, центральные банки берут на себя обязательства проводить политику, которая приведет к значительному и неуклонному уменьшению расчетного риска в пределах всего рынка. В ходе этой работы методы корреспондентской банковской деятельности подвергались тщательному изучению, и оказалось, что они во все большей степени не отвечают предъявляемым требованиям. </w:t>
      </w:r>
    </w:p>
    <w:p w:rsidR="00B82893" w:rsidRDefault="00E4298B">
      <w:pPr>
        <w:pStyle w:val="10"/>
        <w:ind w:left="-709"/>
        <w:jc w:val="both"/>
        <w:rPr>
          <w:sz w:val="28"/>
        </w:rPr>
      </w:pPr>
      <w:r>
        <w:rPr>
          <w:sz w:val="28"/>
        </w:rPr>
        <w:t xml:space="preserve">Есть два особых обстоятельства, которые могут увеличить давление на традиционные корреспондентские отношения, направленное на перевод все большего потока расчетов в системы RTGS. Одно из них заключается в растущем интересе к тому, что может быть названо "системой истинной поставки против платежа", или учитывающий изменения валютного курса обмен денег на ценные бумаги в режиме реального времени. </w:t>
      </w:r>
    </w:p>
    <w:p w:rsidR="00B82893" w:rsidRDefault="00E4298B">
      <w:pPr>
        <w:pStyle w:val="10"/>
        <w:ind w:left="-709"/>
        <w:jc w:val="both"/>
        <w:rPr>
          <w:sz w:val="28"/>
        </w:rPr>
      </w:pPr>
      <w:r>
        <w:rPr>
          <w:sz w:val="28"/>
        </w:rPr>
        <w:t xml:space="preserve">При использовании многих существующих систем опасность состоит в том, что клиент получает поставку против платежа на самом деле за счет своего расчетного банка, который и принимает на себя тот риск, что расчет может не состояться. Этот потенциальный риск расчетных банков не может более быть приемлемым ни для самих банков, ни для организаций, их контролирующих. В частности, риски расчетов в международных сделках с ценными бумагами становятся более явными. </w:t>
      </w:r>
    </w:p>
    <w:p w:rsidR="00B82893" w:rsidRDefault="00E4298B">
      <w:pPr>
        <w:pStyle w:val="10"/>
        <w:ind w:left="-709"/>
        <w:jc w:val="both"/>
        <w:rPr>
          <w:sz w:val="28"/>
        </w:rPr>
      </w:pPr>
      <w:r>
        <w:rPr>
          <w:sz w:val="28"/>
        </w:rPr>
        <w:t xml:space="preserve">Проблема заключается в том, что хотя методика "поставка против платежа" решает одну сторону вопроса, она же порождает новые трудности. Во-первых, как для банков, так и для их клиентов -- небанковских финансовых организаций -- значительно затрудняется управление ликвидностью. Замораживаете ли вы денежные средства на время ожидания поставки ценных бумаг или нет? В любом случае, в системах реального масштаба времени, где ликвидность в большом почете, вы подвергаетесь риску временного отсутствия средств, если не готовы допустить для платежей, связанных с ценными бумагами, наличие неограниченных, предоставляемых на один день овердрафтов. Тогда перед вами встает та же самая проблема, но с другой стороны. </w:t>
      </w:r>
    </w:p>
    <w:p w:rsidR="00B82893" w:rsidRDefault="00E4298B">
      <w:pPr>
        <w:pStyle w:val="10"/>
        <w:ind w:left="-709"/>
        <w:jc w:val="both"/>
        <w:rPr>
          <w:sz w:val="28"/>
        </w:rPr>
      </w:pPr>
      <w:r>
        <w:rPr>
          <w:sz w:val="28"/>
        </w:rPr>
        <w:t xml:space="preserve">В случае международных расчетов в разных валютах эти трудности увеличиваются. По данным Банка международных расчетов (Bank for International Settlements, BIS), эта область является основным источником систематического риска. </w:t>
      </w:r>
    </w:p>
    <w:p w:rsidR="00B82893" w:rsidRDefault="00E4298B">
      <w:pPr>
        <w:pStyle w:val="10"/>
        <w:ind w:left="-709"/>
        <w:jc w:val="both"/>
        <w:rPr>
          <w:sz w:val="28"/>
        </w:rPr>
      </w:pPr>
      <w:r>
        <w:rPr>
          <w:sz w:val="28"/>
        </w:rPr>
        <w:t xml:space="preserve">Недавние события показали, что на рынках иностранной валюты по-прежнему существует временной, или херштатский, риск (Herstatt risk, см. врезку). Для того чтобы уменьшить его, было сделано немало, тем не менее усилия нужно продолжать прикладывать и дальше. Инфраструктура корреспондентской банковской деятельности была признана самым слабым звеном. В этой области существует не одна проблема и, следовательно, нет и единого решения. </w:t>
      </w:r>
    </w:p>
    <w:p w:rsidR="00B82893" w:rsidRDefault="00E4298B">
      <w:pPr>
        <w:pStyle w:val="10"/>
        <w:ind w:left="-709"/>
        <w:jc w:val="both"/>
        <w:rPr>
          <w:sz w:val="28"/>
        </w:rPr>
      </w:pPr>
      <w:r>
        <w:rPr>
          <w:sz w:val="28"/>
        </w:rPr>
        <w:t xml:space="preserve">Однако есть схема осуществления платежей, которая несомненно привлечет в ближайшем будущем более пристальное внимание -- это "платеж против платежа", которую можно определить так: соглашение, при котором обмен ценностей в одном месте находится в взаимозависимости от обмена ценностей в другом месте. Другими словами, прямые связи между системами RTGS дают возможность, например, обеспечить получение банком окончательной и не подлежащей отмене поставки фунтов стерлингов в Лондоне. </w:t>
      </w:r>
    </w:p>
    <w:p w:rsidR="00B82893" w:rsidRDefault="00E4298B">
      <w:pPr>
        <w:pStyle w:val="10"/>
        <w:ind w:left="-709"/>
        <w:jc w:val="both"/>
        <w:rPr>
          <w:sz w:val="28"/>
        </w:rPr>
      </w:pPr>
      <w:r>
        <w:rPr>
          <w:sz w:val="28"/>
        </w:rPr>
        <w:t xml:space="preserve">Многосторонние расчетные палаты являются большим шагом вперед, и в связи с этим заслуживают изучения идеи группы частных банков G-20. Реализовать их будет нелегко, но и реализованные, они не станут окончательным ответом. </w:t>
      </w:r>
    </w:p>
    <w:p w:rsidR="00B82893" w:rsidRDefault="00E4298B">
      <w:pPr>
        <w:pStyle w:val="10"/>
        <w:ind w:left="-709"/>
        <w:jc w:val="both"/>
        <w:rPr>
          <w:sz w:val="28"/>
        </w:rPr>
      </w:pPr>
      <w:r>
        <w:rPr>
          <w:sz w:val="28"/>
        </w:rPr>
        <w:t xml:space="preserve">Угроза и возможности, исходящие из систем RTGS, не исчезнут. Одновременный расчет привнесет проблемы управления ликвидностью в обе системы, участвующие в нем. Только те банки, которые всесторонне обдумали методы своей деятельности, смогут остаться конкурентоспособными и прибыльными. </w:t>
      </w:r>
    </w:p>
    <w:p w:rsidR="00B82893" w:rsidRDefault="00E4298B">
      <w:pPr>
        <w:pStyle w:val="10"/>
        <w:ind w:left="-709"/>
        <w:jc w:val="both"/>
        <w:rPr>
          <w:sz w:val="28"/>
        </w:rPr>
      </w:pPr>
      <w:r>
        <w:rPr>
          <w:sz w:val="28"/>
        </w:rPr>
        <w:t xml:space="preserve">Однако те, кто все-таки завершит этот процесс, будут вознаграждены. Для них это будет означать поиск новых благоприятных возможностей для выяснения того, какие услуги и как именно предоставлять клиентам самым выгодным образом. Это будет также означать более тесную внутреннюю координацию, нежели та, что иногда имела место в некоторых банках, между подразделениями управления денежными средствами, внутренних и международных платежных систем, и теми, кто несет коллективную ответственность за расчеты по сделкам с ценными бумагами -- все они будут следить за использованием ограниченных ликвидных средств банка. Это может повлечь за собой изменение структуры организации и обдумывание заново основных направлений менеджмента, чтобы обеспечить максимальную эффективность. И наконец, для поддержки тех, кто отвечает за принятие решений, потребуются специальные структуры и системы, предоставляющие высококачественную и своевременную информацию.© </w:t>
      </w:r>
    </w:p>
    <w:p w:rsidR="00B82893" w:rsidRDefault="00E4298B">
      <w:pPr>
        <w:pStyle w:val="10"/>
        <w:ind w:left="-709"/>
        <w:jc w:val="both"/>
        <w:rPr>
          <w:sz w:val="28"/>
        </w:rPr>
      </w:pPr>
      <w:r>
        <w:rPr>
          <w:sz w:val="28"/>
        </w:rPr>
        <w:t xml:space="preserve">FTiB, May 1996, Vol. Xiii, No. 9, p. 8 </w:t>
      </w:r>
    </w:p>
    <w:p w:rsidR="00B82893" w:rsidRDefault="00E4298B">
      <w:pPr>
        <w:pStyle w:val="10"/>
        <w:ind w:left="-709"/>
        <w:jc w:val="both"/>
        <w:rPr>
          <w:sz w:val="28"/>
        </w:rPr>
      </w:pPr>
      <w:r>
        <w:rPr>
          <w:sz w:val="28"/>
        </w:rPr>
        <w:t xml:space="preserve">Врезка к статье "RTGS и банки-корреспонденты": Всемирный валютный клиринговый банк </w:t>
      </w:r>
    </w:p>
    <w:p w:rsidR="00B82893" w:rsidRDefault="00E4298B">
      <w:pPr>
        <w:pStyle w:val="10"/>
        <w:ind w:left="-709"/>
        <w:jc w:val="both"/>
        <w:rPr>
          <w:sz w:val="28"/>
        </w:rPr>
      </w:pPr>
      <w:r>
        <w:rPr>
          <w:sz w:val="28"/>
        </w:rPr>
        <w:t xml:space="preserve">Ведущие международные банки планируют совместно разработать систему постоянно выполняемых расчетов, связанных с изменением валютного курса. Система предназначена для уменьшения международного риска, который возникает на мировых валютных рынках, имеющих дневной оборот 800 млн. ф. ст. </w:t>
      </w:r>
    </w:p>
    <w:p w:rsidR="00B82893" w:rsidRDefault="00E4298B">
      <w:pPr>
        <w:pStyle w:val="10"/>
        <w:ind w:left="-709"/>
        <w:jc w:val="both"/>
        <w:rPr>
          <w:sz w:val="28"/>
        </w:rPr>
      </w:pPr>
      <w:r>
        <w:rPr>
          <w:sz w:val="28"/>
        </w:rPr>
        <w:t xml:space="preserve">Эта инициатива выдвинута Группой двадцати (G-20), в нее вошли семнадцать крупнейших банков мира. Первая встреча членов Группы состоялась во время Международного семинара SWIFT по банковским операциям (SIBOS) в 1994 г. в Бостоне. На ней они выразили озабоченность безопасностью работы систем крупных платежей. </w:t>
      </w:r>
    </w:p>
    <w:p w:rsidR="00B82893" w:rsidRDefault="00E4298B">
      <w:pPr>
        <w:pStyle w:val="10"/>
        <w:ind w:left="-709"/>
        <w:jc w:val="both"/>
        <w:rPr>
          <w:sz w:val="28"/>
        </w:rPr>
      </w:pPr>
      <w:r>
        <w:rPr>
          <w:sz w:val="28"/>
        </w:rPr>
        <w:t xml:space="preserve">В течение последних шести месяцев группа G-20 сосредоточила внимание на предложении, выдвинутом частным сектором, о создании системы "платеж против платежа" (Payment Versus Payment, PVP) с целью уменьшения риска и увеличения эффективности расчетов и клиринга валютных платежей, связанных c изменением валютного курса и зависящих преимущественно от сделок на рынках иностранной валюты. </w:t>
      </w:r>
    </w:p>
    <w:p w:rsidR="00B82893" w:rsidRDefault="00E4298B">
      <w:pPr>
        <w:pStyle w:val="10"/>
        <w:ind w:left="-709"/>
        <w:jc w:val="both"/>
        <w:rPr>
          <w:sz w:val="28"/>
        </w:rPr>
      </w:pPr>
      <w:r>
        <w:rPr>
          <w:sz w:val="28"/>
        </w:rPr>
        <w:t xml:space="preserve">В ходе встречи в феврале 1996 г. группа G-20 обсудила вопросы реализации системы PVP, основанной на концепции постоянно выполняемых расчетов, связанных с изменением валютного курса и производимых через международный клиринговый банк. По этому сценарию многовалютная расчетная система позволит обеспечивать немедленный расчет по встречным транзакциям, производимым ее членами. </w:t>
      </w:r>
    </w:p>
    <w:p w:rsidR="00B82893" w:rsidRDefault="00E4298B">
      <w:pPr>
        <w:pStyle w:val="10"/>
        <w:ind w:left="-709"/>
        <w:jc w:val="both"/>
        <w:rPr>
          <w:sz w:val="28"/>
        </w:rPr>
      </w:pPr>
      <w:r>
        <w:rPr>
          <w:sz w:val="28"/>
        </w:rPr>
        <w:t xml:space="preserve">Как представляется в настоящее время, встречные транзакции, соответствующие ограничениям по риску, будут немедленно и одновременно выполняться путем дебетования и кредитования счетов членов многовалютной клиринговой системы. Ее следует разработать таким образом, чтобы на входе воспринимались данные, выдаваемые системами двустроннего и многостороннего учета требований и обязательств, что позволит работать с валютами, имеющими хождение на внутреннем рынке и использующимися для расчетов по крупным сделкам в режиме реального времени, часы работы с которыми пересекаются с часами работы других внутренних платежных систем. </w:t>
      </w:r>
    </w:p>
    <w:p w:rsidR="00B82893" w:rsidRDefault="00E4298B">
      <w:pPr>
        <w:pStyle w:val="10"/>
        <w:ind w:left="-709"/>
        <w:jc w:val="both"/>
        <w:rPr>
          <w:sz w:val="28"/>
        </w:rPr>
      </w:pPr>
      <w:r>
        <w:rPr>
          <w:sz w:val="28"/>
        </w:rPr>
        <w:t xml:space="preserve">Поддерживающие данный проект представители частного сектора надеются заручиться одобрением центральных банков, подготовивших в 1993 г. так называемый Рождественский доклад, в котором приводятся описания рисков, возникающих из-за перекрытия и взаимных зависимостей национальных платежных систем. Он опубликован под эгидой Банка международных расчетов (Bank for International Settlements), в нем предлагается возможный сценарий будущих международных платежей, который устанавливает связи между системами крупных денежных переводов и переход на круглосуточную работу. В докладе также представлены потенциальные возможности центральных банков сообща обрабатывать многовалютные платежи и расчеты. </w:t>
      </w:r>
    </w:p>
    <w:p w:rsidR="00B82893" w:rsidRDefault="00E4298B">
      <w:pPr>
        <w:pStyle w:val="10"/>
        <w:ind w:left="-709"/>
        <w:jc w:val="both"/>
        <w:rPr>
          <w:sz w:val="28"/>
        </w:rPr>
      </w:pPr>
      <w:r>
        <w:rPr>
          <w:sz w:val="28"/>
        </w:rPr>
        <w:t xml:space="preserve">Исходя из своих предложений, группа G-20 надеется убедить руководителей центральных банков в готовности частного сектора самостоятельно разрабатывать и реализовывать программы по уменьшению риска, а также в отсутствии необходимости дальнейшего вмешательства. </w:t>
      </w:r>
    </w:p>
    <w:p w:rsidR="00B82893" w:rsidRDefault="00E4298B">
      <w:pPr>
        <w:pStyle w:val="10"/>
        <w:ind w:left="-709"/>
        <w:jc w:val="both"/>
        <w:rPr>
          <w:sz w:val="28"/>
        </w:rPr>
      </w:pPr>
      <w:r>
        <w:rPr>
          <w:sz w:val="28"/>
        </w:rPr>
        <w:t xml:space="preserve">Группа G-20 собирается добиться своей цели в течение трех лет, что символически приурочено к 25-й годовщине краха немецкого банка Bankhaus Herstatt. Стремительное закрытие банка Herstatt в 1974 г. вызвало сильный шок, потрясший все мировые платежные круги. Участники валютных сделок понесли серьезные потери, и после закрытия банка международные платежные системы были несколько дней практически парализованы. </w:t>
      </w:r>
    </w:p>
    <w:p w:rsidR="00B82893" w:rsidRDefault="00E4298B">
      <w:pPr>
        <w:pStyle w:val="10"/>
        <w:ind w:left="-709"/>
        <w:jc w:val="both"/>
        <w:rPr>
          <w:sz w:val="28"/>
        </w:rPr>
      </w:pPr>
      <w:r>
        <w:rPr>
          <w:sz w:val="28"/>
        </w:rPr>
        <w:t xml:space="preserve">В настоящее время предложения группы G-20 находятся на стадии формирования, причем большая часть усилий сосредоточивается на технических вопросах, относящихся к описанию функционирования и планам проектирования и реализации системы PVP для постоянно выполняемых расчетов, связанных с изменением валютного курса. По мнению членов группы, она будет работать в сотрудничестве с существующими отраслевыми службами, в том числе с системой учета взаимных требований и обязательств Echo и сетью SWIFT. Несмотря на уверения группы G-20, что никакого существенного дублирования функций не возникнет, работники двусторонних систем учета требований и обязательств опасаются воздействия, которое эти предложения окажут на их системы. </w:t>
      </w:r>
    </w:p>
    <w:p w:rsidR="00B82893" w:rsidRDefault="00E4298B">
      <w:pPr>
        <w:pStyle w:val="10"/>
        <w:ind w:left="-709"/>
        <w:jc w:val="both"/>
        <w:rPr>
          <w:sz w:val="28"/>
        </w:rPr>
      </w:pPr>
      <w:r>
        <w:rPr>
          <w:sz w:val="28"/>
        </w:rPr>
        <w:t xml:space="preserve">Система PVP будет иметь "объективные и открытые критерии членства, которые разрешат законное и открытое вступление в нее. Поэтому система PVP будет открыта для всех банков, удовлетворяющих критериям членства", говорится в коммюнике группы G-20. </w:t>
      </w:r>
    </w:p>
    <w:p w:rsidR="00B82893" w:rsidRDefault="00E4298B">
      <w:pPr>
        <w:pStyle w:val="10"/>
        <w:ind w:left="-709"/>
        <w:jc w:val="both"/>
        <w:rPr>
          <w:sz w:val="28"/>
        </w:rPr>
      </w:pPr>
      <w:r>
        <w:rPr>
          <w:sz w:val="28"/>
        </w:rPr>
        <w:t>В проекте участвуют следующие банки: ABN Amro, Bank of America, Banque Nationale de Paris, Barclays, Chase Manhattan Bank, Chemical Bank, Citibank, Credit Suisse, Deutsche Bank, Fuji Bank, HSBC Holdings, J P Morgan, National Westminster, Royal Bank of Canada, Societe Generale, Swiss Bank Corporation и Union</w:t>
      </w:r>
      <w:r>
        <w:rPr>
          <w:sz w:val="28"/>
        </w:rPr>
        <w:tab/>
      </w:r>
      <w:r>
        <w:rPr>
          <w:sz w:val="28"/>
        </w:rPr>
        <w:tab/>
        <w:t>Bank</w:t>
      </w:r>
      <w:r>
        <w:rPr>
          <w:sz w:val="28"/>
        </w:rPr>
        <w:tab/>
        <w:t>of</w:t>
      </w:r>
      <w:r>
        <w:rPr>
          <w:sz w:val="28"/>
        </w:rPr>
        <w:tab/>
        <w:t xml:space="preserve">Switzerland. </w:t>
      </w:r>
      <w:r>
        <w:rPr>
          <w:sz w:val="28"/>
        </w:rPr>
        <w:br/>
      </w:r>
    </w:p>
    <w:p w:rsidR="00B82893" w:rsidRDefault="00B82893">
      <w:pPr>
        <w:pStyle w:val="10"/>
        <w:ind w:left="-709"/>
        <w:jc w:val="both"/>
        <w:rPr>
          <w:sz w:val="28"/>
        </w:rPr>
      </w:pPr>
    </w:p>
    <w:p w:rsidR="00B82893" w:rsidRDefault="00B82893">
      <w:pPr>
        <w:pStyle w:val="10"/>
        <w:ind w:left="-709"/>
        <w:jc w:val="both"/>
        <w:rPr>
          <w:sz w:val="28"/>
        </w:rPr>
      </w:pPr>
    </w:p>
    <w:p w:rsidR="00B82893" w:rsidRDefault="00B82893">
      <w:pPr>
        <w:pStyle w:val="10"/>
        <w:ind w:left="-709"/>
        <w:jc w:val="both"/>
        <w:rPr>
          <w:sz w:val="28"/>
        </w:rPr>
      </w:pPr>
    </w:p>
    <w:p w:rsidR="00B82893" w:rsidRDefault="00B82893">
      <w:pPr>
        <w:pStyle w:val="10"/>
        <w:ind w:left="-709"/>
        <w:jc w:val="both"/>
        <w:rPr>
          <w:sz w:val="28"/>
        </w:rPr>
      </w:pPr>
    </w:p>
    <w:p w:rsidR="00B82893" w:rsidRDefault="00B82893">
      <w:pPr>
        <w:pStyle w:val="10"/>
        <w:ind w:left="-709"/>
        <w:jc w:val="both"/>
        <w:rPr>
          <w:sz w:val="28"/>
        </w:rPr>
      </w:pPr>
    </w:p>
    <w:p w:rsidR="00B82893" w:rsidRDefault="00B82893">
      <w:pPr>
        <w:pStyle w:val="10"/>
        <w:ind w:left="-709"/>
        <w:jc w:val="both"/>
        <w:rPr>
          <w:sz w:val="28"/>
        </w:rPr>
      </w:pPr>
    </w:p>
    <w:p w:rsidR="00B82893" w:rsidRDefault="00B82893">
      <w:pPr>
        <w:pStyle w:val="10"/>
        <w:ind w:left="-709"/>
        <w:jc w:val="both"/>
        <w:rPr>
          <w:sz w:val="28"/>
        </w:rPr>
      </w:pPr>
    </w:p>
    <w:p w:rsidR="00B82893" w:rsidRDefault="00B82893">
      <w:pPr>
        <w:pStyle w:val="10"/>
        <w:ind w:left="-709"/>
        <w:jc w:val="both"/>
        <w:rPr>
          <w:sz w:val="28"/>
        </w:rPr>
      </w:pPr>
    </w:p>
    <w:p w:rsidR="00B82893" w:rsidRDefault="00E4298B">
      <w:pPr>
        <w:pStyle w:val="10"/>
        <w:ind w:left="-993" w:firstLine="284"/>
        <w:jc w:val="both"/>
        <w:rPr>
          <w:b/>
          <w:sz w:val="36"/>
        </w:rPr>
      </w:pPr>
      <w:r>
        <w:rPr>
          <w:sz w:val="28"/>
        </w:rPr>
        <w:br/>
        <w:t xml:space="preserve">  </w:t>
      </w:r>
      <w:r>
        <w:rPr>
          <w:b/>
          <w:sz w:val="36"/>
        </w:rPr>
        <w:t>Глава 2 Значение валютного клиринга для стран СНГ.</w:t>
      </w:r>
    </w:p>
    <w:tbl>
      <w:tblPr>
        <w:tblW w:w="0" w:type="auto"/>
        <w:jc w:val="center"/>
        <w:tblLayout w:type="fixed"/>
        <w:tblCellMar>
          <w:left w:w="0" w:type="dxa"/>
          <w:right w:w="0" w:type="dxa"/>
        </w:tblCellMar>
        <w:tblLook w:val="0000" w:firstRow="0" w:lastRow="0" w:firstColumn="0" w:lastColumn="0" w:noHBand="0" w:noVBand="0"/>
      </w:tblPr>
      <w:tblGrid>
        <w:gridCol w:w="334"/>
        <w:gridCol w:w="57"/>
        <w:gridCol w:w="8969"/>
        <w:gridCol w:w="469"/>
        <w:gridCol w:w="1253"/>
        <w:gridCol w:w="57"/>
      </w:tblGrid>
      <w:tr w:rsidR="00B82893">
        <w:trPr>
          <w:gridAfter w:val="3"/>
          <w:wAfter w:w="1779" w:type="dxa"/>
          <w:trHeight w:val="103"/>
          <w:jc w:val="center"/>
        </w:trPr>
        <w:tc>
          <w:tcPr>
            <w:tcW w:w="9360" w:type="dxa"/>
            <w:gridSpan w:val="3"/>
            <w:vAlign w:val="center"/>
          </w:tcPr>
          <w:p w:rsidR="00B82893" w:rsidRDefault="00B82893">
            <w:pPr>
              <w:pStyle w:val="10"/>
              <w:rPr>
                <w:sz w:val="28"/>
              </w:rPr>
            </w:pPr>
          </w:p>
        </w:tc>
      </w:tr>
      <w:tr w:rsidR="00B82893">
        <w:trPr>
          <w:gridAfter w:val="3"/>
          <w:wAfter w:w="1779" w:type="dxa"/>
          <w:trHeight w:val="4686"/>
          <w:jc w:val="center"/>
        </w:trPr>
        <w:tc>
          <w:tcPr>
            <w:tcW w:w="9360" w:type="dxa"/>
            <w:gridSpan w:val="3"/>
            <w:vAlign w:val="center"/>
          </w:tcPr>
          <w:p w:rsidR="00B82893" w:rsidRDefault="00E4298B">
            <w:pPr>
              <w:pStyle w:val="10"/>
              <w:rPr>
                <w:sz w:val="32"/>
              </w:rPr>
            </w:pPr>
            <w:r>
              <w:rPr>
                <w:sz w:val="32"/>
              </w:rPr>
              <w:fldChar w:fldCharType="begin"/>
            </w:r>
            <w:r>
              <w:rPr>
                <w:sz w:val="32"/>
              </w:rPr>
              <w:instrText>PRIVATE</w:instrText>
            </w:r>
            <w:r>
              <w:rPr>
                <w:sz w:val="32"/>
              </w:rPr>
              <w:fldChar w:fldCharType="end"/>
            </w:r>
            <w:r>
              <w:rPr>
                <w:rStyle w:val="HTMLMarkup"/>
                <w:color w:val="000000"/>
                <w:sz w:val="32"/>
              </w:rPr>
              <w:t>&lt;TBODY&gt;</w:t>
            </w:r>
            <w:r>
              <w:rPr>
                <w:sz w:val="32"/>
              </w:rPr>
              <w:t xml:space="preserve">Платежная система Казахстана </w:t>
            </w:r>
          </w:p>
          <w:p w:rsidR="00B82893" w:rsidRDefault="00E4298B">
            <w:pPr>
              <w:pStyle w:val="10"/>
              <w:rPr>
                <w:sz w:val="28"/>
              </w:rPr>
            </w:pPr>
            <w:r>
              <w:rPr>
                <w:sz w:val="28"/>
              </w:rPr>
              <w:t xml:space="preserve">Платежная система является жизненно важной составной частью финансовой системы любой страны. Для Казахстана она имеет особую значимость, поскольку стала одной из ключевых проблем реформирования экономики на переходном этапе. Основными составляющими этой проблемы являются, с одной стороны, платежный кризис и его последствия, а с другой - революционные изменения в расчетах между банками, представляющие фундамент новой банковской системы. В настоящее время в республике функционирует функционирует система розничных платежей (СРП) и система крупных платежей (СКП) КЦМР. </w:t>
            </w:r>
          </w:p>
          <w:p w:rsidR="00B82893" w:rsidRDefault="00E4298B">
            <w:pPr>
              <w:pStyle w:val="10"/>
              <w:rPr>
                <w:sz w:val="28"/>
              </w:rPr>
            </w:pPr>
            <w:r>
              <w:rPr>
                <w:sz w:val="28"/>
              </w:rPr>
              <w:t xml:space="preserve">С 1995 года перед Национальным Банком Республики Казахстан (НБК) была поставлена задача модернизировать платежную систему, для того чтобы ускорить расчеты между банками и их клиентами, а также расширить перечень платежных инструментов. Первым этапом реализации этой задачи стала подготовка нормативной базы. В том же году в г. Алматы была организована первая клиринговая палата - Алматинская клиринговая палата, которая работала по методу многостороннего взаимозачета. Недостатком данной системы было то, что банкам-участникам в конце дня приходилось производить обмен первичными документами на бумажных носителях. Это было обусловлено отсутствием опыта и нормативно закрепленного понятия "электронный образ первичного документа". </w:t>
            </w:r>
          </w:p>
          <w:p w:rsidR="00B82893" w:rsidRDefault="00E4298B">
            <w:pPr>
              <w:pStyle w:val="10"/>
              <w:rPr>
                <w:sz w:val="28"/>
              </w:rPr>
            </w:pPr>
            <w:r>
              <w:rPr>
                <w:sz w:val="28"/>
              </w:rPr>
              <w:t xml:space="preserve">В 1996 г. был создан Казахстанский Центр Межбанковских Расчетов (КЦМР), на который были возложены функции по осуществлению межбанковского клиринга и система крупных платежей (СКП). В КЦМР установлено современное оборудование и разработано программное обеспечение, позволяющее работать с электронными платежными документами, не требующими подтверждения на бумажных носителях. Это стало возможным после того, как понятие "электронное платежное поручение" было закреплено нормативными правовыми актами НБК. Сейчас "электронное платежное поручение" имеет юридическую силу первичного платежного документа. </w:t>
            </w:r>
          </w:p>
          <w:p w:rsidR="00B82893" w:rsidRDefault="00E4298B">
            <w:pPr>
              <w:pStyle w:val="10"/>
              <w:rPr>
                <w:sz w:val="28"/>
              </w:rPr>
            </w:pPr>
            <w:r>
              <w:rPr>
                <w:sz w:val="28"/>
              </w:rPr>
              <w:t xml:space="preserve">В апреле 1998 года было внедрено программное обеспечение бухгалтерской системы для централизации генеральной бухгалтерии и вспомогательного учета, а также для перехода на новую внутрибанковскую платежную систему НБК и интерфейс с СКП КЦМР. </w:t>
            </w:r>
          </w:p>
          <w:p w:rsidR="00B82893" w:rsidRDefault="00E4298B">
            <w:pPr>
              <w:pStyle w:val="10"/>
              <w:rPr>
                <w:sz w:val="28"/>
              </w:rPr>
            </w:pPr>
            <w:r>
              <w:rPr>
                <w:sz w:val="28"/>
              </w:rPr>
              <w:t xml:space="preserve">В период с октября по ноябрь 1998 года была произведена централизация корреспондентских счетов банков второго уровня и организаций, осуществляющих отдельные виды банковских операций, в центральный аппарат НБК. Данный перевод позволил НБК оперативно осуществлять функции расчетного банка и банка банков, повысить эффективность контрольных функций над банковской системой и платежной системой, осуществить перевод вспомогательного учета корреспондентских счетов на работу в режиме реального времени. </w:t>
            </w:r>
          </w:p>
          <w:p w:rsidR="00B82893" w:rsidRDefault="00E4298B">
            <w:pPr>
              <w:pStyle w:val="10"/>
              <w:rPr>
                <w:sz w:val="28"/>
              </w:rPr>
            </w:pPr>
            <w:r>
              <w:rPr>
                <w:sz w:val="28"/>
              </w:rPr>
              <w:t xml:space="preserve">Централизация корреспондентских счетов в НБК позволила: 1. ускорить выдачу наличных денег банкам и их филиалам через кассы филиалов НБК и зачисление принятых наличных денег на единый корреспондентский счет банка, а также закрыть в филиалах НБК специальные субкорреспондентские счета банков для наличных денег; </w:t>
            </w:r>
          </w:p>
          <w:p w:rsidR="00B82893" w:rsidRDefault="00E4298B">
            <w:pPr>
              <w:pStyle w:val="10"/>
              <w:rPr>
                <w:sz w:val="28"/>
              </w:rPr>
            </w:pPr>
            <w:r>
              <w:rPr>
                <w:sz w:val="28"/>
              </w:rPr>
              <w:t xml:space="preserve">2. осуществлять платежи региональных банков, не являющихся пользователями СКП КЦМР, и производить обмен информацией с ними в режиме реального времени. </w:t>
            </w:r>
          </w:p>
          <w:p w:rsidR="00B82893" w:rsidRDefault="00E4298B">
            <w:pPr>
              <w:pStyle w:val="10"/>
              <w:rPr>
                <w:sz w:val="28"/>
              </w:rPr>
            </w:pPr>
            <w:r>
              <w:rPr>
                <w:sz w:val="28"/>
              </w:rPr>
              <w:t xml:space="preserve">3. В ближайшее время планируется преобразование СКП в межбанковскую систему переводов денег (МСПД), в основу которой заложен принцип Швейцарской межбанковской системы крупных платежей. МСПД будет отвечать всем требованиям, предъявляемым международными финансовыми организациями к системе платежей на валовой основе. В настоящее время для внедрения данной системы НБК разработана и утверждена нормативная база и дорабатывается программное обеспечение. В целом для улучшения платежной системы Республики Казахстан НБК выполнены следующие мероприятия: 1. Для реализации пенсионной реформы внедрено электронное сводное платежное поручение формата МТ102, а также с банками отработан порядок осуществления платежей по пенсионным взносам. 2. В целях повышения эффективности осуществления платежей подключен в качестве пользователя СКП КЦМР . Государственный центр по выплате пенсий. 3. НБК подключен в качестве пользователя СКП, что позволило осуществлять платежи в пользу банков, не являющихся пользователями системы, через СКП. 4. Департамент монетарных операций НБК подключен к телекоммуникационной системе КЦМР, что позволило ускорить обмен документами по сделкам с ценными бумагами между участниками рынка ценных бумаг и проведение платежей по операциям с ценными бумагами. Несколько слов необходимо сказать о системе расчетов платежными карточками. В настоящее время в Казахстане уже появляются свои локальные системы платежных карточек. Уже действуют "ALTYN" и "Иртыш-карт" - Народного банка, Cirrus/Maestro - Казкоммерцбанка, "ОАО Банк Каспийский" - Банка Каспийский, AlemCard банка "ТуранАлем". Однако сейчас возникает проблема, связанная с тем, что платежные карточки, в большинстве своем, используются, как средство по получению наличности. Основной причиной этого явления можно назвать то, что платежные карточки, в основном, выдаются в рамках так называемых "зарплатных проектов", для получения заработной платы и стипендий. В связи с этим задачей НБ является обеспечение возможности использовать платежные карточки в качестве оплаты за услуги предприятий торговли и сервиса. </w:t>
            </w:r>
          </w:p>
          <w:p w:rsidR="00B82893" w:rsidRDefault="00E4298B">
            <w:pPr>
              <w:pStyle w:val="10"/>
              <w:rPr>
                <w:sz w:val="28"/>
              </w:rPr>
            </w:pPr>
            <w:r>
              <w:rPr>
                <w:sz w:val="28"/>
              </w:rPr>
              <w:t xml:space="preserve">В связи с этим необходимо отметить проект по созданию Национальной системы платежных карточек РК, который в настоящее время находится на стадии внедрения. Сегодня все страны Европы работают с Национальной общебанковской системой платежных карточек. Согласитесь, если несколько банков создают систему с единой процессинговой обработкой, круг применения их карточек будет гораздо шире. Клиент одного банка может использовать карточку национальной системы, приходя в любой магазин, где есть терминал данной системы, независимо от того, в каком банке этот магазин обслуживается. </w:t>
            </w:r>
            <w:r>
              <w:rPr>
                <w:sz w:val="28"/>
              </w:rPr>
              <w:br/>
            </w:r>
            <w:r>
              <w:rPr>
                <w:sz w:val="28"/>
              </w:rPr>
              <w:br/>
              <w:t xml:space="preserve">Следует отметить создание инфраструктуры для развития рынка ценных бумаг. Центральный депозитарий ценных бумаг является пользователем СКП, поэтому участники рынка ценных бумаг осуществляют операции по переводу ценных бумаг в реальном времени. Здесь используется принцип DVP - "поставка против платежа". Суть его заключается в том, что каждая операция проводится индивидуально - отдельно расчеты по деньгам, отдельно по ценным бумагам в реальном времени. По такому же принципу функционируют системы расчетов по ценным бумагам во многих развитых странах, например, в Швейцарии функционирует аналогичная система, представленная корпорацией "SEGA". </w:t>
            </w:r>
          </w:p>
          <w:p w:rsidR="00B82893" w:rsidRDefault="00E4298B">
            <w:pPr>
              <w:pStyle w:val="10"/>
              <w:rPr>
                <w:sz w:val="28"/>
              </w:rPr>
            </w:pPr>
            <w:r>
              <w:rPr>
                <w:rStyle w:val="HTMLMarkup"/>
                <w:color w:val="000000"/>
                <w:sz w:val="28"/>
              </w:rPr>
              <w:t>&lt;/TBODY&gt;</w:t>
            </w:r>
          </w:p>
        </w:tc>
      </w:tr>
      <w:tr w:rsidR="00B82893">
        <w:trPr>
          <w:gridAfter w:val="3"/>
          <w:wAfter w:w="1779" w:type="dxa"/>
          <w:trHeight w:val="87"/>
          <w:jc w:val="center"/>
        </w:trPr>
        <w:tc>
          <w:tcPr>
            <w:tcW w:w="9360" w:type="dxa"/>
            <w:gridSpan w:val="3"/>
            <w:vAlign w:val="center"/>
          </w:tcPr>
          <w:p w:rsidR="00B82893" w:rsidRDefault="00E4298B">
            <w:pPr>
              <w:pStyle w:val="10"/>
              <w:rPr>
                <w:sz w:val="28"/>
              </w:rPr>
            </w:pPr>
            <w:r>
              <w:rPr>
                <w:rStyle w:val="HTMLMarkup"/>
                <w:color w:val="000000"/>
                <w:sz w:val="28"/>
              </w:rPr>
              <w:t>&lt;/TBODY&gt;</w:t>
            </w:r>
          </w:p>
        </w:tc>
      </w:tr>
      <w:tr w:rsidR="00B82893">
        <w:trPr>
          <w:gridBefore w:val="1"/>
          <w:gridAfter w:val="2"/>
          <w:wBefore w:w="334" w:type="dxa"/>
          <w:wAfter w:w="1310" w:type="dxa"/>
          <w:trHeight w:val="28594"/>
          <w:jc w:val="center"/>
        </w:trPr>
        <w:tc>
          <w:tcPr>
            <w:tcW w:w="9495" w:type="dxa"/>
            <w:gridSpan w:val="3"/>
            <w:tcBorders>
              <w:bottom w:val="nil"/>
            </w:tcBorders>
            <w:vAlign w:val="center"/>
          </w:tcPr>
          <w:p w:rsidR="00B82893" w:rsidRDefault="00E4298B">
            <w:pPr>
              <w:pStyle w:val="10"/>
              <w:rPr>
                <w:sz w:val="28"/>
              </w:rPr>
            </w:pPr>
            <w:r>
              <w:rPr>
                <w:b/>
                <w:sz w:val="32"/>
              </w:rPr>
              <w:t xml:space="preserve">Платежная система Белорусии </w:t>
            </w:r>
            <w:r>
              <w:rPr>
                <w:sz w:val="28"/>
              </w:rPr>
              <w:fldChar w:fldCharType="begin"/>
            </w:r>
            <w:r>
              <w:rPr>
                <w:sz w:val="28"/>
              </w:rPr>
              <w:instrText>PRIVATE</w:instrText>
            </w:r>
            <w:r>
              <w:rPr>
                <w:sz w:val="28"/>
              </w:rPr>
              <w:fldChar w:fldCharType="end"/>
            </w:r>
            <w:r>
              <w:rPr>
                <w:rStyle w:val="HTMLMarkup"/>
                <w:color w:val="000000"/>
                <w:sz w:val="28"/>
              </w:rPr>
              <w:t>&lt;TBODY&gt;</w:t>
            </w:r>
            <w:r>
              <w:rPr>
                <w:sz w:val="28"/>
              </w:rPr>
              <w:t xml:space="preserve"> </w:t>
            </w:r>
          </w:p>
          <w:p w:rsidR="00B82893" w:rsidRDefault="00E4298B">
            <w:pPr>
              <w:pStyle w:val="10"/>
              <w:rPr>
                <w:sz w:val="28"/>
              </w:rPr>
            </w:pPr>
            <w:r>
              <w:rPr>
                <w:sz w:val="28"/>
              </w:rPr>
              <w:t xml:space="preserve">В течение I квартала 1998 г. в Республике Беларусь (РБ) проходил этап опытно-промышленного освоения автоматизированной системы межбанковских расчетов по крупным и срочным платежам Belarus Interbank Settlement System (BISS), проектирование и внедрение которой осуществляется в русле стратегии Национального банка (НБ) РБ по модернизации платежной системы республики, принятой в мае 1995 г. (о концепции модернизации платежной системы см. "Банковские техноогии" № 7/1996, с. 83. </w:t>
            </w:r>
            <w:r>
              <w:rPr>
                <w:sz w:val="28"/>
              </w:rPr>
              <w:br/>
            </w:r>
            <w:r>
              <w:rPr>
                <w:sz w:val="28"/>
              </w:rPr>
              <w:br/>
              <w:t xml:space="preserve">Построенная на современной технологии валовых расчетов в реальном времени (RTGS), система BISS должна способствовать как снижению системного риска национальной платежной системы, так и созданию качественно новых услуг для коммерческих банков и их клиентов, а в целом призвана обеспечить повышение экономической эффективности системы внутренних безналичных расчетов в республике. </w:t>
            </w:r>
            <w:r>
              <w:rPr>
                <w:sz w:val="28"/>
              </w:rPr>
              <w:br/>
            </w:r>
            <w:r>
              <w:rPr>
                <w:sz w:val="28"/>
              </w:rPr>
              <w:br/>
              <w:t xml:space="preserve">Планируется, что BISS явится ядром всей национальной платежной системы: при создании в будущем перспективных клиринговых систем межбанковских расчетов по массовым платежам, платежным карточкам, ценным бумагам все они будут замыкаться именно на BISS, где будут проводиться окончательные расчеты по итоговым чистым позициям этих систем в форме крупных и срочных платежей между банками - участниками клиринга. </w:t>
            </w:r>
            <w:r>
              <w:rPr>
                <w:sz w:val="28"/>
              </w:rPr>
              <w:br/>
            </w:r>
            <w:r>
              <w:rPr>
                <w:sz w:val="28"/>
              </w:rPr>
              <w:br/>
              <w:t xml:space="preserve">В настоящее время в промышленную эксплуатацию принят пусковой комплекс системы, реализующий следующие функции: </w:t>
            </w:r>
          </w:p>
          <w:p w:rsidR="00B82893" w:rsidRDefault="00E4298B">
            <w:pPr>
              <w:pStyle w:val="10"/>
              <w:numPr>
                <w:ilvl w:val="0"/>
                <w:numId w:val="8"/>
              </w:numPr>
              <w:rPr>
                <w:sz w:val="28"/>
              </w:rPr>
            </w:pPr>
            <w:r>
              <w:rPr>
                <w:sz w:val="28"/>
              </w:rPr>
              <w:t xml:space="preserve">обеспечение проведения расчетов по крупным и срочным платежам на валовой основе в режиме реального времени на основании электронного платежного сообщения банка-отправителя (расчеты осуществляются через единые коррсчета коммерческих банков в НБ РБ); </w:t>
            </w:r>
          </w:p>
          <w:p w:rsidR="00B82893" w:rsidRDefault="00E4298B">
            <w:pPr>
              <w:pStyle w:val="10"/>
              <w:numPr>
                <w:ilvl w:val="0"/>
                <w:numId w:val="8"/>
              </w:numPr>
              <w:rPr>
                <w:sz w:val="28"/>
              </w:rPr>
            </w:pPr>
            <w:r>
              <w:rPr>
                <w:sz w:val="28"/>
              </w:rPr>
              <w:t xml:space="preserve">уведомление банка-получателя о зачислении на его коррсчет денежных средств; </w:t>
            </w:r>
          </w:p>
          <w:p w:rsidR="00B82893" w:rsidRDefault="00E4298B">
            <w:pPr>
              <w:pStyle w:val="10"/>
              <w:numPr>
                <w:ilvl w:val="0"/>
                <w:numId w:val="8"/>
              </w:numPr>
              <w:rPr>
                <w:sz w:val="28"/>
              </w:rPr>
            </w:pPr>
            <w:r>
              <w:rPr>
                <w:sz w:val="28"/>
              </w:rPr>
              <w:t xml:space="preserve">уведомление банка-плательщика о списании с его коррсчета денежных средств; </w:t>
            </w:r>
          </w:p>
          <w:p w:rsidR="00B82893" w:rsidRDefault="00E4298B">
            <w:pPr>
              <w:pStyle w:val="10"/>
              <w:numPr>
                <w:ilvl w:val="0"/>
                <w:numId w:val="8"/>
              </w:numPr>
              <w:rPr>
                <w:sz w:val="28"/>
              </w:rPr>
            </w:pPr>
            <w:r>
              <w:rPr>
                <w:sz w:val="28"/>
              </w:rPr>
              <w:t xml:space="preserve">формирование очередей платежных сообщений при отсутствии денежных средств на коррсчете банка-плательщика; </w:t>
            </w:r>
          </w:p>
          <w:p w:rsidR="00B82893" w:rsidRDefault="00E4298B">
            <w:pPr>
              <w:pStyle w:val="10"/>
              <w:numPr>
                <w:ilvl w:val="0"/>
                <w:numId w:val="8"/>
              </w:numPr>
              <w:rPr>
                <w:sz w:val="28"/>
              </w:rPr>
            </w:pPr>
            <w:r>
              <w:rPr>
                <w:sz w:val="28"/>
              </w:rPr>
              <w:t xml:space="preserve">проведение окончательных расчетов в рейсовом режиме по клирингу прочих (не отнесенных к крупным) платежей. </w:t>
            </w:r>
          </w:p>
          <w:p w:rsidR="00B82893" w:rsidRDefault="00E4298B">
            <w:pPr>
              <w:pStyle w:val="10"/>
              <w:rPr>
                <w:sz w:val="28"/>
              </w:rPr>
            </w:pPr>
            <w:r>
              <w:rPr>
                <w:sz w:val="28"/>
              </w:rPr>
              <w:t xml:space="preserve">Для первого этапа внедрения пускового комплекса BISS были определены ограниченные задачи, в том числе тестирование систем подключенных банковских учреждений, проверка работоспособности программно-технических комплексов BISS на реальных объемах платежных сообщений. доработка программных средств по результатам опытной эксплуатации и предложениям банков. </w:t>
            </w:r>
            <w:r>
              <w:rPr>
                <w:sz w:val="28"/>
              </w:rPr>
              <w:br/>
            </w:r>
          </w:p>
          <w:p w:rsidR="00B82893" w:rsidRDefault="00E4298B">
            <w:pPr>
              <w:pStyle w:val="10"/>
              <w:rPr>
                <w:sz w:val="28"/>
              </w:rPr>
            </w:pPr>
            <w:r>
              <w:rPr>
                <w:sz w:val="28"/>
              </w:rPr>
              <w:t xml:space="preserve">Технические особенности и возможности системы </w:t>
            </w:r>
            <w:r>
              <w:rPr>
                <w:sz w:val="28"/>
              </w:rPr>
              <w:br/>
            </w:r>
          </w:p>
          <w:p w:rsidR="00B82893" w:rsidRDefault="00E4298B">
            <w:pPr>
              <w:pStyle w:val="10"/>
              <w:rPr>
                <w:sz w:val="28"/>
              </w:rPr>
            </w:pPr>
            <w:r>
              <w:rPr>
                <w:sz w:val="28"/>
              </w:rPr>
              <w:t xml:space="preserve">Системо-техническая база BISS </w:t>
            </w:r>
            <w:r>
              <w:rPr>
                <w:sz w:val="28"/>
              </w:rPr>
              <w:br/>
              <w:t xml:space="preserve">В ходе подготовки к реализации проектных решений BISS государственным предприятием "Белорусский межбнковский расчетный центр» (ГП БМРЦ) была проведена коренная модернизация основных эксплуатируемых программно-технических комплексов и существенная переработка действующей технологии проведения межбанковских расчетов. Во всех трех его инфраструктурных компонентах - центральном вычислительном комплексе (ЦВК), осуществляющем функции контроля, обработки электронных банковских документов и формирования выходных сообщений, а также системе передачи информации (СПИ) и сети телекоммуникаций - в период 1995-1997 гг. были произведены значительные изменения, продиктованные следующими причинами: </w:t>
            </w:r>
          </w:p>
          <w:p w:rsidR="00B82893" w:rsidRDefault="00E4298B">
            <w:pPr>
              <w:pStyle w:val="10"/>
              <w:numPr>
                <w:ilvl w:val="0"/>
                <w:numId w:val="8"/>
              </w:numPr>
              <w:rPr>
                <w:sz w:val="28"/>
              </w:rPr>
            </w:pPr>
            <w:r>
              <w:rPr>
                <w:sz w:val="28"/>
              </w:rPr>
              <w:t xml:space="preserve">моральным устареванием и физическим износом используемых системо-технических средств и необходимостью создания технической базы, способной развиваться достаточно длительное время; </w:t>
            </w:r>
          </w:p>
          <w:p w:rsidR="00B82893" w:rsidRDefault="00E4298B">
            <w:pPr>
              <w:pStyle w:val="10"/>
              <w:numPr>
                <w:ilvl w:val="0"/>
                <w:numId w:val="8"/>
              </w:numPr>
              <w:rPr>
                <w:sz w:val="28"/>
              </w:rPr>
            </w:pPr>
            <w:r>
              <w:rPr>
                <w:sz w:val="28"/>
              </w:rPr>
              <w:t xml:space="preserve">необходимостью осуществления расчетов в реальном масштабе времени, а следовательно, необходимостью значительного повышения пропускной способности всех инфраструктурных звеньев; </w:t>
            </w:r>
          </w:p>
          <w:p w:rsidR="00B82893" w:rsidRDefault="00E4298B">
            <w:pPr>
              <w:pStyle w:val="10"/>
              <w:numPr>
                <w:ilvl w:val="0"/>
                <w:numId w:val="8"/>
              </w:numPr>
              <w:rPr>
                <w:sz w:val="28"/>
              </w:rPr>
            </w:pPr>
            <w:r>
              <w:rPr>
                <w:sz w:val="28"/>
              </w:rPr>
              <w:t xml:space="preserve">требованием повышения обеспечиваемого уровня безопасности и надежности. </w:t>
            </w:r>
          </w:p>
          <w:p w:rsidR="00B82893" w:rsidRDefault="00E4298B">
            <w:pPr>
              <w:pStyle w:val="10"/>
              <w:rPr>
                <w:sz w:val="28"/>
              </w:rPr>
            </w:pPr>
            <w:r>
              <w:rPr>
                <w:sz w:val="28"/>
              </w:rPr>
              <w:t xml:space="preserve">Основным достижением в развитии ЦВК явилось внедрение средств, превративших его из системы пакетной обработки в сервер транзакций с высоким уровнем надежности функционирования и безопасности. Это техническое решение осуществлено на базе двухмашинного комплекса, работающего в режиме горячего резерва на основе технологии eXtended Recovery Facility (XRF) фирмы IBM. Восстановление критических данных в случае выхода из строя одной из используемых дисковых подсистем обеспечивается путем использования средства асинхронного копирования eXtended Remote Copy (XRC) и дублирования системных журналов СУБД и системы передачи сообщений. </w:t>
            </w:r>
            <w:r>
              <w:rPr>
                <w:sz w:val="28"/>
              </w:rPr>
              <w:br/>
            </w:r>
            <w:r>
              <w:rPr>
                <w:sz w:val="28"/>
              </w:rPr>
              <w:br/>
              <w:t xml:space="preserve">В настоящее время основу системо-технических средств ЦВК составляют: </w:t>
            </w:r>
          </w:p>
          <w:p w:rsidR="00B82893" w:rsidRDefault="00E4298B">
            <w:pPr>
              <w:pStyle w:val="10"/>
              <w:numPr>
                <w:ilvl w:val="0"/>
                <w:numId w:val="8"/>
              </w:numPr>
              <w:rPr>
                <w:sz w:val="28"/>
              </w:rPr>
            </w:pPr>
            <w:r>
              <w:rPr>
                <w:sz w:val="28"/>
              </w:rPr>
              <w:t xml:space="preserve">два мейнфрейма IBM 9672 R14; </w:t>
            </w:r>
          </w:p>
          <w:p w:rsidR="00B82893" w:rsidRDefault="00E4298B">
            <w:pPr>
              <w:pStyle w:val="10"/>
              <w:numPr>
                <w:ilvl w:val="0"/>
                <w:numId w:val="8"/>
              </w:numPr>
              <w:rPr>
                <w:sz w:val="28"/>
              </w:rPr>
            </w:pPr>
            <w:r>
              <w:rPr>
                <w:sz w:val="28"/>
              </w:rPr>
              <w:t xml:space="preserve">устройство Sysplex Timer, обеспечивающее работу мейнфреймов как двухмашинного комплекса; </w:t>
            </w:r>
          </w:p>
          <w:p w:rsidR="00B82893" w:rsidRDefault="00E4298B">
            <w:pPr>
              <w:pStyle w:val="10"/>
              <w:numPr>
                <w:ilvl w:val="0"/>
                <w:numId w:val="8"/>
              </w:numPr>
              <w:rPr>
                <w:sz w:val="28"/>
              </w:rPr>
            </w:pPr>
            <w:r>
              <w:rPr>
                <w:sz w:val="28"/>
              </w:rPr>
              <w:t xml:space="preserve">ОС MVS/ESA (в апреле-мае 1998 г. должна быть установлена операционная система OS/390); </w:t>
            </w:r>
          </w:p>
          <w:p w:rsidR="00B82893" w:rsidRDefault="00E4298B">
            <w:pPr>
              <w:pStyle w:val="10"/>
              <w:numPr>
                <w:ilvl w:val="0"/>
                <w:numId w:val="8"/>
              </w:numPr>
              <w:rPr>
                <w:sz w:val="28"/>
              </w:rPr>
            </w:pPr>
            <w:r>
              <w:rPr>
                <w:sz w:val="28"/>
              </w:rPr>
              <w:t xml:space="preserve">монитор транзакций CICS v.4; </w:t>
            </w:r>
          </w:p>
          <w:p w:rsidR="00B82893" w:rsidRDefault="00E4298B">
            <w:pPr>
              <w:pStyle w:val="10"/>
              <w:numPr>
                <w:ilvl w:val="0"/>
                <w:numId w:val="8"/>
              </w:numPr>
              <w:rPr>
                <w:sz w:val="28"/>
              </w:rPr>
            </w:pPr>
            <w:r>
              <w:rPr>
                <w:sz w:val="28"/>
              </w:rPr>
              <w:t xml:space="preserve">дисковые подсистемы памяти RAMAC2 и RAMAC3; </w:t>
            </w:r>
          </w:p>
          <w:p w:rsidR="00B82893" w:rsidRDefault="00E4298B">
            <w:pPr>
              <w:pStyle w:val="10"/>
              <w:numPr>
                <w:ilvl w:val="0"/>
                <w:numId w:val="8"/>
              </w:numPr>
              <w:rPr>
                <w:sz w:val="28"/>
              </w:rPr>
            </w:pPr>
            <w:r>
              <w:rPr>
                <w:sz w:val="28"/>
              </w:rPr>
              <w:t xml:space="preserve">СУБД DB2 v.3; </w:t>
            </w:r>
          </w:p>
          <w:p w:rsidR="00B82893" w:rsidRDefault="00E4298B">
            <w:pPr>
              <w:pStyle w:val="10"/>
              <w:numPr>
                <w:ilvl w:val="0"/>
                <w:numId w:val="8"/>
              </w:numPr>
              <w:rPr>
                <w:sz w:val="28"/>
              </w:rPr>
            </w:pPr>
            <w:r>
              <w:rPr>
                <w:sz w:val="28"/>
              </w:rPr>
              <w:t xml:space="preserve">система передачи сообщений MQSeries v.1.1.2. </w:t>
            </w:r>
          </w:p>
          <w:p w:rsidR="00B82893" w:rsidRDefault="00E4298B">
            <w:pPr>
              <w:pStyle w:val="10"/>
              <w:rPr>
                <w:sz w:val="28"/>
              </w:rPr>
            </w:pPr>
            <w:r>
              <w:rPr>
                <w:sz w:val="28"/>
              </w:rPr>
              <w:t xml:space="preserve">Особенности нового оборудования позволяют на одном физическом вычислительном комплексе вести эксплуатацию автоматизированных систем, а также разработку и тестирование новых версий ПО. Возможности же наращивания вычислительной мощности ЦВК практически не ограничены. </w:t>
            </w:r>
            <w:r>
              <w:rPr>
                <w:sz w:val="28"/>
              </w:rPr>
              <w:br/>
            </w:r>
            <w:r>
              <w:rPr>
                <w:sz w:val="28"/>
              </w:rPr>
              <w:br/>
              <w:t xml:space="preserve">В ближайшем будущем предполагается при помощи системы MQSeries постепенно подключить к ЦВК всех участников расчетов (в первую очередь центральные офисы коммерческих банков), что позволит коммерческим банкам управлять платежами в режиме реального времени. </w:t>
            </w:r>
            <w:r>
              <w:rPr>
                <w:sz w:val="28"/>
              </w:rPr>
              <w:br/>
            </w:r>
            <w:r>
              <w:rPr>
                <w:sz w:val="28"/>
              </w:rPr>
              <w:br/>
              <w:t xml:space="preserve">Перспективными проектами развития ЦВК являются создание центрального архива платежной системы и резервного вычислительного центра. </w:t>
            </w:r>
            <w:r>
              <w:rPr>
                <w:sz w:val="28"/>
              </w:rPr>
              <w:br/>
            </w:r>
          </w:p>
          <w:p w:rsidR="00B82893" w:rsidRDefault="00E4298B">
            <w:pPr>
              <w:pStyle w:val="10"/>
              <w:jc w:val="center"/>
              <w:rPr>
                <w:sz w:val="28"/>
              </w:rPr>
            </w:pPr>
            <w:r>
              <w:rPr>
                <w:sz w:val="28"/>
              </w:rPr>
              <w:fldChar w:fldCharType="begin"/>
            </w:r>
            <w:r>
              <w:rPr>
                <w:sz w:val="28"/>
              </w:rPr>
              <w:instrText>PRIVATE</w:instrText>
            </w:r>
            <w:r>
              <w:rPr>
                <w:sz w:val="28"/>
              </w:rPr>
              <w:fldChar w:fldCharType="end"/>
            </w:r>
            <w:r>
              <w:rPr>
                <w:rStyle w:val="HTMLMarkup"/>
                <w:color w:val="000000"/>
                <w:sz w:val="28"/>
              </w:rPr>
              <w:t>&lt;TBODY&gt;</w:t>
            </w:r>
            <w:r>
              <w:rPr>
                <w:sz w:val="28"/>
              </w:rPr>
              <w:t xml:space="preserve">Интервал </w:t>
            </w:r>
          </w:p>
          <w:p w:rsidR="00B82893" w:rsidRDefault="00E4298B">
            <w:pPr>
              <w:pStyle w:val="10"/>
              <w:jc w:val="center"/>
              <w:rPr>
                <w:sz w:val="28"/>
              </w:rPr>
            </w:pPr>
            <w:r>
              <w:rPr>
                <w:sz w:val="28"/>
              </w:rPr>
              <w:t xml:space="preserve">Время, с </w:t>
            </w:r>
          </w:p>
          <w:p w:rsidR="00B82893" w:rsidRDefault="00E4298B">
            <w:pPr>
              <w:pStyle w:val="10"/>
              <w:jc w:val="center"/>
              <w:rPr>
                <w:sz w:val="28"/>
              </w:rPr>
            </w:pPr>
            <w:r>
              <w:rPr>
                <w:sz w:val="28"/>
              </w:rPr>
              <w:t xml:space="preserve">Примечания </w:t>
            </w:r>
          </w:p>
        </w:tc>
      </w:tr>
      <w:tr w:rsidR="00B82893">
        <w:trPr>
          <w:gridBefore w:val="1"/>
          <w:gridAfter w:val="1"/>
          <w:wBefore w:w="334" w:type="dxa"/>
          <w:wAfter w:w="57" w:type="dxa"/>
          <w:cantSplit/>
          <w:jc w:val="center"/>
        </w:trPr>
        <w:tc>
          <w:tcPr>
            <w:tcW w:w="10748" w:type="dxa"/>
            <w:gridSpan w:val="4"/>
            <w:vAlign w:val="center"/>
          </w:tcPr>
          <w:p w:rsidR="00B82893" w:rsidRDefault="00E4298B">
            <w:pPr>
              <w:pStyle w:val="10"/>
              <w:tabs>
                <w:tab w:val="left" w:pos="9639"/>
              </w:tabs>
              <w:ind w:left="142" w:right="-666"/>
              <w:rPr>
                <w:sz w:val="28"/>
              </w:rPr>
            </w:pPr>
            <w:r>
              <w:rPr>
                <w:sz w:val="28"/>
              </w:rPr>
              <w:t xml:space="preserve">От получения файла сообщений в производственную сеть до его отправки в систему </w:t>
            </w:r>
          </w:p>
          <w:p w:rsidR="00B82893" w:rsidRDefault="00E4298B">
            <w:pPr>
              <w:pStyle w:val="10"/>
              <w:tabs>
                <w:tab w:val="left" w:pos="9639"/>
              </w:tabs>
              <w:ind w:left="142" w:right="-666"/>
              <w:rPr>
                <w:sz w:val="28"/>
              </w:rPr>
            </w:pPr>
            <w:r>
              <w:rPr>
                <w:sz w:val="28"/>
              </w:rPr>
              <w:t xml:space="preserve">BISS </w:t>
            </w:r>
          </w:p>
        </w:tc>
      </w:tr>
      <w:tr w:rsidR="00B82893">
        <w:trPr>
          <w:gridBefore w:val="2"/>
          <w:wBefore w:w="391" w:type="dxa"/>
          <w:cantSplit/>
          <w:trHeight w:val="3737"/>
          <w:jc w:val="center"/>
        </w:trPr>
        <w:tc>
          <w:tcPr>
            <w:tcW w:w="10748" w:type="dxa"/>
            <w:gridSpan w:val="4"/>
            <w:vAlign w:val="center"/>
          </w:tcPr>
          <w:p w:rsidR="00B82893" w:rsidRDefault="00E4298B">
            <w:pPr>
              <w:pStyle w:val="10"/>
              <w:tabs>
                <w:tab w:val="left" w:pos="9639"/>
              </w:tabs>
              <w:ind w:right="-666"/>
              <w:rPr>
                <w:sz w:val="28"/>
              </w:rPr>
            </w:pPr>
            <w:r>
              <w:rPr>
                <w:sz w:val="28"/>
              </w:rPr>
              <w:t xml:space="preserve">От передачи файла из производственной сети в систему BISS до получения ответного сообщения </w:t>
            </w:r>
            <w:r>
              <w:rPr>
                <w:sz w:val="28"/>
              </w:rPr>
              <w:br/>
            </w:r>
            <w:r>
              <w:rPr>
                <w:sz w:val="28"/>
              </w:rPr>
              <w:br/>
              <w:t xml:space="preserve">в том числе обработка сообщения в системе (в среднем) </w:t>
            </w:r>
          </w:p>
          <w:p w:rsidR="00B82893" w:rsidRDefault="00E4298B">
            <w:pPr>
              <w:pStyle w:val="10"/>
              <w:tabs>
                <w:tab w:val="left" w:pos="9639"/>
              </w:tabs>
              <w:ind w:right="-666"/>
              <w:rPr>
                <w:sz w:val="28"/>
              </w:rPr>
            </w:pPr>
            <w:r>
              <w:rPr>
                <w:sz w:val="28"/>
              </w:rPr>
              <w:t xml:space="preserve">По отдельным сообщениям (это касается в первую очередь получения отчетов) </w:t>
            </w:r>
          </w:p>
          <w:p w:rsidR="00B82893" w:rsidRDefault="00E4298B">
            <w:pPr>
              <w:pStyle w:val="10"/>
              <w:tabs>
                <w:tab w:val="left" w:pos="9639"/>
              </w:tabs>
              <w:ind w:left="142" w:right="-666"/>
              <w:rPr>
                <w:sz w:val="28"/>
              </w:rPr>
            </w:pPr>
            <w:r>
              <w:rPr>
                <w:sz w:val="28"/>
              </w:rPr>
              <w:t xml:space="preserve">время может достигать нескольких минут. Проводимые в настоящее время работы по оптимизации алгоритмов обработки должны позволить уменьшить это время на порядок </w:t>
            </w:r>
          </w:p>
        </w:tc>
      </w:tr>
      <w:tr w:rsidR="00B82893">
        <w:trPr>
          <w:gridBefore w:val="1"/>
          <w:gridAfter w:val="1"/>
          <w:wBefore w:w="334" w:type="dxa"/>
          <w:wAfter w:w="57" w:type="dxa"/>
          <w:cantSplit/>
          <w:trHeight w:val="25414"/>
          <w:jc w:val="center"/>
        </w:trPr>
        <w:tc>
          <w:tcPr>
            <w:tcW w:w="10748" w:type="dxa"/>
            <w:gridSpan w:val="4"/>
            <w:tcBorders>
              <w:bottom w:val="nil"/>
            </w:tcBorders>
            <w:vAlign w:val="center"/>
          </w:tcPr>
          <w:p w:rsidR="00B82893" w:rsidRDefault="00E4298B">
            <w:pPr>
              <w:pStyle w:val="10"/>
              <w:tabs>
                <w:tab w:val="left" w:pos="9639"/>
              </w:tabs>
              <w:ind w:left="142" w:right="-666"/>
              <w:rPr>
                <w:sz w:val="28"/>
              </w:rPr>
            </w:pPr>
            <w:r>
              <w:rPr>
                <w:sz w:val="28"/>
              </w:rPr>
              <w:t xml:space="preserve">На обработку сообщения от момента его получения до раскладки в "почтовые ящики&amp;qot участников системы </w:t>
            </w:r>
          </w:p>
          <w:p w:rsidR="00B82893" w:rsidRDefault="00E4298B">
            <w:pPr>
              <w:pStyle w:val="10"/>
              <w:tabs>
                <w:tab w:val="left" w:pos="9639"/>
              </w:tabs>
              <w:ind w:left="142" w:right="-666"/>
              <w:rPr>
                <w:sz w:val="28"/>
              </w:rPr>
            </w:pPr>
            <w:r>
              <w:rPr>
                <w:sz w:val="28"/>
              </w:rPr>
              <w:t xml:space="preserve">По отдельным сообщениям время достигает нескольких минут </w:t>
            </w:r>
          </w:p>
          <w:p w:rsidR="00B82893" w:rsidRDefault="00E4298B">
            <w:pPr>
              <w:pStyle w:val="10"/>
              <w:tabs>
                <w:tab w:val="left" w:pos="9639"/>
              </w:tabs>
              <w:ind w:left="142" w:right="-666"/>
              <w:rPr>
                <w:sz w:val="28"/>
              </w:rPr>
            </w:pPr>
            <w:r>
              <w:rPr>
                <w:sz w:val="28"/>
              </w:rPr>
              <w:t>На раскладку сообщений, полученных от системы BISS, в "почтовые ящики&amp;qot</w:t>
            </w:r>
          </w:p>
          <w:p w:rsidR="00B82893" w:rsidRDefault="00E4298B">
            <w:pPr>
              <w:pStyle w:val="10"/>
              <w:tabs>
                <w:tab w:val="left" w:pos="9639"/>
              </w:tabs>
              <w:ind w:left="142" w:right="-666"/>
              <w:rPr>
                <w:sz w:val="28"/>
              </w:rPr>
            </w:pPr>
            <w:r>
              <w:rPr>
                <w:sz w:val="28"/>
              </w:rPr>
              <w:t xml:space="preserve"> участников системы </w:t>
            </w:r>
            <w:r>
              <w:rPr>
                <w:rStyle w:val="HTMLMarkup"/>
                <w:color w:val="000000"/>
                <w:sz w:val="28"/>
              </w:rPr>
              <w:t>&lt;/TBODY&gt;</w:t>
            </w:r>
          </w:p>
          <w:p w:rsidR="00B82893" w:rsidRDefault="00E4298B">
            <w:pPr>
              <w:pStyle w:val="10"/>
              <w:tabs>
                <w:tab w:val="left" w:pos="9639"/>
              </w:tabs>
              <w:ind w:left="142" w:right="-666"/>
              <w:rPr>
                <w:sz w:val="28"/>
              </w:rPr>
            </w:pPr>
            <w:r>
              <w:rPr>
                <w:sz w:val="28"/>
              </w:rPr>
              <w:t xml:space="preserve">Основные программно-технические комплексы и возможности системы </w:t>
            </w:r>
          </w:p>
          <w:p w:rsidR="00B82893" w:rsidRDefault="00E4298B">
            <w:pPr>
              <w:pStyle w:val="10"/>
              <w:tabs>
                <w:tab w:val="left" w:pos="9639"/>
              </w:tabs>
              <w:ind w:left="142" w:right="-666"/>
              <w:rPr>
                <w:sz w:val="28"/>
              </w:rPr>
            </w:pPr>
            <w:r>
              <w:rPr>
                <w:sz w:val="28"/>
              </w:rPr>
              <w:t xml:space="preserve">В промышленной эксплуатации в настоящее время находятся следующие подсистемы пускового комплекса: </w:t>
            </w:r>
            <w:r>
              <w:rPr>
                <w:sz w:val="28"/>
              </w:rPr>
              <w:br/>
              <w:t xml:space="preserve">1. Программно-технический комплекс (ПТК) ядра системы BISS, осуществляющий в </w:t>
            </w:r>
          </w:p>
          <w:p w:rsidR="00B82893" w:rsidRDefault="00E4298B">
            <w:pPr>
              <w:pStyle w:val="10"/>
              <w:tabs>
                <w:tab w:val="left" w:pos="9639"/>
              </w:tabs>
              <w:ind w:left="142" w:right="-666"/>
              <w:rPr>
                <w:sz w:val="28"/>
              </w:rPr>
            </w:pPr>
            <w:r>
              <w:rPr>
                <w:sz w:val="28"/>
              </w:rPr>
              <w:t xml:space="preserve">том числе входной контроль сообщений, расчеты по коррсчетам банков, обработку системных и формирование выходных сообщений. </w:t>
            </w:r>
            <w:r>
              <w:rPr>
                <w:sz w:val="28"/>
              </w:rPr>
              <w:br/>
              <w:t xml:space="preserve">2. ПТК подсистемы "Управление межбаковскими расчетами НБ РБ", осуществляющийзадание условий расчетов в системе, контроль и управление ими. </w:t>
            </w:r>
            <w:r>
              <w:rPr>
                <w:sz w:val="28"/>
              </w:rPr>
              <w:br/>
              <w:t xml:space="preserve">3. ПТК подсистемы контроля межбанковских расчетов, осуществляющий среди </w:t>
            </w:r>
          </w:p>
          <w:p w:rsidR="00B82893" w:rsidRDefault="00E4298B">
            <w:pPr>
              <w:pStyle w:val="10"/>
              <w:tabs>
                <w:tab w:val="left" w:pos="9639"/>
              </w:tabs>
              <w:ind w:left="142" w:right="-666"/>
              <w:rPr>
                <w:sz w:val="28"/>
              </w:rPr>
            </w:pPr>
            <w:r>
              <w:rPr>
                <w:sz w:val="28"/>
              </w:rPr>
              <w:t xml:space="preserve">прочего установку режимов работы системы и участников системы, а также </w:t>
            </w:r>
          </w:p>
          <w:p w:rsidR="00B82893" w:rsidRDefault="00E4298B">
            <w:pPr>
              <w:pStyle w:val="10"/>
              <w:tabs>
                <w:tab w:val="left" w:pos="9639"/>
              </w:tabs>
              <w:ind w:left="142" w:right="-666"/>
              <w:rPr>
                <w:sz w:val="28"/>
              </w:rPr>
            </w:pPr>
            <w:r>
              <w:rPr>
                <w:sz w:val="28"/>
              </w:rPr>
              <w:t xml:space="preserve">контроль платежей. </w:t>
            </w:r>
            <w:r>
              <w:rPr>
                <w:sz w:val="28"/>
              </w:rPr>
              <w:br/>
              <w:t xml:space="preserve">4. ПТК управления платежами банка, осуществляющий в том числе мониторинг </w:t>
            </w:r>
          </w:p>
          <w:p w:rsidR="00B82893" w:rsidRDefault="00E4298B">
            <w:pPr>
              <w:pStyle w:val="10"/>
              <w:tabs>
                <w:tab w:val="left" w:pos="9639"/>
              </w:tabs>
              <w:ind w:left="142" w:right="-666"/>
              <w:rPr>
                <w:sz w:val="28"/>
              </w:rPr>
            </w:pPr>
            <w:r>
              <w:rPr>
                <w:sz w:val="28"/>
              </w:rPr>
              <w:t>платежей, установку режимов работы систем банковских учреждений, управление</w:t>
            </w:r>
          </w:p>
          <w:p w:rsidR="00B82893" w:rsidRDefault="00E4298B">
            <w:pPr>
              <w:pStyle w:val="10"/>
              <w:tabs>
                <w:tab w:val="left" w:pos="9639"/>
              </w:tabs>
              <w:ind w:left="142" w:right="-666"/>
              <w:rPr>
                <w:sz w:val="28"/>
              </w:rPr>
            </w:pPr>
            <w:r>
              <w:rPr>
                <w:sz w:val="28"/>
              </w:rPr>
              <w:t xml:space="preserve"> очередью ожидания средств. </w:t>
            </w:r>
            <w:r>
              <w:rPr>
                <w:sz w:val="28"/>
              </w:rPr>
              <w:br/>
              <w:t xml:space="preserve">5. Интерфейсный комплекс, осуществляющий среди прочего контроль форматов </w:t>
            </w:r>
          </w:p>
          <w:p w:rsidR="00B82893" w:rsidRDefault="00E4298B">
            <w:pPr>
              <w:pStyle w:val="10"/>
              <w:tabs>
                <w:tab w:val="left" w:pos="9639"/>
              </w:tabs>
              <w:ind w:left="142" w:right="-666"/>
              <w:rPr>
                <w:sz w:val="28"/>
              </w:rPr>
            </w:pPr>
            <w:r>
              <w:rPr>
                <w:sz w:val="28"/>
              </w:rPr>
              <w:t>сообщений.</w:t>
            </w:r>
            <w:r>
              <w:rPr>
                <w:sz w:val="28"/>
              </w:rPr>
              <w:br/>
              <w:t xml:space="preserve">В системе используются средства криптографической защиты информации на базе алгоритмов DES и RSA и система электронной подписи платежных сообщений, осуществляется синтаксический и семантический контроль сообщений. </w:t>
            </w:r>
            <w:r>
              <w:rPr>
                <w:sz w:val="28"/>
              </w:rPr>
              <w:br/>
            </w:r>
            <w:r>
              <w:rPr>
                <w:sz w:val="28"/>
              </w:rPr>
              <w:br/>
              <w:t>Значения основных временных интервалов обработки сообщений в системе приведены</w:t>
            </w:r>
          </w:p>
          <w:p w:rsidR="00B82893" w:rsidRDefault="00E4298B">
            <w:pPr>
              <w:pStyle w:val="10"/>
              <w:tabs>
                <w:tab w:val="left" w:pos="9639"/>
              </w:tabs>
              <w:ind w:left="142" w:right="-666"/>
              <w:rPr>
                <w:sz w:val="28"/>
              </w:rPr>
            </w:pPr>
            <w:r>
              <w:rPr>
                <w:sz w:val="28"/>
              </w:rPr>
              <w:t xml:space="preserve"> в таблице. </w:t>
            </w:r>
            <w:r>
              <w:rPr>
                <w:sz w:val="28"/>
              </w:rPr>
              <w:br/>
              <w:t xml:space="preserve">Контрольные имитационные расчеты показали, что программно-технические средства пускового комплекса системы BISS обеспечивают проведение межбанковских расчетов на уровне 7 тыс. платежных сообщений в день или 1 тыс. сообщений в час при пиковой нагрузке. </w:t>
            </w:r>
            <w:r>
              <w:rPr>
                <w:sz w:val="28"/>
              </w:rPr>
              <w:br/>
            </w:r>
            <w:r>
              <w:rPr>
                <w:sz w:val="28"/>
              </w:rPr>
              <w:br/>
              <w:t xml:space="preserve">По решению комиссии по приемке пускового комплекса системы BISS, в которую входили представители НБ РБ, ГП БМРЦ и Ассоциации белорусских банков, межбанковские расчеты через него в настоящее время предусматривается осуществлять по усмотрению банков независимо от суммы перевода. Объем срочных платежей, обрабатываемых через BISS, постепенно нарастает: в середине марта он составлял уже 20-25% суммы всех платежей. При этом очень важным является то, что при правильной подготовке электронных платежных сообщений 100% платежей, проходящих через BISS, обрабатываются в настоящее время без потерь. </w:t>
            </w:r>
            <w:r>
              <w:rPr>
                <w:sz w:val="28"/>
              </w:rPr>
              <w:br/>
            </w:r>
            <w:r>
              <w:rPr>
                <w:sz w:val="28"/>
              </w:rPr>
              <w:br/>
              <w:t xml:space="preserve">Реализация системы потребовала разработки комплекса "Управление платеами банка в BISS», предназначенного для администрирования процесса расчетов головного банка и его филиалов в течение всего банковского дня, и ряда других программных систем, а также доработки или существенной переработки таких продуктов, как и "Централизованныйоперационный день», а также ПТК "Телебанк», входяего в СПИ и обеспечивающего обмен электронными образами платежных документов между банками и БМРЦ. </w:t>
            </w:r>
            <w:r>
              <w:rPr>
                <w:sz w:val="28"/>
              </w:rPr>
              <w:br/>
            </w:r>
            <w:r>
              <w:rPr>
                <w:sz w:val="28"/>
              </w:rPr>
              <w:br/>
              <w:t xml:space="preserve">Параллельно с освоением системы расчетов на валовой основе в БМРЦ ведутся работы по модернизации клиринговой системы платежей, не проходящих через BISS (так называемых прочих платежей). Клиринговая система расчетов основана на действующей системе расчетов с использованием ранее установленных структур формирования и передачи банками платежных сообщений в файлах. Первый этап ее модернизации (осуществляется с октября 1997 г.) связан с внедрением программного обеспечения по осуществлению взаимозачета на основе клиринга по платежным сообщениям банков. </w:t>
            </w:r>
            <w:r>
              <w:rPr>
                <w:sz w:val="28"/>
              </w:rPr>
              <w:br/>
            </w:r>
            <w:r>
              <w:rPr>
                <w:sz w:val="28"/>
              </w:rPr>
              <w:br/>
              <w:t xml:space="preserve">Таким образом, в 1998 г. фактически начата опытно-промышленная эксплуатация не только системы BISS, но и всей модифицированной автоматизированной системы межбанковских расчетов (АС МБР). </w:t>
            </w:r>
            <w:r>
              <w:rPr>
                <w:sz w:val="28"/>
              </w:rPr>
              <w:br/>
            </w:r>
            <w:r>
              <w:rPr>
                <w:sz w:val="28"/>
              </w:rPr>
              <w:br/>
              <w:t xml:space="preserve">Процесс обновления программно-технической платформы в ходе промышленной эксплуатации BISS будет происходить поэтапно в течение по меньшей мере нескольких лет. При этом темпы внедрения последующих модификаций BISS будут точно соизмеряться с возможностями банков и их филиалов, а применение обязательных нормативов на ближайшее время не планируется. </w:t>
            </w:r>
            <w:r>
              <w:rPr>
                <w:sz w:val="28"/>
              </w:rPr>
              <w:br/>
            </w:r>
          </w:p>
          <w:p w:rsidR="00B82893" w:rsidRDefault="00E4298B">
            <w:pPr>
              <w:pStyle w:val="10"/>
              <w:tabs>
                <w:tab w:val="left" w:pos="9639"/>
              </w:tabs>
              <w:ind w:left="142" w:right="-666"/>
              <w:rPr>
                <w:sz w:val="28"/>
              </w:rPr>
            </w:pPr>
            <w:r>
              <w:rPr>
                <w:sz w:val="28"/>
              </w:rPr>
              <w:t xml:space="preserve">Проблемы и поиски их решения </w:t>
            </w:r>
          </w:p>
          <w:p w:rsidR="00B82893" w:rsidRDefault="00E4298B">
            <w:pPr>
              <w:pStyle w:val="10"/>
              <w:tabs>
                <w:tab w:val="left" w:pos="9639"/>
              </w:tabs>
              <w:ind w:left="142" w:right="-666"/>
              <w:rPr>
                <w:sz w:val="28"/>
              </w:rPr>
            </w:pPr>
            <w:r>
              <w:rPr>
                <w:sz w:val="28"/>
              </w:rPr>
              <w:t xml:space="preserve">Параллельно с новыми организационными, техническими и правовыми вопросами, связанными с запуском системы BISS, приходилось учитывать и ряд изменений в работе платежной системы, введенных с начала 1998 г.: </w:t>
            </w:r>
          </w:p>
          <w:p w:rsidR="00B82893" w:rsidRDefault="00E4298B">
            <w:pPr>
              <w:pStyle w:val="10"/>
              <w:numPr>
                <w:ilvl w:val="0"/>
                <w:numId w:val="8"/>
              </w:numPr>
              <w:tabs>
                <w:tab w:val="left" w:pos="9639"/>
              </w:tabs>
              <w:ind w:left="142" w:right="-666" w:firstLine="0"/>
              <w:rPr>
                <w:sz w:val="28"/>
              </w:rPr>
            </w:pPr>
            <w:r>
              <w:rPr>
                <w:sz w:val="28"/>
              </w:rPr>
              <w:t xml:space="preserve">отказ НБ РБ от предоставления коммерческим банкам дневного овердрафта средств на их корреспондентских счетах и введение новых рыночных механизмов обеспечения ликвидности для банков на базе операций с ценными бумагами; </w:t>
            </w:r>
          </w:p>
          <w:p w:rsidR="00B82893" w:rsidRDefault="00E4298B">
            <w:pPr>
              <w:pStyle w:val="10"/>
              <w:numPr>
                <w:ilvl w:val="0"/>
                <w:numId w:val="8"/>
              </w:numPr>
              <w:tabs>
                <w:tab w:val="left" w:pos="9639"/>
              </w:tabs>
              <w:ind w:left="142" w:right="-666" w:firstLine="0"/>
              <w:rPr>
                <w:sz w:val="28"/>
              </w:rPr>
            </w:pPr>
            <w:r>
              <w:rPr>
                <w:sz w:val="28"/>
              </w:rPr>
              <w:t xml:space="preserve">введение новой Инструкции о порядке исполнения республиканского бюджета по доходам, что привело к изменению технологии зачисления в доход бюджета налогов, обязательных платежей и иных поступлений, уплачиваемых юридическими и физическими лицами в национальной валюте. </w:t>
            </w:r>
          </w:p>
          <w:p w:rsidR="00B82893" w:rsidRDefault="00E4298B">
            <w:pPr>
              <w:pStyle w:val="10"/>
              <w:tabs>
                <w:tab w:val="left" w:pos="9639"/>
              </w:tabs>
              <w:ind w:left="142" w:right="-666"/>
              <w:rPr>
                <w:sz w:val="28"/>
              </w:rPr>
            </w:pPr>
            <w:r>
              <w:rPr>
                <w:sz w:val="28"/>
              </w:rPr>
              <w:t xml:space="preserve">Это не могло не добавить сложностей при внедрении системы. </w:t>
            </w:r>
            <w:r>
              <w:rPr>
                <w:sz w:val="28"/>
              </w:rPr>
              <w:br/>
            </w:r>
            <w:r>
              <w:rPr>
                <w:sz w:val="28"/>
              </w:rPr>
              <w:br/>
              <w:t xml:space="preserve">Разработка системы BISS потребовала серьезной модернизации технологии обработки платежей не только в БМРЦ, но и в банках. Однако гораздо серьезнее и сложнее технических проблем, чем это оценивали некоторые специалисты, оказались проблемы правовой и договорной базы. Например, одним из проблемных при заключении новых договоров между БМРЦ и банками оказался вопрос о размере возмещения возможных убытков банков в случаях неисполнения БМРЦ своих обязанностей. Требование банков о возмещении убытков в полном размере вполне понятно, однако сегодня оно не соответствует финансовым возможностям БМРЦ, так как его тарифная политика строится на бесприбыльной основе. </w:t>
            </w:r>
            <w:r>
              <w:rPr>
                <w:sz w:val="28"/>
              </w:rPr>
              <w:br/>
            </w:r>
          </w:p>
        </w:tc>
      </w:tr>
      <w:tr w:rsidR="00B82893">
        <w:trPr>
          <w:gridBefore w:val="1"/>
          <w:gridAfter w:val="1"/>
          <w:wBefore w:w="334" w:type="dxa"/>
          <w:wAfter w:w="57" w:type="dxa"/>
          <w:cantSplit/>
          <w:trHeight w:val="15398"/>
          <w:jc w:val="center"/>
        </w:trPr>
        <w:tc>
          <w:tcPr>
            <w:tcW w:w="10748" w:type="dxa"/>
            <w:gridSpan w:val="4"/>
            <w:tcBorders>
              <w:bottom w:val="nil"/>
            </w:tcBorders>
            <w:vAlign w:val="center"/>
          </w:tcPr>
          <w:p w:rsidR="00B82893" w:rsidRDefault="00E4298B">
            <w:pPr>
              <w:pStyle w:val="10"/>
              <w:tabs>
                <w:tab w:val="left" w:pos="9639"/>
              </w:tabs>
              <w:ind w:left="142" w:right="-666"/>
              <w:rPr>
                <w:sz w:val="28"/>
              </w:rPr>
            </w:pPr>
            <w:r>
              <w:rPr>
                <w:sz w:val="28"/>
              </w:rPr>
              <w:fldChar w:fldCharType="begin"/>
            </w:r>
            <w:r>
              <w:rPr>
                <w:sz w:val="28"/>
              </w:rPr>
              <w:instrText>PRIVATE</w:instrText>
            </w:r>
            <w:r>
              <w:rPr>
                <w:sz w:val="28"/>
              </w:rPr>
              <w:fldChar w:fldCharType="end"/>
            </w:r>
            <w:r>
              <w:rPr>
                <w:rStyle w:val="HTMLMarkup"/>
                <w:color w:val="000000"/>
                <w:sz w:val="28"/>
              </w:rPr>
              <w:t>&lt;TBODY&gt;</w:t>
            </w:r>
            <w:r>
              <w:rPr>
                <w:sz w:val="28"/>
              </w:rPr>
              <w:t xml:space="preserve">Краткая справка о межбанковских расчетах в РБ </w:t>
            </w:r>
            <w:r>
              <w:rPr>
                <w:sz w:val="28"/>
              </w:rPr>
              <w:br/>
            </w:r>
            <w:r>
              <w:rPr>
                <w:sz w:val="28"/>
              </w:rPr>
              <w:br/>
              <w:t xml:space="preserve">По состоянию на 1 марта 1998 г. во внутренней платежной и расчетной системе РБ работали 30 банков-участников, включая НБ РБ, и одна небанковская финансовая организация, а также свыше 600 их филиалов. В 1997 г. они ежемесячно проводили в среднем около 2,3 млн. безналичных внутренних межбанковских платежей, которые обрабатывались оператором платежной системы РБ - государственным предприятием "Белорусский межбнковский расчетный центр» (ГП БМРЦ). </w:t>
            </w:r>
            <w:r>
              <w:rPr>
                <w:sz w:val="28"/>
              </w:rPr>
              <w:br/>
            </w:r>
            <w:r>
              <w:rPr>
                <w:sz w:val="28"/>
              </w:rPr>
              <w:br/>
              <w:t xml:space="preserve">ГП БМРЦ, входящий в структуру НБ РБ, является самостоятельным субъектом в его структуре, занимающимся автоматизированной обработкой информации для проведения межбанковских расчетов в РБ. На него возложены эксплуатация банковской сети телекоммуникаций, центрального вычислительного комплекса и его региональных узлов, разработка и сопровождение программных прикладных средств, участие в разработке новых технологий автоматизированных расчетов и правовой базы для их практической реализации, определение процедур внутренних расчетов и их оперативное исполнение в течение дня на основании договора с НБ РБ. БМРЦ также оказывает банкам широкий диапазон информационных услуг, услуги по коллективному доступу в сеть SWIFT и централизованной обработке бухгалтерских данных "опердня». БМРЦ яляется также разработчиком и оператором системы BISS. </w:t>
            </w:r>
            <w:r>
              <w:rPr>
                <w:sz w:val="28"/>
              </w:rPr>
              <w:br/>
            </w:r>
            <w:r>
              <w:rPr>
                <w:sz w:val="28"/>
              </w:rPr>
              <w:br/>
              <w:t xml:space="preserve">Общее и методическое руководство и контроль за проведением и завершением межбанковских расчетов, соблюдением режимов платежей и работы коррсчетов в РБ осуществляет Департамент платежной системы и информатизации НБ РБ. </w:t>
            </w:r>
            <w:r>
              <w:rPr>
                <w:rStyle w:val="HTMLMarkup"/>
                <w:color w:val="000000"/>
                <w:sz w:val="28"/>
              </w:rPr>
              <w:t>&lt;/TBODY&gt;</w:t>
            </w:r>
          </w:p>
          <w:p w:rsidR="00B82893" w:rsidRDefault="00E4298B">
            <w:pPr>
              <w:pStyle w:val="10"/>
              <w:tabs>
                <w:tab w:val="left" w:pos="9639"/>
              </w:tabs>
              <w:ind w:left="142" w:right="-666"/>
              <w:rPr>
                <w:sz w:val="28"/>
              </w:rPr>
            </w:pPr>
            <w:r>
              <w:rPr>
                <w:sz w:val="28"/>
              </w:rPr>
              <w:t xml:space="preserve">Ряд рекомендаций в адрес НБ РБ и ГП БМРЦ был сделан и комиссией по приемке пускового комплекса системы BISS. В частности, была отмечена актуальность обеспечения хранения средств резервного фонда для регулирования кредитных ресурсов на коррсчете банка и их использование для поддержания текущей ликвидности с обязательным обеспечением банком в течение месяца среднедневных резервных требований. </w:t>
            </w:r>
            <w:r>
              <w:rPr>
                <w:sz w:val="28"/>
              </w:rPr>
              <w:br/>
            </w:r>
            <w:r>
              <w:rPr>
                <w:sz w:val="28"/>
              </w:rPr>
              <w:br/>
              <w:t xml:space="preserve">Комиссия также рекомендовала НБ РБ путем правого регулирования реализовать возможность применения электронных документов в безналичных расчетах на всех стадиях осуществления переводов денежных средств, и на решение вопросов скорейшего принятия законодательного акта об электронном документе и цифровой подписи к нему будут в ближайшее время направлены усилия НБ РБ и коммерческих банков. </w:t>
            </w:r>
            <w:r>
              <w:rPr>
                <w:sz w:val="28"/>
              </w:rPr>
              <w:br/>
            </w:r>
            <w:r>
              <w:rPr>
                <w:sz w:val="28"/>
              </w:rPr>
              <w:br/>
              <w:t>Создание Рабочей группы по доработке BISS при Ассоциации белорусских банков, проведение НБ РБ ряда крупных совещаний с представителями коммерческих банков и другие организационные меры, предпринятые в феврале-марте 1998 г., позволили выработать согласованные со всеми пользователями новой системы подходы к ее дальнейшему совершенствованию и перспективному развитию.</w:t>
            </w:r>
          </w:p>
          <w:p w:rsidR="00B82893" w:rsidRDefault="00E4298B">
            <w:pPr>
              <w:pStyle w:val="10"/>
              <w:tabs>
                <w:tab w:val="left" w:pos="9639"/>
              </w:tabs>
              <w:ind w:left="142" w:right="-666"/>
              <w:rPr>
                <w:sz w:val="28"/>
              </w:rPr>
            </w:pPr>
            <w:r>
              <w:rPr>
                <w:sz w:val="28"/>
              </w:rPr>
              <w:t xml:space="preserve">Планируется, что первая очередь системы BISS будет сдана в промышленную эксплуатацию в январе 1999 г. после завершения выполнения дополнительных организационно-методических, нормативно-правовых и технических мероприятий. </w:t>
            </w:r>
            <w:r>
              <w:rPr>
                <w:sz w:val="28"/>
              </w:rPr>
              <w:br/>
              <w:t xml:space="preserve">Банки также высказались за доработку ряда утвержденных НБ РБ нормативно-инструктивных документов, особенно в части более детальной регламентации правил ведения новой формы расчетов, включая вопросы обеспечения безопасности. </w:t>
            </w:r>
          </w:p>
          <w:p w:rsidR="00B82893" w:rsidRDefault="00E4298B">
            <w:pPr>
              <w:pStyle w:val="10"/>
              <w:tabs>
                <w:tab w:val="left" w:pos="9639"/>
              </w:tabs>
              <w:ind w:left="142" w:right="-666"/>
              <w:rPr>
                <w:sz w:val="28"/>
              </w:rPr>
            </w:pPr>
            <w:r>
              <w:rPr>
                <w:sz w:val="28"/>
              </w:rPr>
              <w:t>При этом</w:t>
            </w:r>
          </w:p>
          <w:p w:rsidR="00B82893" w:rsidRDefault="00B82893">
            <w:pPr>
              <w:pStyle w:val="10"/>
              <w:tabs>
                <w:tab w:val="left" w:pos="9639"/>
              </w:tabs>
              <w:ind w:left="142" w:right="-666"/>
              <w:rPr>
                <w:sz w:val="28"/>
              </w:rPr>
            </w:pPr>
          </w:p>
          <w:p w:rsidR="00B82893" w:rsidRDefault="00B82893">
            <w:pPr>
              <w:pStyle w:val="10"/>
              <w:tabs>
                <w:tab w:val="left" w:pos="9639"/>
              </w:tabs>
              <w:ind w:left="142" w:right="-666"/>
              <w:rPr>
                <w:sz w:val="28"/>
              </w:rPr>
            </w:pPr>
          </w:p>
          <w:p w:rsidR="00B82893" w:rsidRDefault="00B82893">
            <w:pPr>
              <w:pStyle w:val="10"/>
              <w:tabs>
                <w:tab w:val="left" w:pos="9639"/>
              </w:tabs>
              <w:ind w:left="142" w:right="-666"/>
              <w:rPr>
                <w:sz w:val="28"/>
              </w:rPr>
            </w:pPr>
          </w:p>
          <w:p w:rsidR="00B82893" w:rsidRDefault="00B82893">
            <w:pPr>
              <w:pStyle w:val="10"/>
              <w:tabs>
                <w:tab w:val="left" w:pos="9639"/>
              </w:tabs>
              <w:ind w:left="142" w:right="-666"/>
              <w:rPr>
                <w:sz w:val="28"/>
              </w:rPr>
            </w:pPr>
          </w:p>
          <w:p w:rsidR="00B82893" w:rsidRDefault="00B82893">
            <w:pPr>
              <w:pStyle w:val="10"/>
              <w:tabs>
                <w:tab w:val="left" w:pos="9639"/>
              </w:tabs>
              <w:ind w:left="142" w:right="-666"/>
              <w:rPr>
                <w:sz w:val="28"/>
              </w:rPr>
            </w:pPr>
          </w:p>
          <w:p w:rsidR="00B82893" w:rsidRDefault="00B82893">
            <w:pPr>
              <w:pStyle w:val="10"/>
              <w:tabs>
                <w:tab w:val="left" w:pos="9639"/>
              </w:tabs>
              <w:ind w:left="142" w:right="-666"/>
              <w:rPr>
                <w:sz w:val="28"/>
              </w:rPr>
            </w:pPr>
          </w:p>
          <w:p w:rsidR="00B82893" w:rsidRDefault="00E4298B">
            <w:pPr>
              <w:pStyle w:val="10"/>
              <w:tabs>
                <w:tab w:val="left" w:pos="9639"/>
              </w:tabs>
              <w:ind w:left="142" w:right="-666"/>
              <w:rPr>
                <w:sz w:val="28"/>
              </w:rPr>
            </w:pPr>
            <w:r>
              <w:rPr>
                <w:sz w:val="28"/>
              </w:rPr>
              <w:t xml:space="preserve"> некоторые банки самостоятельно предприняли попытку разработки типовых положений, организационно-распорядительной документации и рекомендаций по работе с BISS в банке-пользователе. </w:t>
            </w:r>
            <w:r>
              <w:rPr>
                <w:sz w:val="28"/>
              </w:rPr>
              <w:br/>
            </w:r>
            <w:r>
              <w:rPr>
                <w:sz w:val="28"/>
              </w:rPr>
              <w:br/>
            </w:r>
            <w:r>
              <w:rPr>
                <w:sz w:val="28"/>
              </w:rPr>
              <w:br/>
            </w:r>
            <w:r>
              <w:rPr>
                <w:rStyle w:val="HTMLMarkup"/>
                <w:color w:val="000000"/>
                <w:sz w:val="28"/>
              </w:rPr>
              <w:t xml:space="preserve"> &lt;/TBODY&gt;</w:t>
            </w:r>
          </w:p>
        </w:tc>
      </w:tr>
    </w:tbl>
    <w:p w:rsidR="00B82893" w:rsidRDefault="00E4298B">
      <w:pPr>
        <w:pStyle w:val="10"/>
        <w:rPr>
          <w:sz w:val="28"/>
        </w:rPr>
      </w:pPr>
      <w:r>
        <w:rPr>
          <w:b/>
          <w:sz w:val="32"/>
        </w:rPr>
        <w:t>Значение Клиринга для стран СНГ текущие проблемы.</w:t>
      </w:r>
      <w:r>
        <w:rPr>
          <w:rStyle w:val="HTMLMarkup"/>
          <w:color w:val="000000"/>
        </w:rPr>
        <w:t xml:space="preserve"> &lt;!DOCTYPE HTML PUBLIC "-//W3C//DTD HTML 4.0 Transitional//EN"&gt;&lt;!-- saved from url=(0164)http://sm.aport.ru/scripts/template.dll?r=%CA%EB%E8%F0%E8%ED%E3%EE%E2%E0%FF+%F1%E8%F1%F2%E5%EC%E0+CHAPS&amp;id=78324219&amp;That=std&amp;Rt=4&amp;Site=1&amp;DocNum=1&amp;DocID=494300&amp;HID=6 --&gt;</w:t>
      </w:r>
      <w:r>
        <w:rPr>
          <w:rStyle w:val="HTMLMarkup"/>
          <w:color w:val="000000"/>
          <w:sz w:val="28"/>
        </w:rPr>
        <w:t>&lt;/SCRIPT&gt;</w:t>
      </w:r>
    </w:p>
    <w:tbl>
      <w:tblPr>
        <w:tblW w:w="0" w:type="auto"/>
        <w:jc w:val="center"/>
        <w:tblBorders>
          <w:top w:val="single" w:sz="12" w:space="0" w:color="008000"/>
          <w:left w:val="nil"/>
          <w:bottom w:val="single" w:sz="12" w:space="0" w:color="008000"/>
          <w:right w:val="nil"/>
          <w:insideH w:val="nil"/>
          <w:insideV w:val="nil"/>
        </w:tblBorders>
        <w:tblLayout w:type="fixed"/>
        <w:tblCellMar>
          <w:left w:w="0" w:type="dxa"/>
          <w:right w:w="0" w:type="dxa"/>
        </w:tblCellMar>
        <w:tblLook w:val="00A0" w:firstRow="1" w:lastRow="0" w:firstColumn="1" w:lastColumn="0" w:noHBand="0" w:noVBand="0"/>
      </w:tblPr>
      <w:tblGrid>
        <w:gridCol w:w="1276"/>
        <w:gridCol w:w="9312"/>
        <w:gridCol w:w="182"/>
      </w:tblGrid>
      <w:tr w:rsidR="00B82893">
        <w:trPr>
          <w:trHeight w:val="6515"/>
          <w:jc w:val="center"/>
        </w:trPr>
        <w:tc>
          <w:tcPr>
            <w:tcW w:w="1276" w:type="dxa"/>
            <w:tcBorders>
              <w:bottom w:val="single" w:sz="6" w:space="0" w:color="008000"/>
            </w:tcBorders>
            <w:vAlign w:val="center"/>
          </w:tcPr>
          <w:p w:rsidR="00B82893" w:rsidRDefault="00B82893">
            <w:pPr>
              <w:pStyle w:val="10"/>
              <w:jc w:val="both"/>
              <w:rPr>
                <w:color w:val="auto"/>
                <w:sz w:val="28"/>
              </w:rPr>
            </w:pPr>
          </w:p>
        </w:tc>
        <w:tc>
          <w:tcPr>
            <w:tcW w:w="9312" w:type="dxa"/>
            <w:tcBorders>
              <w:bottom w:val="single" w:sz="6" w:space="0" w:color="008000"/>
            </w:tcBorders>
            <w:vAlign w:val="center"/>
          </w:tcPr>
          <w:p w:rsidR="00B82893" w:rsidRDefault="00B82893">
            <w:pPr>
              <w:pStyle w:val="10"/>
              <w:jc w:val="both"/>
              <w:rPr>
                <w:color w:val="auto"/>
                <w:sz w:val="28"/>
              </w:rPr>
            </w:pPr>
          </w:p>
        </w:tc>
        <w:tc>
          <w:tcPr>
            <w:tcW w:w="182" w:type="dxa"/>
            <w:tcBorders>
              <w:bottom w:val="single" w:sz="6" w:space="0" w:color="008000"/>
            </w:tcBorders>
            <w:vAlign w:val="center"/>
          </w:tcPr>
          <w:p w:rsidR="00B82893" w:rsidRDefault="00B82893">
            <w:pPr>
              <w:pStyle w:val="10"/>
              <w:jc w:val="both"/>
              <w:rPr>
                <w:color w:val="auto"/>
                <w:sz w:val="28"/>
              </w:rPr>
            </w:pPr>
          </w:p>
        </w:tc>
      </w:tr>
      <w:tr w:rsidR="00B82893">
        <w:trPr>
          <w:trHeight w:val="6515"/>
          <w:jc w:val="center"/>
        </w:trPr>
        <w:tc>
          <w:tcPr>
            <w:tcW w:w="1276" w:type="dxa"/>
            <w:tcBorders>
              <w:top w:val="nil"/>
            </w:tcBorders>
            <w:vAlign w:val="center"/>
          </w:tcPr>
          <w:p w:rsidR="00B82893" w:rsidRDefault="00B82893">
            <w:pPr>
              <w:pStyle w:val="10"/>
              <w:jc w:val="both"/>
              <w:rPr>
                <w:color w:val="auto"/>
                <w:sz w:val="28"/>
              </w:rPr>
            </w:pPr>
          </w:p>
        </w:tc>
        <w:tc>
          <w:tcPr>
            <w:tcW w:w="9312" w:type="dxa"/>
            <w:tcBorders>
              <w:top w:val="nil"/>
            </w:tcBorders>
            <w:vAlign w:val="center"/>
          </w:tcPr>
          <w:p w:rsidR="00B82893" w:rsidRDefault="00B82893">
            <w:pPr>
              <w:pStyle w:val="10"/>
              <w:jc w:val="both"/>
              <w:rPr>
                <w:color w:val="auto"/>
                <w:sz w:val="28"/>
              </w:rPr>
            </w:pPr>
          </w:p>
        </w:tc>
        <w:tc>
          <w:tcPr>
            <w:tcW w:w="182" w:type="dxa"/>
            <w:tcBorders>
              <w:top w:val="nil"/>
            </w:tcBorders>
            <w:vAlign w:val="center"/>
          </w:tcPr>
          <w:p w:rsidR="00B82893" w:rsidRDefault="00B82893">
            <w:pPr>
              <w:pStyle w:val="10"/>
              <w:jc w:val="both"/>
              <w:rPr>
                <w:color w:val="auto"/>
                <w:sz w:val="28"/>
              </w:rPr>
            </w:pPr>
          </w:p>
        </w:tc>
      </w:tr>
      <w:tr w:rsidR="00B82893">
        <w:trPr>
          <w:trHeight w:val="11484"/>
          <w:jc w:val="center"/>
        </w:trPr>
        <w:tc>
          <w:tcPr>
            <w:tcW w:w="1276" w:type="dxa"/>
            <w:vAlign w:val="center"/>
          </w:tcPr>
          <w:p w:rsidR="00B82893" w:rsidRDefault="00E4298B">
            <w:pPr>
              <w:pStyle w:val="10"/>
              <w:jc w:val="both"/>
              <w:rPr>
                <w:color w:val="auto"/>
                <w:sz w:val="28"/>
              </w:rPr>
            </w:pPr>
            <w:r>
              <w:rPr>
                <w:color w:val="auto"/>
                <w:sz w:val="28"/>
              </w:rPr>
              <w:fldChar w:fldCharType="begin"/>
            </w:r>
            <w:r>
              <w:rPr>
                <w:color w:val="auto"/>
                <w:sz w:val="28"/>
              </w:rPr>
              <w:instrText>PRIVATE</w:instrText>
            </w:r>
            <w:r>
              <w:rPr>
                <w:color w:val="auto"/>
                <w:sz w:val="28"/>
              </w:rPr>
              <w:fldChar w:fldCharType="end"/>
            </w:r>
            <w:r>
              <w:rPr>
                <w:rStyle w:val="HTMLMarkup"/>
                <w:color w:val="auto"/>
                <w:sz w:val="28"/>
              </w:rPr>
              <w:t>&lt;TBODY&gt;</w:t>
            </w:r>
            <w:r>
              <w:rPr>
                <w:color w:val="auto"/>
                <w:sz w:val="28"/>
              </w:rPr>
              <w:t xml:space="preserve"> </w:t>
            </w:r>
          </w:p>
        </w:tc>
        <w:tc>
          <w:tcPr>
            <w:tcW w:w="9312" w:type="dxa"/>
            <w:vAlign w:val="center"/>
          </w:tcPr>
          <w:p w:rsidR="00B82893" w:rsidRDefault="00E4298B">
            <w:pPr>
              <w:pStyle w:val="10"/>
              <w:rPr>
                <w:sz w:val="28"/>
              </w:rPr>
            </w:pPr>
            <w:r>
              <w:rPr>
                <w:b/>
                <w:sz w:val="32"/>
              </w:rPr>
              <w:t>Значение Клиринга для стран СНГ текущие проблемы.</w:t>
            </w:r>
            <w:r>
              <w:rPr>
                <w:rStyle w:val="HTMLMarkup"/>
                <w:color w:val="000000"/>
              </w:rPr>
              <w:t xml:space="preserve"> &lt;!DOCTYPE HTML PUBLIC "-//W3C//DTD HTML 4.0 Transitional//EN"&gt;&lt;!-- saved from url=(0164)http://sm.aport.ru/scripts/template.dll?r=%CA%EB%E8%F0%E8%ED%E3%EE%E2%E0%FF+%F1%E8%F1%F2%E5%EC%E0+CHAPS&amp;id=78324219&amp;That=std&amp;Rt=4&amp;Site=1&amp;DocNum=1&amp;DocID=494300&amp;HID=6 --&gt;</w:t>
            </w:r>
            <w:r>
              <w:rPr>
                <w:rStyle w:val="HTMLMarkup"/>
                <w:color w:val="000000"/>
                <w:sz w:val="28"/>
              </w:rPr>
              <w:t>&lt;/SCRIPT&gt;</w:t>
            </w:r>
          </w:p>
          <w:p w:rsidR="00B82893" w:rsidRDefault="00E4298B">
            <w:pPr>
              <w:pStyle w:val="10"/>
              <w:jc w:val="both"/>
              <w:rPr>
                <w:color w:val="auto"/>
                <w:sz w:val="28"/>
              </w:rPr>
            </w:pPr>
            <w:r>
              <w:rPr>
                <w:color w:val="auto"/>
                <w:sz w:val="28"/>
              </w:rPr>
              <w:t xml:space="preserve">Для республик бывшего Советского Союза и Содружества независимых государств (СНГ) главной проблемой является создание денежной системы, отвечающей нуждам экономической реформы и переходного периода от социализма и центрального планирования к рыночной экономике. </w:t>
            </w:r>
          </w:p>
          <w:p w:rsidR="00B82893" w:rsidRDefault="00E4298B">
            <w:pPr>
              <w:pStyle w:val="10"/>
              <w:jc w:val="both"/>
              <w:rPr>
                <w:color w:val="auto"/>
                <w:sz w:val="28"/>
              </w:rPr>
            </w:pPr>
            <w:r>
              <w:rPr>
                <w:color w:val="auto"/>
                <w:sz w:val="28"/>
              </w:rPr>
              <w:t xml:space="preserve">Текущая ситуация </w:t>
            </w:r>
          </w:p>
          <w:p w:rsidR="00B82893" w:rsidRDefault="00E4298B">
            <w:pPr>
              <w:pStyle w:val="10"/>
              <w:jc w:val="both"/>
              <w:rPr>
                <w:color w:val="auto"/>
                <w:sz w:val="28"/>
              </w:rPr>
            </w:pPr>
            <w:r>
              <w:rPr>
                <w:color w:val="auto"/>
                <w:sz w:val="28"/>
              </w:rPr>
              <w:t xml:space="preserve">Внутренняя и межреспубликанская торговля рухнула из-за отсутствия подходящих средств обмена. Частично ответственна гиперинфляция: на фоне общего роста уровня цен трудно оценить информацию, содержащуюся в относительных ценах, а потому трудно заключать контракты и строить планы на будущее в условиях высоких и непостоянных темпов инфляции. Но немалая ответственность за нынешние трудности лежит и на советской банковской системе. </w:t>
            </w:r>
          </w:p>
          <w:p w:rsidR="00B82893" w:rsidRDefault="00E4298B">
            <w:pPr>
              <w:pStyle w:val="10"/>
              <w:jc w:val="both"/>
              <w:rPr>
                <w:color w:val="auto"/>
                <w:sz w:val="28"/>
              </w:rPr>
            </w:pPr>
            <w:r>
              <w:rPr>
                <w:color w:val="auto"/>
                <w:sz w:val="28"/>
              </w:rPr>
              <w:t xml:space="preserve">Рублевые депозиты предприятий не легко обратимы в наличность; в условиях центрального планирования наличные средства использовались почти исключительно для выплаты заработной платы. За поставки машин и материалов следовало платить банковскими переводами безналичных. Президиум Верховного Совета в конце января 1992 г., когда эта система уже почти рухнула, подтвердил эти ограничения (Bush, 1992). В середине 1990-го года авторы плана "500 дней" отметили, что обменный курс между наличными и безналичными деньгами составляет 1:3 (Yavlinsky et al.; 1991, р. 75). В операциях на недавно заработавшей товарной бирже сохраняется то же соотношение. </w:t>
            </w:r>
          </w:p>
          <w:p w:rsidR="00B82893" w:rsidRDefault="00E4298B">
            <w:pPr>
              <w:pStyle w:val="10"/>
              <w:jc w:val="both"/>
              <w:rPr>
                <w:color w:val="auto"/>
                <w:sz w:val="28"/>
              </w:rPr>
            </w:pPr>
            <w:r>
              <w:rPr>
                <w:color w:val="auto"/>
                <w:sz w:val="28"/>
              </w:rPr>
              <w:t xml:space="preserve">В условиях централизованного планирования задачей центрального банка было не просто выдавать и собирать коммерческие кредиты (или даже контролировать объем денег в обращении), но выдавать кредиты в соответствии с плановыми решениями и, таким образом, обеспечивать выполнение планов. Произведенная продукция поставлялась государству, и от него же получали все нужное для производства. Фактически существовала централизованная система бартера. Министерства являлись совладельцами банковских депозитов предприятий. </w:t>
            </w:r>
          </w:p>
          <w:p w:rsidR="00B82893" w:rsidRDefault="00E4298B">
            <w:pPr>
              <w:pStyle w:val="10"/>
              <w:jc w:val="both"/>
              <w:rPr>
                <w:color w:val="auto"/>
                <w:sz w:val="28"/>
              </w:rPr>
            </w:pPr>
            <w:r>
              <w:rPr>
                <w:color w:val="auto"/>
                <w:sz w:val="28"/>
              </w:rPr>
              <w:t xml:space="preserve">После провала начатой в июле 1987 г. попытки создать коммерческие (но по-прежнему принадлежащие государству) банки, передав им активы государственного банка, в 1990 г. министерства и госпредприятия начали создавать банки (IMF, 1991: 2, pp. 107--115; Vadilov, 1991). Эти банки задуманы для снабжения своих владельцев кредитами и непохоже, что они будут функционировать как коммерческие банки, работающие ради прибыли; госбанк может предоставлять им межбанковские кредиты. Таким образом, при всех изменениях еще не произошла передача права принятия инвестиционных решений от правительства рынку. Новые кооперативы -- а многие из них были созданы внутри госпредприятий -- учредили ряд кооперативных банков. Они также выдают кредиты своим владельцам, но более приспособлены к осуществлению коммерческих операций. </w:t>
            </w:r>
          </w:p>
          <w:p w:rsidR="00B82893" w:rsidRDefault="00E4298B">
            <w:pPr>
              <w:pStyle w:val="10"/>
              <w:jc w:val="both"/>
              <w:rPr>
                <w:color w:val="auto"/>
                <w:sz w:val="28"/>
              </w:rPr>
            </w:pPr>
            <w:r>
              <w:rPr>
                <w:color w:val="auto"/>
                <w:sz w:val="28"/>
              </w:rPr>
              <w:t xml:space="preserve">В конце 1989 г. имел место один из самых причудливых эпизодов в истории центральных банков: республиканские правительства учредили собственные "центральные" банки, и по крайней мере часть из них принялась накачивать рубли в обращение для покрытия дефицита республиканских бюджетов. Руководитель государственного банка заявил, что главным нарушителем равновесия была Россия (Lloyd, 1991). Все выглядело так, как если бы республики соревновались -- кто напечатает больше денег прежде, чем рубль окончательно обесценится. [Бенджамин Клейн (Benjamin Klein; 1974, р. 439) пишет: "В истории редки примеры конкурентной эмиссии одной валюты. ... Имеющиеся примеры свидетельствуют о наличии сильных стимулов к чрезмерной эмиссии". Поведение бывших советских республик дает еще один пример тому.] Центральное правительство финансировало свой дефицит из того же источника. </w:t>
            </w:r>
          </w:p>
          <w:p w:rsidR="00B82893" w:rsidRDefault="00E4298B">
            <w:pPr>
              <w:pStyle w:val="10"/>
              <w:jc w:val="both"/>
              <w:rPr>
                <w:color w:val="auto"/>
                <w:sz w:val="28"/>
              </w:rPr>
            </w:pPr>
            <w:r>
              <w:rPr>
                <w:color w:val="auto"/>
                <w:sz w:val="28"/>
              </w:rPr>
              <w:t xml:space="preserve">Могла бы или нет Россия или СНГ восстановить контроль над эмиссией денег, но другие республики, особенно Украина, стремились завести собственные деньги, прежде всего, для того, чтобы предотвратить перелив рублей из России. Украина начала печатать купоны, которые должны стать основной национальной валюты, в январе 1992 г. (Uchitelle, 1992). Предполагается, что в будущем и Украина и Россия создадут стабильные деньги, и тогда межреспубликанская торговля опять воспрянет. Такого будущего может быть придется ждать долго. </w:t>
            </w:r>
          </w:p>
          <w:p w:rsidR="00B82893" w:rsidRDefault="00E4298B">
            <w:pPr>
              <w:pStyle w:val="10"/>
              <w:jc w:val="both"/>
              <w:rPr>
                <w:color w:val="auto"/>
                <w:sz w:val="28"/>
              </w:rPr>
            </w:pPr>
            <w:r>
              <w:rPr>
                <w:color w:val="auto"/>
                <w:sz w:val="28"/>
              </w:rPr>
              <w:t xml:space="preserve">Нынешней реальностью является унаследованный от коммунистических систем банков и торговли легализованный бартер. Крупные авиазаводы начали штамповать алюминиевые кастрюли, чтобы было чем расплачиваться за поставки. Поскольку предприятия стремятся улучшить снабжение своих работников, на мясо можно выменять почти что угодно. Такие дефицитные и высокоценимые товары как автомобили иногда котируются на бирже в тоннах пшеницы (Bamnger, 1991). Угольщики Кузбасса зимой 1991--1992 года пытались выменивать уголь на сахар. Ассоциация частных фермеров выменивала мясо и другие продукты на колесные трактора и др. технику (Banerjee, 1991). Даже непьющие запасали водку для обмена (Albright, 1991). И предприятия и потребители предпочитают владеть товарами, а не рублями; накопление запасов стало стандартным поведением. </w:t>
            </w:r>
          </w:p>
          <w:p w:rsidR="00B82893" w:rsidRDefault="00E4298B">
            <w:pPr>
              <w:pStyle w:val="10"/>
              <w:jc w:val="both"/>
              <w:rPr>
                <w:color w:val="auto"/>
                <w:sz w:val="28"/>
              </w:rPr>
            </w:pPr>
            <w:r>
              <w:rPr>
                <w:color w:val="auto"/>
                <w:sz w:val="28"/>
              </w:rPr>
              <w:t xml:space="preserve">Из-за чрезмерной концентрации производства, когда доля отдельных производителей доходила до 85--100 процентов всего выпуска, особенно важна роль межреспубликанской торговли (IMF; 1991: 2, pp. 16, 40). В июле 1991 г. небольшое предприятие с Дальнего Востока России сообщило, что испытывает трудности с получением стали для изготовления водонагревателей. И это небольшое предприятие являлось единственным поставщиком бойлеров для всей территории бывшего СССР (FBIS; 29 July, 1991, р. 53). В 1988 г. для всех республик кроме России объем межреспубликанской торговли превосходил 30 процентов объема валового производства, а в 12 республиках -- более 40 процентов (The Economist; 1991, р. 77). </w:t>
            </w:r>
          </w:p>
          <w:p w:rsidR="00B82893" w:rsidRDefault="00E4298B">
            <w:pPr>
              <w:pStyle w:val="10"/>
              <w:jc w:val="both"/>
              <w:rPr>
                <w:color w:val="auto"/>
                <w:sz w:val="28"/>
              </w:rPr>
            </w:pPr>
            <w:r>
              <w:rPr>
                <w:color w:val="auto"/>
                <w:sz w:val="28"/>
              </w:rPr>
              <w:t xml:space="preserve">Из-за быстрого обесценивания рубля в торговле начали использовать доллар США и другие твердые валюты. [О сегодняшней атмосфере бизнеса см. Copetas (1991).] По разным оценкам на руках у населения сейчас от 2 до 10 млрд. долл. и других твердых валют. О недоверии к денежной политике правительства свидетельствует высказывание человека, который в феврале 1992 г. был в США с официальным визитом: "свою твердую валюту я храню дома". Привлекательность доллара сказывается в его более высокой покупательной способности -- сравнительно как с официальным, так и с черным курсом (Ignatius and Hays, 1992). В то же время государства, возникшие на месте СССР, унаследовали внешний долг более чем в 60 млрд. долл. </w:t>
            </w:r>
          </w:p>
          <w:p w:rsidR="00B82893" w:rsidRDefault="00E4298B">
            <w:pPr>
              <w:pStyle w:val="10"/>
              <w:jc w:val="both"/>
              <w:rPr>
                <w:color w:val="auto"/>
                <w:sz w:val="28"/>
              </w:rPr>
            </w:pPr>
            <w:r>
              <w:rPr>
                <w:color w:val="auto"/>
                <w:sz w:val="28"/>
              </w:rPr>
              <w:t xml:space="preserve">В общем, как внутренняя, так и внешняя торговля республик страдает из-за отсутствия нормальных средств обмена. И для внутренней и для межреспубликанской торговли нужны хорошие деньги, и как можно быстрее -- без этого не удается использовать существующие ресурсы. Республикам нужна система коммерческих банков и им следовало бы вовлечь в оборот запасы твердой валюты, принадлежащей их гражданам. [Маккиннон (McKumon; 1979, р. 251--254) считает одним из факторов успеха плана Маршалла создание европейского платежного союза, в фонд которого США внесли -350 млн. долл. Платежный союз, в котором доллар служил единицей учета, сделал европейские валюты конвертируемыми и возродил торговлю. При этом перелив капитала из США составил только 4 процента ВНП.] </w:t>
            </w:r>
          </w:p>
          <w:p w:rsidR="00B82893" w:rsidRDefault="00E4298B">
            <w:pPr>
              <w:pStyle w:val="10"/>
              <w:jc w:val="both"/>
              <w:rPr>
                <w:color w:val="auto"/>
                <w:sz w:val="28"/>
              </w:rPr>
            </w:pPr>
            <w:r>
              <w:rPr>
                <w:color w:val="auto"/>
                <w:sz w:val="28"/>
              </w:rPr>
              <w:t xml:space="preserve">Свободное банковское дело: история </w:t>
            </w:r>
          </w:p>
          <w:p w:rsidR="00B82893" w:rsidRDefault="00E4298B">
            <w:pPr>
              <w:pStyle w:val="10"/>
              <w:jc w:val="both"/>
              <w:rPr>
                <w:color w:val="auto"/>
                <w:sz w:val="28"/>
              </w:rPr>
            </w:pPr>
            <w:r>
              <w:rPr>
                <w:color w:val="auto"/>
                <w:sz w:val="28"/>
              </w:rPr>
              <w:t xml:space="preserve">Свободную банковскую систему отличает возможность беспрепятственно учредить банк и беспрепятственно выпускать банкноты -- при минимальном правительственном вмешательстве. Роль правительства ограничена (если не считать предоставления соответствующего законодательства) наблюдением за выполнением договоров и законов, запрещающих жульничество и другие формы преступной деятельности. В такой системе нет центрального банка, и никто не приходит на помощь банкротам. </w:t>
            </w:r>
          </w:p>
          <w:p w:rsidR="00B82893" w:rsidRDefault="00E4298B">
            <w:pPr>
              <w:pStyle w:val="10"/>
              <w:jc w:val="both"/>
              <w:rPr>
                <w:color w:val="auto"/>
                <w:sz w:val="28"/>
              </w:rPr>
            </w:pPr>
            <w:r>
              <w:rPr>
                <w:color w:val="auto"/>
                <w:sz w:val="28"/>
              </w:rPr>
              <w:t xml:space="preserve">После публикации работ Ф. Хайека 1976 и 1978 гг. о конкурентных валютах, история и теория частной эмиссии конкурирующих валют привлекла повышенное внимание западных экономистов. Делаются известными новые примеры. В большинстве случаев все банки использовали одну и ту же резервную валюту или стандарт ценности, в которую конвертировались прочие деньги. Смысл предложения Хайека заключался в конкуренции между валютами с разными единицами номинации. Ему казалось возможным, что в результате конкуренции возникнет валютный стандарт, имеющий постоянную покупательную способность относительно корзины сырьевых товаров. Главным в его (и других ученых) аргументах было то, что правительственная монополия на эмиссию денег и на определение стандарта ценности настолько извратила ситуацию, что у рынка просто не было возможности поэкспериментировать с эмиссией денег, которые могли бы подойти потребителю. </w:t>
            </w:r>
          </w:p>
          <w:p w:rsidR="00B82893" w:rsidRDefault="00E4298B">
            <w:pPr>
              <w:pStyle w:val="10"/>
              <w:jc w:val="both"/>
              <w:rPr>
                <w:color w:val="auto"/>
                <w:sz w:val="28"/>
              </w:rPr>
            </w:pPr>
            <w:r>
              <w:rPr>
                <w:color w:val="auto"/>
                <w:sz w:val="28"/>
              </w:rPr>
              <w:t xml:space="preserve">Независимо от того, какой могла бы стать законченная система с конкурирующими частными деньгами, исторические данные говорят нам о том, чего можно ожидать от подобной системы, независимо от того -- используют или нет все банки одинаковый валютный стандарт. </w:t>
            </w:r>
          </w:p>
          <w:p w:rsidR="00B82893" w:rsidRDefault="00E4298B">
            <w:pPr>
              <w:pStyle w:val="10"/>
              <w:jc w:val="both"/>
              <w:rPr>
                <w:color w:val="auto"/>
                <w:sz w:val="28"/>
              </w:rPr>
            </w:pPr>
            <w:r>
              <w:rPr>
                <w:color w:val="auto"/>
                <w:sz w:val="28"/>
              </w:rPr>
              <w:t xml:space="preserve">Наиболее интересен исторический опыт Шотландии от 1716 г., когда пала монополия Шотландского банка, до 1845 г., когда был принят закон об окончательной монополии банка Англии на эмиссию денег. Уайт (White, 1984) обобщил этот опыт и сравнил его с опытом Англии. В Шотландии ничто не препятствовало учреждению новых банков. Все банки кроме трех были основаны как фирмы с неограниченной ответственностью, так что их владельцы в случае банкротства должны были нести ответственность перед вкладчиками и держателями банкнот. С 1765 г. был запрещен выпуск мелких банкнот и принято требование оплачивать банкноты по предъявлению, что сделало незаконным прежнюю практику, в соответствии с которой банк мог оплатить предъявленные банкноты с задержкой на 6 месяцев, выплачивая за этот период проценты держателям. Таковы были единственные формы регулирования. </w:t>
            </w:r>
          </w:p>
          <w:p w:rsidR="00B82893" w:rsidRDefault="00E4298B">
            <w:pPr>
              <w:pStyle w:val="10"/>
              <w:jc w:val="both"/>
              <w:rPr>
                <w:color w:val="auto"/>
                <w:sz w:val="28"/>
              </w:rPr>
            </w:pPr>
            <w:r>
              <w:rPr>
                <w:color w:val="auto"/>
                <w:sz w:val="28"/>
              </w:rPr>
              <w:t xml:space="preserve">В Англии, напротив, на протяжении большей части этого периода выпуск банкнот был запрещен, если в банке было более 6 совладельцев; после 1826 г. была разрешена эмиссия банкнот банкам, расположенным на расстоянии более 65 миль от Лондона. Уровень банкротств в Англии более чем в 4 раза превосходил соответствующий показатель для Шотландии, и убытки зачастую ложились на держателей банкнот, тогда как в Шотландии, как правило, убытки покрывались владельцами банков (White; 1984, р. 47). </w:t>
            </w:r>
          </w:p>
          <w:p w:rsidR="00B82893" w:rsidRDefault="00E4298B">
            <w:pPr>
              <w:pStyle w:val="10"/>
              <w:jc w:val="both"/>
              <w:rPr>
                <w:color w:val="auto"/>
                <w:sz w:val="28"/>
              </w:rPr>
            </w:pPr>
            <w:r>
              <w:rPr>
                <w:color w:val="auto"/>
                <w:sz w:val="28"/>
              </w:rPr>
              <w:t xml:space="preserve">В США "свобода" банков означала не свободу предпринимательства, а возможность учреждения банка без специального разрешения законодательных органов. Опыт США отличается крайней пестротой, поскольку законы некоторых штатов работали вполне хорошо, а в некоторых были просто чудовищны. Даже внутри штатов, как правило, не разрешалось создавать банковские филиалы. Некоторые штаты использовали банки как рынок для своих облигаций и требовали от них скупать облигации для обеспечения эмитируемых банкнот, но при этом требовали, чтобы облигации учитывались не по рыночной оценке, а по номинальной цене. Эмитенты были привязаны к номинальной цене облигаций, и если последняя превышала рыночный курс, банки (даже в случае банкротства) могли получить мгновенную прибыль за счет эмиссии банкнот, обеспеченных ценными бумагами штата. Согласно Рокофу (Rockoff, 1975) эти правовые ограничения стали причиной возникновения крайне рискованных (диких) форм банковской практики, характерных для одних штатов и неизвестных в других; другим результатом была неспособность банков погашать эмитированные банкноты в случае обесценивания облигаций штата, что было результатом невозможности в достаточной степени диверсифицировать активы. Некоторые штаты оказывались неспособными закрывать неплатежеспособные банки. </w:t>
            </w:r>
          </w:p>
          <w:p w:rsidR="00B82893" w:rsidRDefault="00E4298B">
            <w:pPr>
              <w:pStyle w:val="10"/>
              <w:jc w:val="both"/>
              <w:rPr>
                <w:color w:val="auto"/>
                <w:sz w:val="28"/>
              </w:rPr>
            </w:pPr>
            <w:r>
              <w:rPr>
                <w:color w:val="auto"/>
                <w:sz w:val="28"/>
              </w:rPr>
              <w:t xml:space="preserve">Стабильная система свободных банков, похожая на шотландскую систему, возникла в штатах Новой Англии -- конкурентный выпуск банкнот, забота о поддержании номинального курса и система межбанковского клиринга, начало которой положил бостонский Suffolk Bank. </w:t>
            </w:r>
          </w:p>
          <w:p w:rsidR="00B82893" w:rsidRDefault="00E4298B">
            <w:pPr>
              <w:pStyle w:val="10"/>
              <w:jc w:val="both"/>
              <w:rPr>
                <w:color w:val="auto"/>
                <w:sz w:val="28"/>
              </w:rPr>
            </w:pPr>
            <w:r>
              <w:rPr>
                <w:color w:val="auto"/>
                <w:sz w:val="28"/>
              </w:rPr>
              <w:t xml:space="preserve">Стабильная система развилась и в Нью-Йорке, национальном центре торговли и промышленности. В 1840 г. был принят закон, по которому облигации штата, служившие обеспечением эмиссии, учитывались по рыночной цене. В общем случае закон предполагал ограниченную ответственность банков. Были установлены нижние границы уставного капитала банков, и если при наличии долгов оказывалось, что уставный капитал изъят, накладывался запрет на выплату дивидендов владельцам до тех пор, пока они не возмещали убыль уставного капитала. За изъятие уставного капитала банк мог подвергнуться ликвидации. Нью-йоркский закон требовал также наличия резервов в размере 12,5 процента от суммы эмитированных банкнот, и гарантировал компенсацию тем держателям банкнот, которым банк отказал в погашении по предъявлению (Rockoff; 1975, р. 70--79, 81). </w:t>
            </w:r>
          </w:p>
          <w:p w:rsidR="00B82893" w:rsidRDefault="00E4298B">
            <w:pPr>
              <w:pStyle w:val="10"/>
              <w:jc w:val="both"/>
              <w:rPr>
                <w:color w:val="auto"/>
                <w:sz w:val="28"/>
              </w:rPr>
            </w:pPr>
            <w:r>
              <w:rPr>
                <w:color w:val="auto"/>
                <w:sz w:val="28"/>
              </w:rPr>
              <w:t xml:space="preserve">В Швеции частные коммерческие банки с неограниченной ответственностью эмитировали банкноты с 1830 по 1904 г, когда эта практика была запрещена; параллельно ходили деньги государственного банка (Sandberg; 1978, р. 657--665). Один из этих банков сыграл особенно важную роль в развитии шведской промышленности. Сэндберг (Sanberg; 4978, р. 651) считает банковскую систему одним из важнейших слагаемых успеха Швеции, в том числе самых высоких темпов роста ВНП в Европе в период 1870--1914 гг. Банковских банкротств не было (Selgin; 1988, р. 7). </w:t>
            </w:r>
          </w:p>
          <w:p w:rsidR="00B82893" w:rsidRDefault="00E4298B">
            <w:pPr>
              <w:pStyle w:val="10"/>
              <w:jc w:val="both"/>
              <w:rPr>
                <w:color w:val="auto"/>
                <w:sz w:val="28"/>
              </w:rPr>
            </w:pPr>
            <w:r>
              <w:rPr>
                <w:color w:val="auto"/>
                <w:sz w:val="28"/>
              </w:rPr>
              <w:t xml:space="preserve">Между 1826 и 1850 гг. швейцарские кантоны разрешали частным банкам эмитировать банкноты. Пример Швейцарии особенно интересен, потому что в то время там не существовало единого валютного стандарта и банки были вольны выбирать денежную единицу. Восемь банков с различными формами собственности использовали четыре валютных стандарта. Базельский банк, банкноты которого были деноминованы во французских франках, и цюрихский, эмитировавший банкноты в брабантских таллерах, принимали банкноты друг друга по курсу, установленному банком-эмитентом. Время от времени частные небанковские эмитенты приостанавливали конвертируемость, но банкротств не было (Weber, 1988). Законы, ограничивавшие объем эмиссии и устанавливавшие резервные требования, не влияли на поведение банков, поскольку размер эмиссии неизменно был ниже разрешенного по закону, а объем резервов в среднем превышал требуемый законом. </w:t>
            </w:r>
          </w:p>
          <w:p w:rsidR="00B82893" w:rsidRDefault="00E4298B">
            <w:pPr>
              <w:pStyle w:val="10"/>
              <w:jc w:val="both"/>
              <w:rPr>
                <w:color w:val="auto"/>
                <w:sz w:val="28"/>
              </w:rPr>
            </w:pPr>
            <w:r>
              <w:rPr>
                <w:color w:val="auto"/>
                <w:sz w:val="28"/>
              </w:rPr>
              <w:t xml:space="preserve">История свободных банков в ряде стран на протяжении длительного периода -- в Шотландии более 100 лет, в США от 1838 до 1860 гг. -- в целом гораздо доброкачественнее, чем можно было бы представить по анекдотам о диких банках. Впрочем, важнейший урок истории требует создания условий, неблагоприятных для диких банков (т.е. банков, созданных исключительно с целью выбросить на рынок как можно больше банкнот). </w:t>
            </w:r>
          </w:p>
          <w:p w:rsidR="00B82893" w:rsidRDefault="00E4298B">
            <w:pPr>
              <w:pStyle w:val="10"/>
              <w:jc w:val="both"/>
              <w:rPr>
                <w:color w:val="auto"/>
                <w:sz w:val="28"/>
              </w:rPr>
            </w:pPr>
            <w:r>
              <w:rPr>
                <w:color w:val="auto"/>
                <w:sz w:val="28"/>
              </w:rPr>
              <w:t xml:space="preserve">Параллельно с изучением исторических свидетельств развивалась теория свободных банков. Основные теоретические выводы таковы: 1) система свободных банков в принципе неифляционна (т. е. не ведет к систематической сверхэмиссии банкнот); 2) не способствует ценовой неопределенности; 3) не порождает денежного неравновесия или колебаний ценности денег; 4) не создает условий для нестабильности -- паник и бегства депозитов; 5) не ведет к неэффективному использованию ресурсов. [См. Klein (1974); Glassner (1989); Rockoff (1975); Salsman (1990); White (1984, 1989a, 1989b); Selgin (1988); Vaubel (1987). Селгин и Уайт, исходя из исторических фактов и теоретических построений, дают гипотетическую картину системы свободных банков (Selgin: 1988, chap. 2, pp. 16--34; White, 1989b).] </w:t>
            </w:r>
          </w:p>
          <w:p w:rsidR="00B82893" w:rsidRDefault="00E4298B">
            <w:pPr>
              <w:pStyle w:val="10"/>
              <w:jc w:val="both"/>
              <w:rPr>
                <w:color w:val="auto"/>
                <w:sz w:val="28"/>
              </w:rPr>
            </w:pPr>
            <w:r>
              <w:rPr>
                <w:color w:val="auto"/>
                <w:sz w:val="28"/>
              </w:rPr>
              <w:t xml:space="preserve">Как теория, так и исторические свидетельства говорят, что рынок есть эффективный и действенный механизм предоставления денег. История демонстрирует также, что когда правительство решает уничтожить режим свободного банковского дела, оно (к несчастью) добивается своего без затруднений, и что это всегда осуществлялось во имя собственных целей правительства -- чтобы приобрести преимущества монопольной эмиссии и способности обесценивать валюту. </w:t>
            </w:r>
          </w:p>
          <w:p w:rsidR="00B82893" w:rsidRDefault="00E4298B">
            <w:pPr>
              <w:pStyle w:val="10"/>
              <w:jc w:val="both"/>
              <w:rPr>
                <w:color w:val="auto"/>
                <w:sz w:val="28"/>
              </w:rPr>
            </w:pPr>
            <w:r>
              <w:rPr>
                <w:color w:val="auto"/>
                <w:sz w:val="28"/>
              </w:rPr>
              <w:t xml:space="preserve">Система свободных банков для СНГ </w:t>
            </w:r>
          </w:p>
          <w:p w:rsidR="00B82893" w:rsidRDefault="00E4298B">
            <w:pPr>
              <w:pStyle w:val="10"/>
              <w:jc w:val="both"/>
              <w:rPr>
                <w:color w:val="auto"/>
                <w:sz w:val="28"/>
              </w:rPr>
            </w:pPr>
            <w:r>
              <w:rPr>
                <w:color w:val="auto"/>
                <w:sz w:val="28"/>
              </w:rPr>
              <w:t xml:space="preserve">В условиях свободной банковской системы каждое из государств-членов СНГ сможет при желании принять законы, разрешающие частным банкам принимать вклады в твердой валюте, золоте или других ценностях, и выпускать банкноты или создавать депозиты, конвертируемые в твердую валюту, золото, в нефть или в корзину товаров, пользующихся устойчивым спросом на мировых рынках. Каждое государство затем установит, что банки могут использовать вклады или банкноты в трансакциях или контрактах без всяких ограничений, и что правительство будет следить за выполнением этих контрактов таким же образом и с таким же усердием, с какими оно принуждает к выполнению контрактов в рублях или любой другой валюте, выпущенной самим правительством или от его имени; государство также примет на себя обязанность использовать законы, преследующие жульничество, подделку ценных бумаг и пр. так же, как оно преследует аналогичные преступления против собственных денег. </w:t>
            </w:r>
          </w:p>
          <w:p w:rsidR="00B82893" w:rsidRDefault="00E4298B">
            <w:pPr>
              <w:pStyle w:val="10"/>
              <w:jc w:val="both"/>
              <w:rPr>
                <w:color w:val="auto"/>
                <w:sz w:val="28"/>
              </w:rPr>
            </w:pPr>
            <w:r>
              <w:rPr>
                <w:color w:val="auto"/>
                <w:sz w:val="28"/>
              </w:rPr>
              <w:t xml:space="preserve">Лицензия на учреждение таких банков должна предоставляться по удовлетворении некоторых определенных минимальных требований -- имена, адреса и характеристика собственников (люди с криминальным прошлым должны быть исключены из числа возможных собственников), копия уставных документов банка с информацией о договорных обязательствах и взаимоотношениях с акционерами, вкладчиками и держателями банкнот, а также с именами и адресами аудиторов. От каждого банка можно потребовать, чтобы в его названии содержалось стандартное выражение типа "не государственный", которое свидетельствовало бы, что банк не принадлежит государству и не поддерживается им, и что его банкноты и депозиты не застрахованы правительством. Страны СНГ могут решить, что иностранные юридические и физические лица могут иметь право на получение банковской лицензии на полное или долевое владение банком. </w:t>
            </w:r>
          </w:p>
          <w:p w:rsidR="00B82893" w:rsidRDefault="00E4298B">
            <w:pPr>
              <w:pStyle w:val="10"/>
              <w:jc w:val="both"/>
              <w:rPr>
                <w:color w:val="auto"/>
                <w:sz w:val="28"/>
              </w:rPr>
            </w:pPr>
            <w:r>
              <w:rPr>
                <w:color w:val="auto"/>
                <w:sz w:val="28"/>
              </w:rPr>
              <w:t xml:space="preserve">Законы каждого государства СНГ потребуют, чтобы банки выполняли договорные обязательства перед держателями банковских билетов и вкладчиками; в случае невыполнения обязательств правительство закроет банк в соответствии с существующими правилами о банкротстве частных банков и уставными требованиями самого банка о порядке удовлетворения претензий. </w:t>
            </w:r>
          </w:p>
          <w:p w:rsidR="00B82893" w:rsidRDefault="00E4298B">
            <w:pPr>
              <w:pStyle w:val="10"/>
              <w:jc w:val="both"/>
              <w:rPr>
                <w:color w:val="auto"/>
                <w:sz w:val="28"/>
              </w:rPr>
            </w:pPr>
            <w:r>
              <w:rPr>
                <w:color w:val="auto"/>
                <w:sz w:val="28"/>
              </w:rPr>
              <w:t xml:space="preserve">Государство может потребовать, чтобы каждый банк обнародовал регулярную (даже ежедневную) аудиторскую информацию по установленной форме о состоянии банка, и вывешивал ее во всех отделениях банка и передавал в печать для публикации. Кроме того, банки должны информировать правительство и публиковать в печати сведения о количестве напечатанных банковских билетов; также и все типографии, печатающие банковские билеты, должны информировать правительство и публику о тиражах банкнот. Весьма вероятно, что обнародование информации станет обычным и само по себе, без всякого регулирования. Предполагается, что определенные требования могут сократить период времени, который потребуется рынку, чтобы сформировать спрос на информацию, на основании которой можно оценивать деятельность частных банков. </w:t>
            </w:r>
          </w:p>
          <w:p w:rsidR="00B82893" w:rsidRDefault="00E4298B">
            <w:pPr>
              <w:pStyle w:val="10"/>
              <w:jc w:val="both"/>
              <w:rPr>
                <w:color w:val="auto"/>
                <w:sz w:val="28"/>
              </w:rPr>
            </w:pPr>
            <w:r>
              <w:rPr>
                <w:color w:val="auto"/>
                <w:sz w:val="28"/>
              </w:rPr>
              <w:t xml:space="preserve">Правительственное регулирование деятельности этих банков должно ограничиваться выдачей лицензий и определенными информационными требованиями. Не следует ограничивать создание отделений или территориально ограничивать деятельность, не нужно также ограничивать набор возможных финансовых услуг (включая услуги клиринговых домов). Не нужны требования к величине резервов и не следует ограничивать величину процента по вкладам или кредитам, или виды кредитных услуг, которые может предоставлять банк (в том числе участие в собственности). (Не нужно запрещать банкам предоставлять кредиты госпредприятиям или брать у них вклады, но правительство, как владелец госпредприятий, может запретить всем или некоторым из них брать кредиты у частных банков или держать в них счета). </w:t>
            </w:r>
          </w:p>
          <w:p w:rsidR="00B82893" w:rsidRDefault="00E4298B">
            <w:pPr>
              <w:pStyle w:val="10"/>
              <w:jc w:val="both"/>
              <w:rPr>
                <w:color w:val="auto"/>
                <w:sz w:val="28"/>
              </w:rPr>
            </w:pPr>
            <w:r>
              <w:rPr>
                <w:color w:val="auto"/>
                <w:sz w:val="28"/>
              </w:rPr>
              <w:t xml:space="preserve">Процесс учреждения новых банков не должен знать других ограничений, кроме минимальных требований при выдаче лицензии (и, может быть, минимального начального капитала), поскольку конкуренция есть главный регулятор системы свободных банков. Не должно ограничиваться конвертирование счетов в наличные деньги или использование таких инструментов, как чеки, электронный перевод средств, банкоматы и пр. Не следует ограничивать спектр возможных банковских обязательств перед клиентами, в том числе -- быть ли банку акционерным обществом с ограниченной или неограниченной ответственностью. Банк может иметь право на выпуск банкнот с правом отсроченного выкупа -- так что банк получит возможность разменивать предъявленные банкноты с отсрочкой, скажем, на полгода. Банк сам решает, признавать ли ему банкноты, выпускаемые другими банками; клиринговые палаты также должны иметь свободу включать те или иные банки в число своих клиентов. Выпускаемые банками денежные инструменты будут свободно котироваться на рынке относительно друг друга и относительно рубля. </w:t>
            </w:r>
          </w:p>
          <w:p w:rsidR="00B82893" w:rsidRDefault="00E4298B">
            <w:pPr>
              <w:pStyle w:val="10"/>
              <w:jc w:val="both"/>
              <w:rPr>
                <w:color w:val="auto"/>
                <w:sz w:val="28"/>
              </w:rPr>
            </w:pPr>
            <w:r>
              <w:rPr>
                <w:color w:val="auto"/>
                <w:sz w:val="28"/>
              </w:rPr>
              <w:t xml:space="preserve">Чтобы поощрить развитие системы, правительства стран СНГ могут счесть желательным амнистировать, может быть временно, владельцев средств в твердой валюте с учетом происхождения или источника их средств. Правительствам, быть может, придется гарантировать отказ от конфискаций или денежных "реформ" конфискационного типа. Но правительствам не следует брать на себя обязательства по выплате вкладов или размену банковских билетов. Не следует также требовать, чтобы банки владели чем-то определенным, особенно правительственными обязательствами или облигациями. [Было бы разумным принять основы банковского законодательства, но разрешить областям и автономиям решать, желают ли они допустить на своих территориях свободу банковского дела.] </w:t>
            </w:r>
          </w:p>
          <w:p w:rsidR="00B82893" w:rsidRDefault="00E4298B">
            <w:pPr>
              <w:pStyle w:val="10"/>
              <w:jc w:val="both"/>
              <w:rPr>
                <w:color w:val="auto"/>
                <w:sz w:val="28"/>
              </w:rPr>
            </w:pPr>
            <w:r>
              <w:rPr>
                <w:color w:val="auto"/>
                <w:sz w:val="28"/>
              </w:rPr>
              <w:t xml:space="preserve">Правительства республик могут оказаться вынужденными как-то определить или ограничить возможные виды обеспечения для вкладов и банкнот. В настоящее время явным кандидатом является доллар, но не ясно, что же будет во всей рублевой зоне в конце десятилетия. Немецкая марка на западе страны, йена на Востоке, финская марка в Санкт-Петербурге, и, наконец, экю для всех желающих. Можно также использовать золото или валюты конвертируемые, скажем, в доллар, но имеющие основой спотовую цену нефти. Как сказал недавно Милтон Фридман, "пусть общие деньги возникнут тем же путем, каким возник общий язык, в ходе добровольного сотрудничества ... больше надежд на то, что надежные общие деньги возникнут в результате добровольного сотрудничества через рыночный процесс, а не в результате подгоняемой правительством кооперации через политический процесс." (Friedman, 1991). Могут также возникнуть новые формы денег, вроде тех, которые предвидел Хайек и другие. [Возможные варианты описаны у Greenfield and Yeager (1987), Hall (1982), Hayek (1976), Yeager (1987).] </w:t>
            </w:r>
          </w:p>
          <w:p w:rsidR="00B82893" w:rsidRDefault="00E4298B">
            <w:pPr>
              <w:pStyle w:val="10"/>
              <w:jc w:val="both"/>
              <w:rPr>
                <w:color w:val="auto"/>
                <w:sz w:val="28"/>
              </w:rPr>
            </w:pPr>
            <w:r>
              <w:rPr>
                <w:color w:val="auto"/>
                <w:sz w:val="28"/>
              </w:rPr>
              <w:t xml:space="preserve">Денежные вопросы -- предмет дискуссий в содружестве независимых государств, образованном 11 республиками бывшего СССР. Россия хочет сохранить рубль и превратить его в надежную валюту, а другие республики -- особенно настойчиво Украина -- заинтересованы в создании собственных денег. Договорятся ли страны СНГ о сохранении рубля для общего пользования или нет, они могут договориться о том, чтобы: </w:t>
            </w:r>
          </w:p>
          <w:p w:rsidR="00B82893" w:rsidRDefault="00E4298B">
            <w:pPr>
              <w:pStyle w:val="10"/>
              <w:jc w:val="both"/>
              <w:rPr>
                <w:color w:val="auto"/>
                <w:sz w:val="28"/>
              </w:rPr>
            </w:pPr>
            <w:r>
              <w:rPr>
                <w:color w:val="auto"/>
                <w:sz w:val="28"/>
              </w:rPr>
              <w:t xml:space="preserve">1) разрешить частным лицам и предприятиям использовать любые частные деньги по выбору; </w:t>
            </w:r>
            <w:r>
              <w:rPr>
                <w:color w:val="auto"/>
                <w:sz w:val="28"/>
              </w:rPr>
              <w:br/>
              <w:t xml:space="preserve">2) принимать или нет частные деньги, выпущенные на территории других стран, при уплате налогов; </w:t>
            </w:r>
            <w:r>
              <w:rPr>
                <w:color w:val="auto"/>
                <w:sz w:val="28"/>
              </w:rPr>
              <w:br/>
              <w:t xml:space="preserve">3) разрешать или нет открытие местных отделений банкам со штаб-квартирой в другой стране; </w:t>
            </w:r>
            <w:r>
              <w:rPr>
                <w:color w:val="auto"/>
                <w:sz w:val="28"/>
              </w:rPr>
              <w:br/>
              <w:t xml:space="preserve">4) требовать ли соблюдения контрактов, условия которых сформулированы в частных деньгах других республик (где-то контракт всегда будет защищен законом). </w:t>
            </w:r>
          </w:p>
          <w:p w:rsidR="00B82893" w:rsidRDefault="00E4298B">
            <w:pPr>
              <w:pStyle w:val="10"/>
              <w:jc w:val="both"/>
              <w:rPr>
                <w:color w:val="auto"/>
                <w:sz w:val="28"/>
              </w:rPr>
            </w:pPr>
            <w:r>
              <w:rPr>
                <w:color w:val="auto"/>
                <w:sz w:val="28"/>
              </w:rPr>
              <w:t xml:space="preserve">При наличии таких соглашений частные банкноты, конвертируемые в твердую валюту, могли бы служить инструментом обмена между странами СНГ независимо от надежности рубля (или любых других республиканских денег), и независимо от того, решат ли остальные республики иметь собственные деньги. </w:t>
            </w:r>
          </w:p>
          <w:p w:rsidR="00B82893" w:rsidRDefault="00E4298B">
            <w:pPr>
              <w:pStyle w:val="10"/>
              <w:jc w:val="both"/>
              <w:rPr>
                <w:color w:val="auto"/>
                <w:sz w:val="28"/>
              </w:rPr>
            </w:pPr>
            <w:r>
              <w:rPr>
                <w:color w:val="auto"/>
                <w:sz w:val="28"/>
              </w:rPr>
              <w:t xml:space="preserve">Фактически, СНГ может принять высказывание Ф. А. Хайека (F. A. Hayek; 1976, р. 17), сформулированное им для европейского Общего рынка: </w:t>
            </w:r>
          </w:p>
          <w:p w:rsidR="00B82893" w:rsidRDefault="00E4298B">
            <w:pPr>
              <w:pStyle w:val="10"/>
              <w:jc w:val="both"/>
              <w:rPr>
                <w:color w:val="auto"/>
                <w:sz w:val="28"/>
              </w:rPr>
            </w:pPr>
            <w:r>
              <w:rPr>
                <w:color w:val="auto"/>
                <w:sz w:val="28"/>
              </w:rPr>
              <w:t xml:space="preserve">Страны (Общего рынка) ... взаимно связывают друг друга формальным договором не чинить каких-либо препятствий свободному совершению сделок на своей территории в валютах других стран (включая золотые монеты) или свободному занятию банковским делом любому учреждению, основанному на любой из их территорий. </w:t>
            </w:r>
          </w:p>
          <w:p w:rsidR="00B82893" w:rsidRDefault="00E4298B">
            <w:pPr>
              <w:pStyle w:val="10"/>
              <w:jc w:val="both"/>
              <w:rPr>
                <w:color w:val="auto"/>
                <w:sz w:val="28"/>
              </w:rPr>
            </w:pPr>
            <w:r>
              <w:rPr>
                <w:color w:val="auto"/>
                <w:sz w:val="28"/>
              </w:rPr>
              <w:t xml:space="preserve">Со своей стороны, банки должны обменивать твердую валюту на собственные депозиты или банкноты. Банки примут обязательство разменивать депозиты и банкноты в выбранной резервной валюте (скажем, в долларах) по требованию (или с определенной задержкой во времени). Их твердая валюта будет конвертирована, в этом примере, в доллары и вложена в (как правило) краткосрочные долларовые ценные бумаги -- обязательства Казначейства США или коммерческие бумаги. В конкурентной системе банки станут платить проценты по большинству вкладов. </w:t>
            </w:r>
          </w:p>
          <w:p w:rsidR="00B82893" w:rsidRDefault="00E4298B">
            <w:pPr>
              <w:pStyle w:val="10"/>
              <w:jc w:val="both"/>
              <w:rPr>
                <w:color w:val="auto"/>
                <w:sz w:val="28"/>
              </w:rPr>
            </w:pPr>
            <w:r>
              <w:rPr>
                <w:color w:val="auto"/>
                <w:sz w:val="28"/>
              </w:rPr>
              <w:t xml:space="preserve">Банк будет выдавать кредиты в собственных деньгах, увеличивая тем самым общее предложение денег. Но как только вклады конвертированы в банкноты и потрачены или переданы другим в виде чека, банку придется делать выплаты из своих резервов или удовлетворять требования с помощью принадлежащих ему требований к другим банкам -- банкнотами, которые он принял, или чеками подлежащими учету; тем самым экспансия банковских обязательств будет ограничена спросом публики. В конце концов, разовьется организованная система клиринга межбанковских обязательств, и клиринговая палата или отдельные банки будут предоставлять ссуды банкам, переживающим временные трудности. </w:t>
            </w:r>
          </w:p>
          <w:p w:rsidR="00B82893" w:rsidRDefault="00E4298B">
            <w:pPr>
              <w:pStyle w:val="10"/>
              <w:jc w:val="both"/>
              <w:rPr>
                <w:color w:val="auto"/>
                <w:sz w:val="28"/>
              </w:rPr>
            </w:pPr>
            <w:r>
              <w:rPr>
                <w:color w:val="auto"/>
                <w:sz w:val="28"/>
              </w:rPr>
              <w:t xml:space="preserve">Дикий Восток </w:t>
            </w:r>
          </w:p>
          <w:p w:rsidR="00B82893" w:rsidRDefault="00E4298B">
            <w:pPr>
              <w:pStyle w:val="10"/>
              <w:jc w:val="both"/>
              <w:rPr>
                <w:color w:val="auto"/>
                <w:sz w:val="28"/>
              </w:rPr>
            </w:pPr>
            <w:r>
              <w:rPr>
                <w:color w:val="auto"/>
                <w:sz w:val="28"/>
              </w:rPr>
              <w:t xml:space="preserve">Предлагаемая государствам СНГ свободная банковская система отличается в некоторых отношениях от известных исторических образцов. </w:t>
            </w:r>
          </w:p>
          <w:p w:rsidR="00B82893" w:rsidRDefault="00E4298B">
            <w:pPr>
              <w:pStyle w:val="10"/>
              <w:jc w:val="both"/>
              <w:rPr>
                <w:color w:val="auto"/>
                <w:sz w:val="28"/>
              </w:rPr>
            </w:pPr>
            <w:r>
              <w:rPr>
                <w:color w:val="auto"/>
                <w:sz w:val="28"/>
              </w:rPr>
              <w:t xml:space="preserve">Во-первых, во всех известных истории примерах выпуска частных банкнот, за исключением Швейцарии, бумаги, эмитированные различными банками, подлежали размену на одну и ту же валюту -- как правило золотые либо серебряные монеты, либо на правительственные банкноты, которые, в свою очередь, подлежали размену в золотые или серебряные монеты. Таким образом, существовал единый денежный стандарт или единица учета. Можно предположить, что свободная банковская система также выберет предпочтительный стандарт, хотя он может быть разным для разных территорий (Советский Союз покрывал 11 часовых поясов), и быть непостоянным во времени -- может быть понадобятся годы для выработки единого стандарта. Но мешанина из денег, номинованных в рублях, долларах, марках, йенах, а может быть и в иных валютах, не слишком отличается от того, что есть сейчас; просто ситуация, в отличие от нынешней, станет узаконенной и открытой. </w:t>
            </w:r>
          </w:p>
          <w:p w:rsidR="00B82893" w:rsidRDefault="00E4298B">
            <w:pPr>
              <w:pStyle w:val="10"/>
              <w:jc w:val="both"/>
              <w:rPr>
                <w:color w:val="auto"/>
                <w:sz w:val="28"/>
              </w:rPr>
            </w:pPr>
            <w:r>
              <w:rPr>
                <w:color w:val="auto"/>
                <w:sz w:val="28"/>
              </w:rPr>
              <w:t xml:space="preserve">Легализация сделок в различных денежных единицах выведет эти сделки из сферы черного рынка и сделает их доступными для налогообложения. Техническая сторона сбора налогов не столь проста, но удобства правительства не могут служить основанием для отказа от политики, благотворной во всем другом. Если для каждых имеющих хождение на рынке денег доходы превышают издержки (т. е. добавленная стоимость положительна), налоги могут быть уплачены в каждой разновидности денег. Если нет, от каждого налогоплательщика можно потребовать, чтобы он выбрал подходящую единицу учета и платил налоги, конвертируя другие деньги в этот стандарт либо по текущей рыночной цене, либо по средней за период, либо по курсу на конец периода. Впрочем, республика может потребовать, чтобы деньгами учета и налоговыми деньгами были официальные деньги государства. </w:t>
            </w:r>
          </w:p>
          <w:p w:rsidR="00B82893" w:rsidRDefault="00E4298B">
            <w:pPr>
              <w:pStyle w:val="10"/>
              <w:jc w:val="both"/>
              <w:rPr>
                <w:color w:val="auto"/>
                <w:sz w:val="28"/>
              </w:rPr>
            </w:pPr>
            <w:r>
              <w:rPr>
                <w:color w:val="auto"/>
                <w:sz w:val="28"/>
              </w:rPr>
              <w:t xml:space="preserve">Эти рекомендации отличаются от известных исторических образцов и в том, что предлагается система свободных банков в то время, когда продолжает существовать рубль (и другие республиканские деньги). Похоже, что правительство России намерено сохранить рубль как единую валюту (а если возможно, то и для всего СНГ) и, при этом, сделать его надежным. Если эксперимент со свободными банками окажется успешным и возникнут частные деньги, конвертируемые в доллары, марки, йены, золото и пр., возникнет вопрос о судьбе рубля. </w:t>
            </w:r>
          </w:p>
          <w:p w:rsidR="00B82893" w:rsidRDefault="00E4298B">
            <w:pPr>
              <w:pStyle w:val="10"/>
              <w:jc w:val="both"/>
              <w:rPr>
                <w:color w:val="auto"/>
                <w:sz w:val="28"/>
              </w:rPr>
            </w:pPr>
            <w:r>
              <w:rPr>
                <w:color w:val="auto"/>
                <w:sz w:val="28"/>
              </w:rPr>
              <w:t xml:space="preserve">Леланд Игер (Leiand Yeager; 1985, р. 105) обсуждает переход к иного типа системе в США: "Появление привлекательных альтернатив приведет к свертыванию спроса на традиционные деньги". Уайт, с другой стороны, склонен думать, что в случае разрешения частных субститутов правительственные декретные деньги не сразу утратят ценность (White, 1989a). Хайек комментирует, что </w:t>
            </w:r>
          </w:p>
          <w:p w:rsidR="00B82893" w:rsidRDefault="00E4298B">
            <w:pPr>
              <w:pStyle w:val="10"/>
              <w:jc w:val="both"/>
              <w:rPr>
                <w:color w:val="auto"/>
                <w:sz w:val="28"/>
              </w:rPr>
            </w:pPr>
            <w:r>
              <w:rPr>
                <w:color w:val="auto"/>
                <w:sz w:val="28"/>
              </w:rPr>
              <w:t xml:space="preserve">Для правительства ... главной задачей будет защита от быстрого вытеснения и, как следствие, ускоренного обесценивания денет, выпускаемых нынешним центральным банком. Вероятно, этого можно достичь немедленным предоставлением ему полной свободы и независимости, то есть дать ему то же положение, что и у других эмиссионных банков, иностранных или вновь создаваемых внутри страны, при одновременном возврате к политике сбалансированного бюджета, ограниченной только возможностью получения ссуд на открытом ссудном рынке, которым правительство не может манипулировать. (Hayek; 1976, р. 93) </w:t>
            </w:r>
          </w:p>
          <w:p w:rsidR="00B82893" w:rsidRDefault="00E4298B">
            <w:pPr>
              <w:pStyle w:val="10"/>
              <w:jc w:val="both"/>
              <w:rPr>
                <w:color w:val="auto"/>
                <w:sz w:val="28"/>
              </w:rPr>
            </w:pPr>
            <w:r>
              <w:rPr>
                <w:color w:val="auto"/>
                <w:sz w:val="28"/>
              </w:rPr>
              <w:t xml:space="preserve">Иностранные твердые валюты уже теснят рубль. После окончания первой мировой войны четыре больших гиперинфляции (в Австрии, Венгрии, Польше и Германии) окончились не в тот момент, когда центральные банки этих стран сократили эмиссию, но когда их правительства заявили о решимости сбалансировать бюджет и прекратить финансирование дефицита с помощью займов у центрального банка (Sargent, 1982). "В Австрии, Венгрии, Польше и Германии гиперинфляцию остановили, во-первых, создав независимый центральный банк с правом отказывать правительству в предоставлении необеспеченных кредитов, и, во-вторых, одновременно измененив режим фискальной политики" (Sargent; 1982, р. 89). Предположительно то же самое необходимо и для рубля, а вовсе не подавление альтернативных валют или получение стабилизационных фондов от международных финансовых организаций. </w:t>
            </w:r>
          </w:p>
          <w:p w:rsidR="00B82893" w:rsidRDefault="00E4298B">
            <w:pPr>
              <w:pStyle w:val="10"/>
              <w:jc w:val="both"/>
              <w:rPr>
                <w:color w:val="auto"/>
                <w:sz w:val="28"/>
              </w:rPr>
            </w:pPr>
            <w:r>
              <w:rPr>
                <w:color w:val="auto"/>
                <w:sz w:val="28"/>
              </w:rPr>
              <w:t xml:space="preserve">Россияне, с которыми я обсуждала эту тему, убеждены, что появление альтернативных денежных инструментов приведет к дальнейшему падению ценности рубля. Но причиной этого обесценивания рубля будет нежелание правительства отказаться от возможности финансировать дефицит бюджета за счет денежной эмиссии и от произвольного повышения заработной платы и других платежей. При свободной банковской системе большая доступность денег, размениваемых на твердую валюту, окажет понижающее давление на курс рубля по отношению к доллару. Если при этом правительство преуспеет в контроле эмиссии, курс рубля по отношению к твердым валютам и банкнотам, конвертируемым в эти валюты, стабилизируется. По мере того, как правительство станет получать в виде налогов конвертируемые частные деньги, оно сможет их использовать для скупки рублей и вывода их из обращения. Общее предложение денег, конечно, будет включать как правительственную эмиссию рублей, так и банкноты и вклады в частных банках; но денежное предложение уже сейчас включает иностранные валюты, а займы, предоставляемые частными банками, сократят спрос на рублевые займы. </w:t>
            </w:r>
          </w:p>
          <w:p w:rsidR="00B82893" w:rsidRDefault="00E4298B">
            <w:pPr>
              <w:pStyle w:val="10"/>
              <w:jc w:val="both"/>
              <w:rPr>
                <w:color w:val="auto"/>
                <w:sz w:val="28"/>
              </w:rPr>
            </w:pPr>
            <w:r>
              <w:rPr>
                <w:color w:val="auto"/>
                <w:sz w:val="28"/>
              </w:rPr>
              <w:t xml:space="preserve">В-третьих, обстоятельства в рублевой зоне иные, чем существовали в Шотландии или в Швейцарии, в Швеции или в США во времена свободного банковского дела. Одно очевидное различие представляют современные средства связи -- радио, телевидение, электронные средства связи, хотя они и развиты в СНГ не так хорошо, как в Западной Европе или в США. Нет необходимости отправлять информацию или банкноты почтой или на лошадях, а не по воздуху. [См. обсуждение деталей технологии установления цен на банковские билеты у Gorton (1992).] Хотя Россия (и особенно СНГ в целом) очень обширна, можно предположить, что банкноты будут возвращаться в банк-эмитент относительно быстро, даже если обращаться будут на большом отдалении, и что будет доступна информация о деятельности различных банках на всем пространстве обращения денег. Современные средства связи ослабляют опасение Фридмана, что "отдельные люди могут оказаться в договорных отношениях с теми, кто живет вдали от них и с кем они мало знакомы, и между эмиссией обязательства и предъявлением требования о его выполнении может пройти много времени" (Friedman; 1960, р. 60). </w:t>
            </w:r>
          </w:p>
          <w:p w:rsidR="00B82893" w:rsidRDefault="00E4298B">
            <w:pPr>
              <w:pStyle w:val="10"/>
              <w:jc w:val="both"/>
              <w:rPr>
                <w:color w:val="auto"/>
                <w:sz w:val="28"/>
              </w:rPr>
            </w:pPr>
            <w:r>
              <w:rPr>
                <w:color w:val="auto"/>
                <w:sz w:val="28"/>
              </w:rPr>
              <w:t xml:space="preserve">Другое отличие в том, что принципы частной собственности и личного богатства не столь укоренены или прочны в странах СНГ, как это было в Шотландии, где неограниченная ответственность собственников так надежно защищала вкладчиков и держателей банкнот шотландских банков, или в США, где некоторые штаты потребовали от банкиров перехода к режиму неограниченной ответственности и, тем самым, сделали неприменимыми свои законы о банках. Альтернативным подходом может быть требование о наличии первоначального капитала -- не для защиты клиентов от чрезмерного выпуска банкнот или от ошибок в решениях о выдаче кредитов, но для гарантии того, что владельцы сами чем-то рискуют и что они заинтересованы в успехе банка. </w:t>
            </w:r>
          </w:p>
          <w:p w:rsidR="00B82893" w:rsidRDefault="00E4298B">
            <w:pPr>
              <w:pStyle w:val="10"/>
              <w:jc w:val="both"/>
              <w:rPr>
                <w:color w:val="auto"/>
                <w:sz w:val="28"/>
              </w:rPr>
            </w:pPr>
            <w:r>
              <w:rPr>
                <w:color w:val="auto"/>
                <w:sz w:val="28"/>
              </w:rPr>
              <w:t xml:space="preserve">Похоже, что в республиках бывшего Советского Союза проблема доверия к банкам -- и к их владельцам -- также стоит иначе, чем в исторических образцах. Республиканские правительства проявили бы мудрость, если бы не стали убеждать публику в надежности банков или брать на себя ответственность за их платежеспособность, но всего лишь гарантировали бы доступность информации о банках. Может быть, будет полезно, чтобы первые частные банки были созданы хорошо известными иностранными банками с устоявшейся репутацией, или людьми, вызывающими доверие. </w:t>
            </w:r>
          </w:p>
          <w:p w:rsidR="00B82893" w:rsidRDefault="00E4298B">
            <w:pPr>
              <w:pStyle w:val="10"/>
              <w:jc w:val="both"/>
              <w:rPr>
                <w:color w:val="auto"/>
                <w:sz w:val="28"/>
              </w:rPr>
            </w:pPr>
            <w:r>
              <w:rPr>
                <w:color w:val="auto"/>
                <w:sz w:val="28"/>
              </w:rPr>
              <w:t xml:space="preserve">Почему не достаточно валютного управления </w:t>
            </w:r>
          </w:p>
          <w:p w:rsidR="00B82893" w:rsidRDefault="00E4298B">
            <w:pPr>
              <w:pStyle w:val="10"/>
              <w:jc w:val="both"/>
              <w:rPr>
                <w:color w:val="auto"/>
                <w:sz w:val="28"/>
              </w:rPr>
            </w:pPr>
            <w:r>
              <w:rPr>
                <w:color w:val="auto"/>
                <w:sz w:val="28"/>
              </w:rPr>
              <w:t xml:space="preserve">У меня нет возражений против денег, выпускаемых валютным управлением на базе корзины валют, и правительственные деньги, конвертируемые в одну или несколько твердых валют, были бы хорошим дополнением для системы свободных банков. Но без нового законодательства о банках конвертируемая валюта попадет в ловушку существующей огосударствленной банковской системы с ее ограничениями на конвертацию вкладов в наличность, с ее контролем процентов на вклады и ссуды. Нужна не параллельная валюта или валюты, а параллельная система банков. </w:t>
            </w:r>
          </w:p>
          <w:p w:rsidR="00B82893" w:rsidRDefault="00E4298B">
            <w:pPr>
              <w:pStyle w:val="10"/>
              <w:jc w:val="both"/>
              <w:rPr>
                <w:color w:val="auto"/>
                <w:sz w:val="28"/>
              </w:rPr>
            </w:pPr>
            <w:r>
              <w:rPr>
                <w:color w:val="auto"/>
                <w:sz w:val="28"/>
              </w:rPr>
              <w:t xml:space="preserve">Минимальная система позволит создание банков на выше описанных условиях, но без права эмитировать собственные банкноты; тогда деньги, выпущенные валютным управлением, были бы единственной альтернативой рублю. Ограничение на эмиссию банкнот было бы искусственным ограничением спроса публики на валюту в условиях, когда публика еще не приучена к использованию чеков, а банковские переводы занимают много времени. </w:t>
            </w:r>
          </w:p>
          <w:p w:rsidR="00B82893" w:rsidRDefault="00E4298B">
            <w:pPr>
              <w:pStyle w:val="10"/>
              <w:jc w:val="both"/>
              <w:rPr>
                <w:color w:val="auto"/>
                <w:sz w:val="28"/>
              </w:rPr>
            </w:pPr>
            <w:r>
              <w:rPr>
                <w:color w:val="auto"/>
                <w:sz w:val="28"/>
              </w:rPr>
              <w:t xml:space="preserve">Более либеральная система позволит частным банкам эмитировать собственные деньги, основанные на валюте, эмитируемой валютным управлением. Это придаст дополнительную гибкость предложению денег, но по прежнему принудит банки продавать валютному управлению твердую валюту в обмен на резервы. Частная банковская система может привлечь больший объем вкладов в твердой валюте (а значит, быстрее устранить преимущество иностранных правительств, валюты которых используются странами СНГ), если не будет существовать валютного управления, в котором частные банки должны будут держать счета в твердой валюте. Это утверждение исходит из того, что публика может отнестись с недоверием к валютному управлению. В конце концов, валютное управление должно быть создано правительством, а советская история дает много примеров использования конфискации как инструмента денежной политики. Есть риск, что правительство захочет, изъяв ценности у валютного управления, объявить его деньги законным средством платежа (обязательными для всех физических и юридических лиц), неконвертируемым в резервную валюту. (Этот риск отпадет, если валютным управлением будет управлять МВФ). </w:t>
            </w:r>
          </w:p>
          <w:p w:rsidR="00B82893" w:rsidRDefault="00E4298B">
            <w:pPr>
              <w:pStyle w:val="10"/>
              <w:jc w:val="both"/>
              <w:rPr>
                <w:color w:val="auto"/>
                <w:sz w:val="28"/>
              </w:rPr>
            </w:pPr>
            <w:r>
              <w:rPr>
                <w:color w:val="auto"/>
                <w:sz w:val="28"/>
              </w:rPr>
              <w:t xml:space="preserve">Конкурентная эмиссия денег со свободой выбора денежного стандарта есть предприятие не более рискованное, чем конкурентная эмиссия денег, ограниченная валютой валютного управления как единственного денежного стандарта и единственной резервной валюты. Преимущество свободной банковской системы с правом выбора денежного стандарта и выпуска банковских билетов в том, что она делает возможной конкуренцию между альтернативными резервными валютами. Выбранный денежный стандарт, скорее всего, будет разным на разных территориях и будет изменяться со временем, а конкурирующие между собой банки будут реагировать на изменения спроса более гибко и эффективно, чем валютное управление. Исходное многообразие денежных стандартов облегчит торговлю внутри СНГ и со странами Восточной Европы. Действительно свободная банковская система сможет также привлечь новые отечественные и зарубежные банки, что облегчит быструю монетизацию хозяйства стран СНГ и аккумуляцию ресурсов для новых частных предприятий. Наконец, свободная банковская система дает возможность создать денежные системы, не базирующиеся на иностранных валютах. Они могут быть обеспечены золотом либо предлагаемыми в теоретической литературе разнообразными товарными стандартами, имеющими стабильную покупательную способность на мировых рынках. [Если политика стабилизации рубля увенчается успехом, появляется предложенная Милтоном Фридманом (M. Friedman; 1984, pp. 48--52) возможность перехода к денежной системе, работающей без центрального банка: заморозить эмиссию рублевой наличности и беспроцентных рублевых депозитов в центральном банке (деньги повышенной покупательной силы). Тогда рубль превратится для частных банков в одну из конкурирующих резервных валют.] </w:t>
            </w:r>
          </w:p>
          <w:p w:rsidR="00B82893" w:rsidRDefault="00E4298B">
            <w:pPr>
              <w:pStyle w:val="10"/>
              <w:jc w:val="both"/>
              <w:rPr>
                <w:color w:val="auto"/>
                <w:sz w:val="28"/>
              </w:rPr>
            </w:pPr>
            <w:r>
              <w:rPr>
                <w:color w:val="auto"/>
                <w:sz w:val="28"/>
              </w:rPr>
              <w:t xml:space="preserve">Переход </w:t>
            </w:r>
          </w:p>
          <w:p w:rsidR="00B82893" w:rsidRDefault="00E4298B">
            <w:pPr>
              <w:pStyle w:val="10"/>
              <w:jc w:val="both"/>
              <w:rPr>
                <w:color w:val="auto"/>
                <w:sz w:val="28"/>
              </w:rPr>
            </w:pPr>
            <w:r>
              <w:rPr>
                <w:color w:val="auto"/>
                <w:sz w:val="28"/>
              </w:rPr>
              <w:t xml:space="preserve">Обычный подход западных экономистов к задаче перехода централизованно планируемого социалистического хозяйства на рельсы рыночной экономики заключается в том, чтобы превратить существующие институты командной экономики в аналогичные рыночные учреждения. Возьмите государственный банк и превратите его в двух-уровневую банковскую систему: независимый центральный банк и конкурирующие коммерческие банки. Превратите предприятия оборонной промышленности в конкурирующих производителей потребительских товаров. Превратите государственные монополии в акционерные компании, заинтересуйте управляющих участием в прибылях, и уповайте на то, что предприятия будут вести себя так же, как частные корпорации. Продайте квартиры в государственном доме и назовите это кондоминиумом. Возьмите организацию, которая разрешала конфликты между предприятиями ориентируясь на цели центрального плана, и превратите ее в суд, разрешающий коммерческие конфликты между частными предприятиями. </w:t>
            </w:r>
          </w:p>
          <w:p w:rsidR="00B82893" w:rsidRDefault="00E4298B">
            <w:pPr>
              <w:pStyle w:val="10"/>
              <w:jc w:val="both"/>
              <w:rPr>
                <w:color w:val="auto"/>
                <w:sz w:val="28"/>
              </w:rPr>
            </w:pPr>
            <w:r>
              <w:rPr>
                <w:color w:val="auto"/>
                <w:sz w:val="28"/>
              </w:rPr>
              <w:t>Такого рода конверсия может оказаться действенной, либо нет. Параллельный подход в том, чтобы позволить и облегчить развитие институтов рыночной экономики "с нуля". Тогда, если конверсия старых институтов окончится неудачей, их можно будет закрыть, отправить на дно, списать, ликвидировать или просто позволить исчезнуть по мере того, как их место займут новые институты. Деньги и банковское дело -- хорошая стартовая площадка.</w:t>
            </w:r>
          </w:p>
          <w:p w:rsidR="00B82893" w:rsidRDefault="00E4298B">
            <w:pPr>
              <w:pStyle w:val="10"/>
              <w:jc w:val="both"/>
              <w:rPr>
                <w:color w:val="auto"/>
                <w:sz w:val="28"/>
              </w:rPr>
            </w:pPr>
            <w:r>
              <w:rPr>
                <w:color w:val="auto"/>
                <w:sz w:val="28"/>
              </w:rPr>
              <w:t xml:space="preserve">Денежная реформа: достаточно ли одной свободы? </w:t>
            </w:r>
          </w:p>
          <w:p w:rsidR="00B82893" w:rsidRDefault="00E4298B">
            <w:pPr>
              <w:pStyle w:val="10"/>
              <w:jc w:val="both"/>
              <w:rPr>
                <w:color w:val="auto"/>
                <w:sz w:val="28"/>
              </w:rPr>
            </w:pPr>
            <w:r>
              <w:rPr>
                <w:color w:val="auto"/>
                <w:sz w:val="28"/>
              </w:rPr>
              <w:t xml:space="preserve">Проблема денежной реформы </w:t>
            </w:r>
          </w:p>
          <w:p w:rsidR="00B82893" w:rsidRDefault="00E4298B">
            <w:pPr>
              <w:pStyle w:val="10"/>
              <w:jc w:val="both"/>
              <w:rPr>
                <w:color w:val="auto"/>
                <w:sz w:val="28"/>
              </w:rPr>
            </w:pPr>
            <w:r>
              <w:rPr>
                <w:color w:val="auto"/>
                <w:sz w:val="28"/>
              </w:rPr>
              <w:t xml:space="preserve">Почему это важно и что из этого следует практически для перспектив денежной реформы в странах СНГ? По моему мнению, это очень важно, поскольку отсюда следует, что хотя свободные банки могут повысить эффективность существующего валютного стандарта, но конкуренция валют не столь уж хорошее средство создания нового стандарта (или стандартов) вместо уже существующего. Причины этого, как я уже отметил, вполне ясны. В прошлом свободные банковские системы не имели никакого отношения к выбору или возникновению денежных стандартов, поскольку те возникали в результате длительной эволюции, которая исторически и логически предшествовала возникновению банков. Может быть, сейчас и возможно было бы ускоренное воспроизведение этого процесса за счет того, что западные валюты вошли в широкое пользование. Но может оказаться и так, что результатом будет не быстрое возникновение нового и более совершенного валютного стандарта, но консервация существующего положения и замедленное развитие банков -- свободных или несвободных. На деле: "мешанина из денег, номинованных в рублях, долларах, марках, йенах, а может быть и в иных валютах, -- которая может стать результатом предлагаемых ею реформ, -- не слишком отличается от того, что есть сейчас; просто ситуация станет узаконенной и открытой, в отличие от нынешней". Но ведь в том-то и вся проблема, что нынешняя ситуация ужасна, и всякая реформа, достойная этого имени, должна стремиться к ее быстрому изменению. </w:t>
            </w:r>
          </w:p>
          <w:p w:rsidR="00B82893" w:rsidRDefault="00E4298B">
            <w:pPr>
              <w:pStyle w:val="10"/>
              <w:jc w:val="both"/>
              <w:rPr>
                <w:color w:val="auto"/>
                <w:sz w:val="28"/>
              </w:rPr>
            </w:pPr>
            <w:r>
              <w:rPr>
                <w:color w:val="auto"/>
                <w:sz w:val="28"/>
              </w:rPr>
              <w:t xml:space="preserve">Мои опасения можно подкрепить указанием на многочисленные и хорошо известные ситуации, когда денежный стандарт оставался в употреблении несмотря на гиперинфляцию, быстро разрушавшую покупательную способность денег. Хотя при этом параллельно с обесценивающимися деньгами начинали ограниченно ходить другие валюты, традиционные деньги сохраняли свою роль главного инструмента обмена до тех пор, пока инфляция не заканчивалась. Причем нередко прекращение инфляции знаменовалось тем, что правительство вводило новую денежную единицу. Все это мы можем наблюдать в странах СНГ, где быстро обесценивающийся рубль остается главным инструментом обмена, хотя в ходу и альтернативные инструменты главным образом  бартер. Хотя не приходится отрицать, что результатом конкурентной эмиссии будет повышение доверия к более стабильным денежным единицам, нельзя быть уверенным в том, что подобная система осуществима. </w:t>
            </w:r>
          </w:p>
          <w:p w:rsidR="00B82893" w:rsidRDefault="00E4298B">
            <w:pPr>
              <w:pStyle w:val="10"/>
              <w:jc w:val="both"/>
              <w:rPr>
                <w:color w:val="auto"/>
                <w:sz w:val="28"/>
              </w:rPr>
            </w:pPr>
            <w:r>
              <w:rPr>
                <w:color w:val="auto"/>
                <w:sz w:val="28"/>
              </w:rPr>
              <w:t xml:space="preserve">Очень реальна вероятность, что даже в условиях свободных рынков низкокачественная валюта на некоторое время сохранит доминирующее положение, при том что все будут осознавать ее недостатки. Эта давно известная инерция благосклонна к низкокачественным, но традиционным деньгам в ущерб более качественной, но только возникающей валюте. Каждый будет сторонником перехода к другим деньгам, но никто не захочет двинуться первым. В технических терминах речь идет о "сетевом аспекте" денежного хозяйства. Действие инерции будет особенно выраженным, если правительство,  потребует, чтобы "официальные деньги и впредь являлись инструментом учета и налоговых платежей". Рассчитывать на то, что силы свободного рынка смогут привести к замене валютного стандарта, значит ждать такого ухудшения ситуации, когда перестанут действовать даже могущественные силы инерции. Мне кажется, что гораздо лучше, если правительство примет активное участие в отказе от официального валютного стандарта, что обеспечит сокращение переходного периода -- хотя, конечно, результат будет не столь хорош, как если бы он был создан только самодеятельностью рынка. </w:t>
            </w:r>
          </w:p>
          <w:p w:rsidR="00B82893" w:rsidRDefault="00E4298B">
            <w:pPr>
              <w:pStyle w:val="10"/>
              <w:jc w:val="both"/>
              <w:rPr>
                <w:color w:val="auto"/>
                <w:sz w:val="28"/>
              </w:rPr>
            </w:pPr>
            <w:r>
              <w:rPr>
                <w:color w:val="auto"/>
                <w:sz w:val="28"/>
              </w:rPr>
              <w:t xml:space="preserve">Валютное управление </w:t>
            </w:r>
          </w:p>
          <w:p w:rsidR="00B82893" w:rsidRDefault="00E4298B">
            <w:pPr>
              <w:pStyle w:val="10"/>
              <w:jc w:val="both"/>
              <w:rPr>
                <w:color w:val="auto"/>
                <w:sz w:val="28"/>
              </w:rPr>
            </w:pPr>
            <w:r>
              <w:rPr>
                <w:color w:val="auto"/>
                <w:sz w:val="28"/>
              </w:rPr>
              <w:t xml:space="preserve">Валютное управление дает правительству возможность использовать свои доминирующие позиции для организации согласованного перехода к более качественному валютному стандарту. В этом подходе, разумеется, больше конструктивизма, чем в идее "начать с нуля" и позволить рынку выявить стандарт. При этом одновременно, возрастает риск сохранения политизации эмиссионного хозяйства. Отвечая на эту критику, я, прежде всего, хочу указать, что система с валютным управлением способна предотвратить манипуляции с базовыми деньгами и при этом способна символизировать валютный суверенитет. В конце концов, это гораздо лучше, чем система с центральным банком, эмитирующим независимую валюту. А именно таким будет выбор большинства членов СНГ, если им придется выбирать между совершенно свободными банками и центральным банком. </w:t>
            </w:r>
          </w:p>
          <w:p w:rsidR="00B82893" w:rsidRDefault="00E4298B">
            <w:pPr>
              <w:pStyle w:val="10"/>
              <w:jc w:val="both"/>
              <w:rPr>
                <w:color w:val="auto"/>
                <w:sz w:val="28"/>
              </w:rPr>
            </w:pPr>
            <w:r>
              <w:rPr>
                <w:color w:val="auto"/>
                <w:sz w:val="28"/>
              </w:rPr>
              <w:t xml:space="preserve">Во-вторых, на деле не приходится говорить о начале с самого нуля. Как я уже отметил, решение правительства доверить дело рынкам не будет означать старта с нуля. Соревнование за новый стандарт будет похоже на скачки, где одна лошадь (пусть хромая) уже прошла полкруга, когда остальные только вступили на трек. Значит, правительству придется заботиться о сохранении крайне неудовлетворительного статус-кво. </w:t>
            </w:r>
          </w:p>
          <w:p w:rsidR="00B82893" w:rsidRDefault="00E4298B">
            <w:pPr>
              <w:pStyle w:val="10"/>
              <w:jc w:val="both"/>
              <w:rPr>
                <w:color w:val="auto"/>
                <w:sz w:val="28"/>
              </w:rPr>
            </w:pPr>
            <w:r>
              <w:rPr>
                <w:color w:val="auto"/>
                <w:sz w:val="28"/>
              </w:rPr>
              <w:t xml:space="preserve">Наконец,  позволить правительству участвовать в формировании нового валютного стандарта не то же самое, что исключить возможность выбирать деньги. Например, если молдавское валютное управление выпустит деньги, базирующиеся на экю, это не должно помешать частным фирмам предложить банковские услуги на базе, скажем, доллара или золота. Я считаю, что закон должен предусматривать возможность такого рода конкуренции. Остается фактом, что благодаря покровительству правительства -- при любой конкуренции -- почти наверняка победит евро, так же как в случае бездействия правительства почти наверняка победа достанется рублю. Результат скачек и здесь будет подтасован, но, по крайней мере, победа достанется более полноценной лошади. </w:t>
            </w:r>
          </w:p>
          <w:p w:rsidR="00B82893" w:rsidRDefault="00E4298B">
            <w:pPr>
              <w:pStyle w:val="10"/>
              <w:jc w:val="both"/>
              <w:rPr>
                <w:color w:val="auto"/>
                <w:sz w:val="28"/>
              </w:rPr>
            </w:pPr>
            <w:r>
              <w:rPr>
                <w:color w:val="auto"/>
                <w:sz w:val="28"/>
              </w:rPr>
              <w:t xml:space="preserve">Еще одно возрожение против валютного управления: есть риск, что правительство конфискует активы валютного управления, и его деньги утратят конвертируемость. Этого риска легко избежать с помощью ряда предосторожностей. Можно учредить валютное управление как частную фирму, так чтобы ее активы не принадлежали правительству. Можно зарегистрировать его, например, в Швейцарии, и там же можно хранить активы. Наконец, можно доверить руководство валютным управлением иностранцам, и определить их статус таким образом, чтобы полностью защитить от внутренней политики (Schuler, Selgin and Sinkey; 1991, pp. 14--15). </w:t>
            </w:r>
          </w:p>
          <w:p w:rsidR="00B82893" w:rsidRDefault="00E4298B">
            <w:pPr>
              <w:pStyle w:val="10"/>
              <w:jc w:val="both"/>
              <w:rPr>
                <w:color w:val="auto"/>
                <w:sz w:val="28"/>
              </w:rPr>
            </w:pPr>
            <w:r>
              <w:rPr>
                <w:color w:val="auto"/>
                <w:sz w:val="28"/>
              </w:rPr>
              <w:t xml:space="preserve">Итог </w:t>
            </w:r>
          </w:p>
          <w:p w:rsidR="00B82893" w:rsidRDefault="00E4298B">
            <w:pPr>
              <w:pStyle w:val="10"/>
              <w:jc w:val="both"/>
              <w:rPr>
                <w:color w:val="auto"/>
                <w:sz w:val="28"/>
              </w:rPr>
            </w:pPr>
            <w:r>
              <w:rPr>
                <w:color w:val="auto"/>
                <w:sz w:val="28"/>
              </w:rPr>
              <w:t xml:space="preserve">Все вышесказанное относится к сравнению относительных достоинств валютного управления и конкурентной эмиссии в деле предоставления валютного стандарта. Что касается конкурентного выпуска банкнот, то я счастлив поддержать радикальное решение, предполагающее свободу банковского дела. Я также согласен с утверждением Андерсон, что эффективность системы с валютным управлением только вырастет, если частным банкам будет позволено эмитировать банкноты только частично обеспеченные деньгами валютного управления. Это обеспечит достаточную гибкость эмиссии и позволит адекватно реагировать на сезонные и циклические колебания спроса. Это также будет способствовать большему использованию банковских (внутренних) денег, чем правительственных (внешних), что приведет к вытеснению внешних кредитов внутренними. Последнее предполагает повышение роли денежной системы в направлении экономического развития страны. Но именно здесь и есть ахилесова пята такой точки зрения , а именно банкам необходимо будет выработать схемы клиринговых расчетов именно в сфере реального производства , товаров и услуг .В противном случае существует опасность создания «виртуальной экономики» .  Примером такой системы может служить Транспортная Клиринговая Палата осуществляющая расчеты в сфере авиаперевозок. Компания «Итера» осуществляющая взаиморасчет за поставки газа в Белоруссию по средствам валютного клиринга и т.д. </w:t>
            </w:r>
          </w:p>
          <w:p w:rsidR="00B82893" w:rsidRDefault="00B82893">
            <w:pPr>
              <w:pStyle w:val="10"/>
              <w:jc w:val="both"/>
              <w:rPr>
                <w:color w:val="auto"/>
                <w:sz w:val="32"/>
              </w:rPr>
            </w:pPr>
          </w:p>
        </w:tc>
        <w:tc>
          <w:tcPr>
            <w:tcW w:w="182" w:type="dxa"/>
            <w:vAlign w:val="center"/>
          </w:tcPr>
          <w:p w:rsidR="00B82893" w:rsidRDefault="00B82893">
            <w:pPr>
              <w:pStyle w:val="10"/>
              <w:jc w:val="both"/>
              <w:rPr>
                <w:color w:val="auto"/>
                <w:sz w:val="28"/>
              </w:rPr>
            </w:pPr>
          </w:p>
        </w:tc>
      </w:tr>
    </w:tbl>
    <w:p w:rsidR="00B82893" w:rsidRDefault="00B82893">
      <w:pPr>
        <w:jc w:val="both"/>
        <w:rPr>
          <w:color w:val="000000"/>
          <w:sz w:val="28"/>
        </w:rPr>
      </w:pPr>
    </w:p>
    <w:p w:rsidR="00B82893" w:rsidRDefault="00E4298B">
      <w:pPr>
        <w:pStyle w:val="2"/>
      </w:pPr>
      <w:r>
        <w:t>Транспорно клиринговая Палата – как пример реальной работы по средствам валютного клиринга .</w:t>
      </w:r>
    </w:p>
    <w:p w:rsidR="00B82893" w:rsidRDefault="00E4298B">
      <w:pPr>
        <w:pStyle w:val="10"/>
        <w:rPr>
          <w:sz w:val="28"/>
        </w:rPr>
      </w:pPr>
      <w:r>
        <w:rPr>
          <w:sz w:val="28"/>
        </w:rPr>
        <w:t xml:space="preserve">После распада СССР в декабре 1991 г. Министерство гражданской авиации было ликвидировано и перестал существовать единый рублевый счет, на который стекалась вся выручка от продажи авиауслуг. Как известно, в СССР существовала одна громадная компания Аэрофлот, внутри которой был налажен централизованный взаиморасчет и поддерживалась договорная дисциплина. Когда на обломках Аэрофлота образовалось множество независимых авиапредприятий возникла реальная угроза получить также и независимость от денег, которые агентства теперь могли спокойно «уводить» от авиаперевозчиков. Агентства находятся ближе всех к реальным деньгам и имеют возможности для разного рода мошеннических действий и различного рода финансовых злоупотреблений. Кроме того, в первое время после дробления Аэрофлота нередко бывали случаи массового хищения бланков билетов. </w:t>
      </w:r>
    </w:p>
    <w:p w:rsidR="00B82893" w:rsidRDefault="00E4298B">
      <w:pPr>
        <w:pStyle w:val="10"/>
        <w:ind w:left="-426" w:firstLine="426"/>
        <w:rPr>
          <w:sz w:val="28"/>
        </w:rPr>
      </w:pPr>
      <w:r>
        <w:rPr>
          <w:sz w:val="28"/>
        </w:rPr>
        <w:t xml:space="preserve">Таким образом, несмотря на то, что билеты заметно подорожали и объем перевозок почти не сократился, авиаперевозчики балансировали на грани разорения. </w:t>
      </w:r>
    </w:p>
    <w:p w:rsidR="00B82893" w:rsidRDefault="00E4298B">
      <w:pPr>
        <w:pStyle w:val="10"/>
        <w:ind w:left="-426" w:firstLine="426"/>
        <w:rPr>
          <w:sz w:val="28"/>
        </w:rPr>
      </w:pPr>
      <w:r>
        <w:rPr>
          <w:sz w:val="28"/>
        </w:rPr>
        <w:t xml:space="preserve">Начало консолидации </w:t>
      </w:r>
    </w:p>
    <w:tbl>
      <w:tblPr>
        <w:tblW w:w="0" w:type="auto"/>
        <w:tblInd w:w="-851" w:type="dxa"/>
        <w:tblLayout w:type="fixed"/>
        <w:tblCellMar>
          <w:left w:w="0" w:type="dxa"/>
          <w:right w:w="0" w:type="dxa"/>
        </w:tblCellMar>
        <w:tblLook w:val="0000" w:firstRow="0" w:lastRow="0" w:firstColumn="0" w:lastColumn="0" w:noHBand="0" w:noVBand="0"/>
      </w:tblPr>
      <w:tblGrid>
        <w:gridCol w:w="10490"/>
      </w:tblGrid>
      <w:tr w:rsidR="00B82893">
        <w:tc>
          <w:tcPr>
            <w:tcW w:w="10490" w:type="dxa"/>
            <w:vAlign w:val="center"/>
          </w:tcPr>
          <w:p w:rsidR="00B82893" w:rsidRDefault="00E4298B">
            <w:pPr>
              <w:pStyle w:val="10"/>
              <w:ind w:left="284" w:firstLine="141"/>
              <w:rPr>
                <w:sz w:val="28"/>
              </w:rPr>
            </w:pPr>
            <w:r>
              <w:rPr>
                <w:sz w:val="28"/>
              </w:rPr>
              <w:fldChar w:fldCharType="begin"/>
            </w:r>
            <w:r>
              <w:rPr>
                <w:sz w:val="28"/>
              </w:rPr>
              <w:instrText>PRIVATE</w:instrText>
            </w:r>
            <w:r>
              <w:rPr>
                <w:sz w:val="28"/>
              </w:rPr>
              <w:fldChar w:fldCharType="end"/>
            </w:r>
            <w:r>
              <w:rPr>
                <w:rStyle w:val="HTMLMarkup"/>
                <w:sz w:val="28"/>
              </w:rPr>
              <w:t>&lt;TBODY&gt;</w:t>
            </w:r>
            <w:r>
              <w:rPr>
                <w:sz w:val="28"/>
              </w:rPr>
              <w:t xml:space="preserve">В о всем мире у крупных авиакомпаний имеются собственные системы резервирования, и некоторые из них переросли сегодня рамки одной фирмы и трансформировались в глобальные дистрибутивные системы: Galileo, Amadeus, WORLDSPAN и SABRE. Для проведения взаиморасчетов между авиакомпаниями применяются глобальные системы взаиморасчетов: BSP IATA и ARC (США). Среди автоматизированных систем резервирования билетов на внутреннем рынке России можно отметить следующие: «Сирена-2», «Сирена-2.3», «Сирена-2000», проект «Сирена-3» и шлюзы из/в системы Габриэль, Amadeus и WORLDSPAN. Однако каждая авиакомпания по-прежнему заинтересована в том чтобы продать именно свои места агентству, а потом и пассажиру, поэтому, в частности, необходим нейтральный слой и гарантия того, что будут обеспечены равные права по распределению билетов. </w:t>
            </w:r>
            <w:r>
              <w:rPr>
                <w:sz w:val="28"/>
              </w:rPr>
              <w:br/>
              <w:t xml:space="preserve">Формально ТКП нанимается авиаперевозчиками для осуществления взаиморасчетов по перевозкам. Палата, в свою очередь, заключает соглашения с агентствами и проводит их аккредитацию. В результате создается нейтральная среда обслуживания пассажиров, не зависящая ни от авиакомпании, ни от агентства. Такая среда дает пассажиру возможность самому выбирать авиаперевозчика в соответствии только со своими потребностями, вкусами и представлениями о маршруте и уровне сервиса. К услугам пассажира любая авиакомпания, агентство и система резервирования, а ТКП здесь служит гарантом того, что будут соблюдаться интересы всех субъектов процесса авиаперевозки. </w:t>
            </w:r>
            <w:r>
              <w:rPr>
                <w:sz w:val="28"/>
              </w:rPr>
              <w:br/>
              <w:t xml:space="preserve">Кроме того, ТКП разрабатывает технологии расчетов по грузовым перевозкам, правила перевозок и регистрации документов, развивает технологии программного обеспечения, организует правовое пространство между участниками системы взаиморасчетов. При этом ТКП держит связь с авиационными администрациями СНГ и международными организациями: IATA (International Air Transport Associations – http://www.iata.org), ICAO, ARC, Всемирным тарифным центром, Международным Центром расписаний и т.д. В функции ТКП входят также контакты с компаниями, работающими с другими видами транспорта, а также обучение операторов агентств, участвующих в воздушных перевозках. </w:t>
            </w:r>
            <w:r>
              <w:rPr>
                <w:rStyle w:val="HTMLMarkup"/>
                <w:sz w:val="28"/>
              </w:rPr>
              <w:t>&lt;/TBODY&gt;</w:t>
            </w:r>
          </w:p>
        </w:tc>
      </w:tr>
    </w:tbl>
    <w:p w:rsidR="00B82893" w:rsidRDefault="00E4298B">
      <w:pPr>
        <w:pStyle w:val="10"/>
        <w:ind w:left="-426" w:firstLine="426"/>
        <w:rPr>
          <w:sz w:val="28"/>
        </w:rPr>
      </w:pPr>
      <w:r>
        <w:rPr>
          <w:sz w:val="28"/>
        </w:rPr>
        <w:t xml:space="preserve">Стремясь положить конец анархии, в конце 1992 г. все участники авиатранспортного процесса подписали Генеральный Договор о взаиморасчетах, соблюдение которого контролировалось общественной организацией – Наблюдательным советом авиапредприятий по взаиморасчетам (НСАВ). Это событие в свою очередь повлекло за собой множество новых проблем, в частности, потому, что в России раньше вообще не было какой-либо системы взаиморасчетов между авиапредприятиями (наиболее распространенная на внутреннем рынке система бронирования билетов «Сирена 2» была рассчитана на работу только с одной авиакомпанией и множеством ее агентств). Напрямую заимствовать другие решения: ARC – система для взаиморасчетов в США или BSP – система взаиморасчетов за международные перевозки в других регионах было невозможно из-за специфических особенностей банковско-финансовой системы, уровня развития телекоммуникаций и соображений государственного суверенитета. Поэтому для выполнения всего комплекса работ, связанных с осуществлением взаиморасчетов в 1994 году была создана Клиринговая палата, позднее преобразованная в Транспортную Клиринговую Палату. </w:t>
      </w:r>
    </w:p>
    <w:p w:rsidR="00B82893" w:rsidRDefault="00E4298B">
      <w:pPr>
        <w:pStyle w:val="10"/>
        <w:ind w:left="-426" w:firstLine="426"/>
        <w:rPr>
          <w:sz w:val="28"/>
        </w:rPr>
      </w:pPr>
      <w:r>
        <w:rPr>
          <w:sz w:val="28"/>
        </w:rPr>
        <w:t xml:space="preserve">Участниками ТКП стали 160 регулярных и 50 чартерных перевозчиков СНГ, а ее учредителями были 22 крупнейшие авиакомпании России и СНГ. Через Комиссию по аккредитации при ТКП прошли около 200 агентств по продаже билетов из СНГ и других стран. Всего было аккредитовано около 15 тыс. агентов, обеспечивающих продажу перевозок на нейтральных бланках ТКП международного образца, принятых взамен старых. Сейчас большинство бывших ведомственных агентств «Аэрофлота» (МГА) получили аккредитацию в ТКП. После того как в 1995 г. был запущен механизм взаиморасчетов, можно было говорить о том, что перевозчики СНГ, агентства и другие субъекты авиатранспортной системы сумели преодолеть кризис неплатежей и нейтрализовать негативные последствия развала монополии Аэрофлота на внутреннем рынке. </w:t>
      </w:r>
    </w:p>
    <w:p w:rsidR="00B82893" w:rsidRDefault="00E4298B">
      <w:pPr>
        <w:pStyle w:val="10"/>
        <w:ind w:left="-426" w:firstLine="426"/>
        <w:rPr>
          <w:sz w:val="28"/>
        </w:rPr>
      </w:pPr>
      <w:r>
        <w:rPr>
          <w:sz w:val="28"/>
        </w:rPr>
        <w:t xml:space="preserve">Информационный центр ТКП </w:t>
      </w:r>
    </w:p>
    <w:p w:rsidR="00B82893" w:rsidRDefault="00E4298B">
      <w:pPr>
        <w:pStyle w:val="10"/>
        <w:ind w:left="-426"/>
        <w:rPr>
          <w:sz w:val="28"/>
        </w:rPr>
      </w:pPr>
      <w:r>
        <w:rPr>
          <w:sz w:val="28"/>
        </w:rPr>
        <w:t xml:space="preserve"> ТКП, находясь в центре информационных потоков, циркулирующих между субъектами воздушного транспорта, выполняет роль координатора, а при возникновении конфликтов и роль третейского судьи, благо вся необходимая информация у нее имеется. </w:t>
      </w:r>
    </w:p>
    <w:tbl>
      <w:tblPr>
        <w:tblW w:w="0" w:type="auto"/>
        <w:tblLayout w:type="fixed"/>
        <w:tblCellMar>
          <w:left w:w="0" w:type="dxa"/>
          <w:right w:w="0" w:type="dxa"/>
        </w:tblCellMar>
        <w:tblLook w:val="0000" w:firstRow="0" w:lastRow="0" w:firstColumn="0" w:lastColumn="0" w:noHBand="0" w:noVBand="0"/>
      </w:tblPr>
      <w:tblGrid>
        <w:gridCol w:w="5760"/>
      </w:tblGrid>
      <w:tr w:rsidR="00B82893">
        <w:tc>
          <w:tcPr>
            <w:tcW w:w="5760" w:type="dxa"/>
            <w:vAlign w:val="center"/>
          </w:tcPr>
          <w:p w:rsidR="00B82893" w:rsidRDefault="00E4298B">
            <w:pPr>
              <w:pStyle w:val="10"/>
              <w:ind w:left="-426" w:firstLine="426"/>
              <w:rPr>
                <w:sz w:val="28"/>
              </w:rPr>
            </w:pPr>
            <w:r>
              <w:rPr>
                <w:sz w:val="28"/>
              </w:rPr>
              <w:fldChar w:fldCharType="begin"/>
            </w:r>
            <w:r>
              <w:rPr>
                <w:sz w:val="28"/>
              </w:rPr>
              <w:instrText>PRIVATE</w:instrText>
            </w:r>
            <w:r>
              <w:rPr>
                <w:sz w:val="28"/>
              </w:rPr>
              <w:fldChar w:fldCharType="end"/>
            </w:r>
            <w:r>
              <w:rPr>
                <w:rStyle w:val="HTMLMarkup"/>
                <w:sz w:val="28"/>
              </w:rPr>
              <w:t>&lt;TBODY&gt;</w:t>
            </w:r>
            <w:r>
              <w:rPr>
                <w:sz w:val="28"/>
              </w:rPr>
              <w:br/>
              <w:t xml:space="preserve">Рис.1. Схема информационных потоков </w:t>
            </w:r>
            <w:r>
              <w:rPr>
                <w:rStyle w:val="HTMLMarkup"/>
                <w:sz w:val="28"/>
              </w:rPr>
              <w:t>&lt;/TBODY&gt;</w:t>
            </w:r>
          </w:p>
        </w:tc>
      </w:tr>
    </w:tbl>
    <w:p w:rsidR="00B82893" w:rsidRDefault="00E4298B">
      <w:pPr>
        <w:pStyle w:val="10"/>
        <w:ind w:left="-426" w:firstLine="426"/>
        <w:rPr>
          <w:sz w:val="28"/>
        </w:rPr>
      </w:pPr>
      <w:r>
        <w:rPr>
          <w:sz w:val="28"/>
        </w:rPr>
        <w:t xml:space="preserve">В общем случае в задачи информационного центра ТКП (ИЦ ТКП tch@tchitc.msk.ru) входит оперативное предоставление участникам процесса перевозки исчерпывающей информации о состоянии счетов, платежей, отчетности на определенную дату; обеспечение защищенного обмена данными между всеми участниками системы взаиморасчетов; поддержка горячей линии для всех абонентов ТКП, а это как минимум один терминал, имеющий прямую связь с ИЦ; ведение статистики; предоставление доступа к нормативно-справочной и технологической информации, а также подготовка статистических данных. </w:t>
      </w:r>
    </w:p>
    <w:p w:rsidR="00B82893" w:rsidRDefault="00E4298B">
      <w:pPr>
        <w:pStyle w:val="10"/>
        <w:ind w:left="-426" w:firstLine="426"/>
        <w:rPr>
          <w:sz w:val="28"/>
        </w:rPr>
      </w:pPr>
      <w:r>
        <w:rPr>
          <w:sz w:val="28"/>
        </w:rPr>
        <w:t xml:space="preserve">Для обеспечения конфиденциальности обмена информацией и соблюдения юридической значимости документов, передаваемых по каналам электронной связи в ИЦ ТКП была разработана подсистема обмена электронными документами (ИНФОСЭД), построенная на базе систем криптографической защиты «Верба-О» и «Верба-OW». </w:t>
      </w:r>
    </w:p>
    <w:p w:rsidR="00B82893" w:rsidRDefault="00E4298B">
      <w:pPr>
        <w:pStyle w:val="10"/>
        <w:ind w:left="-426" w:firstLine="426"/>
        <w:rPr>
          <w:sz w:val="28"/>
        </w:rPr>
      </w:pPr>
      <w:r>
        <w:rPr>
          <w:sz w:val="28"/>
        </w:rPr>
        <w:t xml:space="preserve">Помимо решения проблемы конфиденциальности очень важно также оптимизировать процесс обработки статистики по воздушным перевозкам с формированием достоверных отчетов для различных государственных структур: ФАС (Федеральная авиационная служба), Госкомстат, Комиссия по делам ICAO. Сегодня ИЦ ТКП оказался единственной организацией, способной обеспечить заинтересованные учреждения статистическими данными по объемам работ и перевозкам, наличию и использованию парка воздушных судов по региональным управлениям и по стране в целом. Как видно из рис. 2, доступ к информационным ресурсам ИЦ ТКП осуществляется по междугородной телефонной сети, ведомственным сетям АВИАНЕТ, АЭРОНЕТ, «Сирена-3», X.25 и Internet. </w:t>
      </w:r>
    </w:p>
    <w:tbl>
      <w:tblPr>
        <w:tblW w:w="0" w:type="auto"/>
        <w:tblLayout w:type="fixed"/>
        <w:tblCellMar>
          <w:left w:w="0" w:type="dxa"/>
          <w:right w:w="0" w:type="dxa"/>
        </w:tblCellMar>
        <w:tblLook w:val="0000" w:firstRow="0" w:lastRow="0" w:firstColumn="0" w:lastColumn="0" w:noHBand="0" w:noVBand="0"/>
      </w:tblPr>
      <w:tblGrid>
        <w:gridCol w:w="9360"/>
      </w:tblGrid>
      <w:tr w:rsidR="00B82893">
        <w:tc>
          <w:tcPr>
            <w:tcW w:w="9360" w:type="dxa"/>
            <w:vAlign w:val="center"/>
          </w:tcPr>
          <w:p w:rsidR="00B82893" w:rsidRDefault="00E4298B">
            <w:pPr>
              <w:pStyle w:val="10"/>
              <w:ind w:left="-426" w:firstLine="426"/>
              <w:rPr>
                <w:sz w:val="28"/>
              </w:rPr>
            </w:pPr>
            <w:r>
              <w:rPr>
                <w:sz w:val="28"/>
              </w:rPr>
              <w:fldChar w:fldCharType="begin"/>
            </w:r>
            <w:r>
              <w:rPr>
                <w:sz w:val="28"/>
              </w:rPr>
              <w:instrText>PRIVATE</w:instrText>
            </w:r>
            <w:r>
              <w:rPr>
                <w:sz w:val="28"/>
              </w:rPr>
              <w:fldChar w:fldCharType="end"/>
            </w:r>
            <w:r>
              <w:rPr>
                <w:rStyle w:val="HTMLMarkup"/>
                <w:sz w:val="28"/>
              </w:rPr>
              <w:t>&lt;TBODY&gt;</w:t>
            </w:r>
            <w:r>
              <w:rPr>
                <w:sz w:val="28"/>
              </w:rPr>
              <w:br/>
              <w:t xml:space="preserve">Рис. 2. Варианты доступа абонентов к информационным ресурсам ТКП </w:t>
            </w:r>
            <w:r>
              <w:rPr>
                <w:rStyle w:val="HTMLMarkup"/>
                <w:sz w:val="28"/>
              </w:rPr>
              <w:t>&lt;/TBODY&gt;</w:t>
            </w:r>
          </w:p>
        </w:tc>
      </w:tr>
    </w:tbl>
    <w:p w:rsidR="00B82893" w:rsidRDefault="00E4298B">
      <w:pPr>
        <w:pStyle w:val="10"/>
        <w:ind w:left="-426" w:firstLine="426"/>
        <w:rPr>
          <w:sz w:val="28"/>
        </w:rPr>
      </w:pPr>
      <w:r>
        <w:rPr>
          <w:sz w:val="28"/>
        </w:rPr>
        <w:t xml:space="preserve">Отдельного разговора заслуживает техническое оснащение ИЦ ТКП. Ясно, что необходимость обеспечения надежности долговременного хранения самой разнообразной информации предъявляет особые требования к аппаратно-программной конфигурации. Кроме того, следует учесть, что ТКП – это негосударственная организация, которую финансируют авиапредприятия, так что ждать золотого дождя и неограниченных средств, изымаемых, например, у пассажиров, на техническое оснащение не приходится. </w:t>
      </w:r>
    </w:p>
    <w:p w:rsidR="00B82893" w:rsidRDefault="00E4298B">
      <w:pPr>
        <w:pStyle w:val="10"/>
        <w:ind w:left="-426" w:firstLine="426"/>
        <w:rPr>
          <w:sz w:val="28"/>
        </w:rPr>
      </w:pPr>
      <w:r>
        <w:rPr>
          <w:sz w:val="28"/>
        </w:rPr>
        <w:t xml:space="preserve">Специфика существующей в России системы взаиморасчетов, состояние линий коммуникаций, соображения государственной безопасности и даже действующие правила совершения полетов не позволяют непосредственно использовать готовые зарубежные решения. Поэтому в условиях ТКП единственно возможным оказался путь самостоятельной разработки информационной системы. </w:t>
      </w:r>
    </w:p>
    <w:p w:rsidR="00B82893" w:rsidRDefault="00E4298B">
      <w:pPr>
        <w:pStyle w:val="10"/>
        <w:ind w:left="-426" w:firstLine="426"/>
        <w:rPr>
          <w:sz w:val="28"/>
        </w:rPr>
      </w:pPr>
      <w:r>
        <w:rPr>
          <w:sz w:val="28"/>
        </w:rPr>
        <w:t xml:space="preserve">Что касается планов на будущее, то перед ТКП стоят задачи расширения сети аккредитованных агентств и привлечения к сотрудничеству всех реально работающих в России авиапредприятий. Пока еще около половины всех агентств входят в состав авиакомпаний и говорить об их нейтралитете в плане предложения пассажиру нужного перевозчика не приходится. Кроме того, во многом из-за протекционистских мер, практикуемых IATA в отношении продвижения на российский рынок системы взаиморасчетов BSP, влияние ТКП на агентства, занимающиеся международными перевозками, пока невелико. Создание региональных представительств ТКП, объединенных в единую компьютерную инфраструктуру, позволит расширить сеть аккредитованных центров бронирования билетов и будет способствовать сокращению числа систем резервирования. Например, в США наметилась явная тенденция к укрупнению таких систем, где их число за несколько лет уменьшилось с 7 до 2. Внутри России имеется 76 разных, автономных узлов Сирена-2 (по три в каждом городе), причем кассиров на одного пассажира в СНГ в 1,5 раза больше чем в США (30 млн. на 15 тыс.) – это слишком много для существующего у нас объема перевозок. </w:t>
      </w:r>
    </w:p>
    <w:p w:rsidR="00B82893" w:rsidRDefault="00E4298B">
      <w:pPr>
        <w:pStyle w:val="10"/>
        <w:ind w:left="-426" w:firstLine="426"/>
        <w:rPr>
          <w:sz w:val="28"/>
        </w:rPr>
      </w:pPr>
      <w:r>
        <w:rPr>
          <w:sz w:val="28"/>
        </w:rPr>
        <w:t xml:space="preserve">Для повышения качества обслуживания, ускорения процедуры расчетов, а также расширения круга клиентов в ТКП решено организовать систему безналичных расчетов с использованием пластиковых карт. В этот проект вовлекаются все участники процесса перевозки пассажиров: авиапредприятия, агентства, банки, компании наземного транспорта, гостиницы и т.п. На основании уже проведенной работы в системе безналичных расчетов на воздушном транспорте будут приниматься карточки международных платежных систем VISA, Master Card, American Express, а также ряда российских систем. </w:t>
      </w:r>
    </w:p>
    <w:p w:rsidR="00B82893" w:rsidRDefault="00E4298B">
      <w:pPr>
        <w:pStyle w:val="10"/>
        <w:ind w:left="-426" w:firstLine="426"/>
        <w:rPr>
          <w:sz w:val="28"/>
        </w:rPr>
      </w:pPr>
      <w:r>
        <w:rPr>
          <w:sz w:val="28"/>
        </w:rPr>
        <w:t xml:space="preserve">У авиапутешественников многих стран мира большой популярностью пользуются сервисные карты пассажира, позволяющие получать скидки от компаний проката автомобилей, сети гостиниц, ресторанов, телефонных компаний. Существует также программа «часто летающий пассажир», предусматривающая многочисленные скидки при покупке билета в зависимости от частоты ранее совершенных полетов. Имеющийся сегодня потенциал ТКП позволяет вести базу данных обладателей сервисных карт и кроме собственно воздушных перевозок координировать процесс предоставления пассажиру национальных авиалиний всего комплекса, связанных с перелетами, услуг на льготных условиях. Кроме того, сейчас очень актуальной стала задача организации международной страховки для пассажиров. </w:t>
      </w:r>
    </w:p>
    <w:p w:rsidR="00B82893" w:rsidRDefault="00E4298B">
      <w:pPr>
        <w:pStyle w:val="10"/>
        <w:ind w:left="-426" w:firstLine="426"/>
        <w:rPr>
          <w:sz w:val="28"/>
        </w:rPr>
      </w:pPr>
      <w:r>
        <w:rPr>
          <w:sz w:val="28"/>
        </w:rPr>
        <w:t xml:space="preserve">Кроме всего прочего ТКП сейчас начинает заниматься обработкой данных по грузовым перевозкам, что существенно повысит нагрузку на ИЦ и позволит воочию убедиться в возможностях разработанной системы информационного обмена. </w:t>
      </w:r>
    </w:p>
    <w:p w:rsidR="00B82893" w:rsidRDefault="00E4298B">
      <w:pPr>
        <w:pStyle w:val="10"/>
        <w:ind w:left="-426" w:firstLine="426"/>
        <w:rPr>
          <w:sz w:val="28"/>
        </w:rPr>
      </w:pPr>
      <w:r>
        <w:rPr>
          <w:sz w:val="28"/>
        </w:rPr>
        <w:t xml:space="preserve">Для самих перевозчиков планируется ввести сервисные и топливные пластиковые карты, позволяющие организовать оплату услуг топливно-заправочного комплекса, а также сервис от аэропортов: техническое обслуживание, стоянка, бортпитание, метеосводка и т.п. Все услуги будут предоставляться по безналичному расчету не только на территории СНГ, но и за рубежом. </w:t>
      </w:r>
    </w:p>
    <w:p w:rsidR="00B82893" w:rsidRDefault="00E4298B">
      <w:pPr>
        <w:pStyle w:val="10"/>
        <w:ind w:left="-426" w:firstLine="426"/>
        <w:rPr>
          <w:sz w:val="28"/>
        </w:rPr>
      </w:pPr>
      <w:r>
        <w:rPr>
          <w:sz w:val="28"/>
        </w:rPr>
        <w:t xml:space="preserve">И в заключение скажем несколько слов об аналитических и маркетинговых исследованиях. После завершения периода накопления данных в ИЦ ТКП планируется внедрить систему аналитической обработки данных на основе сервера Sybase IQ. Задача такой системы – прогноз, выявление тенденций и выработка рекомендаций по улучшению обслуживания пассажиров. Совершенно очевидно, что в современных условиях, когда весь мир активизировал борьбу за клиента подобные мероприятия, проводимые ТКП от лица российских авиакомпаний позволят вести более гибкую маркетинговую политику, удовлетворению растущих запросов уже имеющихся у компаний клиентов и привлекать новых. </w:t>
      </w:r>
    </w:p>
    <w:p w:rsidR="00B82893" w:rsidRDefault="00B82893">
      <w:pPr>
        <w:pStyle w:val="10"/>
        <w:ind w:left="-426" w:firstLine="426"/>
        <w:rPr>
          <w:sz w:val="28"/>
        </w:rPr>
      </w:pPr>
    </w:p>
    <w:p w:rsidR="00B82893" w:rsidRDefault="00B82893">
      <w:pPr>
        <w:pStyle w:val="10"/>
        <w:ind w:left="-426" w:firstLine="426"/>
        <w:rPr>
          <w:sz w:val="28"/>
        </w:rPr>
      </w:pPr>
    </w:p>
    <w:p w:rsidR="00B82893" w:rsidRDefault="00B82893">
      <w:pPr>
        <w:pStyle w:val="10"/>
        <w:ind w:left="-426" w:firstLine="426"/>
        <w:rPr>
          <w:sz w:val="28"/>
        </w:rPr>
      </w:pPr>
    </w:p>
    <w:p w:rsidR="00B82893" w:rsidRDefault="00B82893">
      <w:pPr>
        <w:pStyle w:val="10"/>
        <w:ind w:left="-426" w:firstLine="426"/>
        <w:rPr>
          <w:sz w:val="28"/>
        </w:rPr>
      </w:pPr>
    </w:p>
    <w:p w:rsidR="00B82893" w:rsidRDefault="00B82893">
      <w:pPr>
        <w:pStyle w:val="10"/>
        <w:ind w:left="-426" w:firstLine="426"/>
        <w:rPr>
          <w:sz w:val="28"/>
        </w:rPr>
      </w:pPr>
    </w:p>
    <w:p w:rsidR="00B82893" w:rsidRDefault="00B82893">
      <w:pPr>
        <w:pStyle w:val="10"/>
        <w:ind w:left="-426" w:firstLine="426"/>
        <w:rPr>
          <w:sz w:val="28"/>
        </w:rPr>
      </w:pPr>
    </w:p>
    <w:p w:rsidR="00B82893" w:rsidRDefault="00B82893">
      <w:pPr>
        <w:pStyle w:val="10"/>
        <w:ind w:left="-426" w:firstLine="426"/>
        <w:rPr>
          <w:sz w:val="28"/>
        </w:rPr>
      </w:pPr>
    </w:p>
    <w:p w:rsidR="00B82893" w:rsidRDefault="00B82893">
      <w:pPr>
        <w:pStyle w:val="10"/>
        <w:ind w:left="-426" w:firstLine="426"/>
        <w:rPr>
          <w:sz w:val="28"/>
        </w:rPr>
      </w:pPr>
    </w:p>
    <w:p w:rsidR="00B82893" w:rsidRDefault="00B82893">
      <w:pPr>
        <w:pStyle w:val="10"/>
        <w:ind w:left="-426" w:firstLine="426"/>
        <w:rPr>
          <w:sz w:val="28"/>
        </w:rPr>
      </w:pPr>
    </w:p>
    <w:p w:rsidR="00B82893" w:rsidRDefault="00B82893">
      <w:pPr>
        <w:pStyle w:val="10"/>
        <w:ind w:left="-426" w:firstLine="426"/>
        <w:rPr>
          <w:sz w:val="28"/>
        </w:rPr>
      </w:pPr>
    </w:p>
    <w:p w:rsidR="00B82893" w:rsidRDefault="00B82893">
      <w:pPr>
        <w:pStyle w:val="10"/>
        <w:ind w:left="-426" w:firstLine="426"/>
        <w:rPr>
          <w:sz w:val="28"/>
        </w:rPr>
      </w:pPr>
    </w:p>
    <w:p w:rsidR="00B82893" w:rsidRDefault="00B82893">
      <w:pPr>
        <w:pStyle w:val="10"/>
        <w:ind w:left="-426" w:firstLine="426"/>
        <w:rPr>
          <w:sz w:val="28"/>
        </w:rPr>
      </w:pPr>
    </w:p>
    <w:p w:rsidR="00B82893" w:rsidRDefault="00B82893">
      <w:pPr>
        <w:pStyle w:val="10"/>
        <w:ind w:left="-426" w:firstLine="426"/>
        <w:rPr>
          <w:sz w:val="28"/>
        </w:rPr>
      </w:pPr>
    </w:p>
    <w:p w:rsidR="00B82893" w:rsidRDefault="00B82893">
      <w:pPr>
        <w:pStyle w:val="10"/>
        <w:ind w:left="-426" w:firstLine="426"/>
        <w:rPr>
          <w:sz w:val="28"/>
        </w:rPr>
      </w:pPr>
    </w:p>
    <w:p w:rsidR="00B82893" w:rsidRDefault="00E4298B">
      <w:pPr>
        <w:pStyle w:val="10"/>
      </w:pPr>
      <w:r>
        <w:rPr>
          <w:rStyle w:val="HTMLMarkup"/>
        </w:rPr>
        <w:t>&lt;!DOCTYPE HTML PUBLIC "-//W3C//DTD HTML 4.0 Transitional//EN"&gt;&lt;!-- saved from url=(0178)http://sm.aport.ru/scripts/template.dll?r=%C5%E2%F0%EE%EF%E5%E9%F1%EA%E8%E9+%EF%EB%E0%F2%E5%E6%ED%FB%E9+%F1%EE%FE%E7&amp;id=77570450&amp;That=std&amp;Rt=4&amp;Site=1&amp;DocNum=1&amp;DocID=1613953&amp;HID=8 --&gt;</w:t>
      </w:r>
    </w:p>
    <w:tbl>
      <w:tblPr>
        <w:tblW w:w="0" w:type="auto"/>
        <w:jc w:val="center"/>
        <w:tblLayout w:type="fixed"/>
        <w:tblCellMar>
          <w:left w:w="0" w:type="dxa"/>
          <w:right w:w="0" w:type="dxa"/>
        </w:tblCellMar>
        <w:tblLook w:val="0000" w:firstRow="0" w:lastRow="0" w:firstColumn="0" w:lastColumn="0" w:noHBand="0" w:noVBand="0"/>
      </w:tblPr>
      <w:tblGrid>
        <w:gridCol w:w="9360"/>
      </w:tblGrid>
      <w:tr w:rsidR="00B82893">
        <w:trPr>
          <w:jc w:val="center"/>
        </w:trPr>
        <w:tc>
          <w:tcPr>
            <w:tcW w:w="9360" w:type="dxa"/>
            <w:vAlign w:val="center"/>
          </w:tcPr>
          <w:p w:rsidR="00B82893" w:rsidRDefault="00E4298B">
            <w:pPr>
              <w:pStyle w:val="10"/>
              <w:rPr>
                <w:sz w:val="20"/>
              </w:rPr>
            </w:pPr>
            <w:r>
              <w:rPr>
                <w:sz w:val="32"/>
              </w:rPr>
              <w:t>Заключение</w:t>
            </w:r>
            <w:r>
              <w:fldChar w:fldCharType="begin"/>
            </w:r>
            <w:r>
              <w:instrText>PRIVATE</w:instrText>
            </w:r>
            <w:r>
              <w:fldChar w:fldCharType="end"/>
            </w:r>
            <w:r>
              <w:rPr>
                <w:rStyle w:val="HTMLMarkup"/>
                <w:sz w:val="20"/>
              </w:rPr>
              <w:t>&lt;TBODY&gt;</w:t>
            </w:r>
          </w:p>
        </w:tc>
      </w:tr>
      <w:tr w:rsidR="00B82893">
        <w:trPr>
          <w:jc w:val="center"/>
        </w:trPr>
        <w:tc>
          <w:tcPr>
            <w:tcW w:w="9360" w:type="dxa"/>
            <w:vAlign w:val="center"/>
          </w:tcPr>
          <w:p w:rsidR="00B82893" w:rsidRDefault="00E4298B">
            <w:pPr>
              <w:pStyle w:val="10"/>
              <w:jc w:val="both"/>
              <w:rPr>
                <w:sz w:val="28"/>
              </w:rPr>
            </w:pPr>
            <w:r>
              <w:rPr>
                <w:sz w:val="28"/>
              </w:rPr>
              <w:fldChar w:fldCharType="begin"/>
            </w:r>
            <w:r>
              <w:rPr>
                <w:sz w:val="28"/>
              </w:rPr>
              <w:instrText>PRIVATE</w:instrText>
            </w:r>
            <w:r>
              <w:rPr>
                <w:sz w:val="28"/>
              </w:rPr>
              <w:fldChar w:fldCharType="end"/>
            </w:r>
            <w:r>
              <w:rPr>
                <w:rStyle w:val="HTMLMarkup"/>
                <w:color w:val="000000"/>
                <w:sz w:val="28"/>
              </w:rPr>
              <w:t>&lt;TBODY&gt;</w:t>
            </w:r>
          </w:p>
          <w:p w:rsidR="00B82893" w:rsidRDefault="00E4298B">
            <w:pPr>
              <w:pStyle w:val="10"/>
              <w:jc w:val="both"/>
              <w:rPr>
                <w:sz w:val="28"/>
              </w:rPr>
            </w:pPr>
            <w:r>
              <w:rPr>
                <w:sz w:val="28"/>
              </w:rPr>
              <w:t>Платежный союз  на основе валютного клиринга - фундамент интеграции для стран СНГ .</w:t>
            </w:r>
          </w:p>
          <w:p w:rsidR="00B82893" w:rsidRDefault="00E4298B">
            <w:pPr>
              <w:pStyle w:val="10"/>
              <w:jc w:val="both"/>
              <w:rPr>
                <w:sz w:val="28"/>
              </w:rPr>
            </w:pPr>
            <w:r>
              <w:rPr>
                <w:sz w:val="28"/>
              </w:rPr>
              <w:t xml:space="preserve">Самостоятельная хозяйственная практика государств Содружества Независимых Государств показала, что в одиночку решить навалившиеся экономические проблемы непросто. Происходил сложный, во многом противоречивый процесс, с одной стороны, восстановления традиционных хозяйственных связей, но уже на рыночной основе, и с другой - вызревало понимание собственных экономических интересов каждым государством СНГ. </w:t>
            </w:r>
          </w:p>
          <w:p w:rsidR="00B82893" w:rsidRDefault="00E4298B">
            <w:pPr>
              <w:pStyle w:val="10"/>
              <w:jc w:val="both"/>
              <w:rPr>
                <w:sz w:val="28"/>
              </w:rPr>
            </w:pPr>
            <w:r>
              <w:rPr>
                <w:sz w:val="28"/>
              </w:rPr>
              <w:t xml:space="preserve">Мировой опыт свидетельствует, что в условиях растущей международной конкуренции не исключается, а напротив, усиливается роль координации экономической политики в самых различных формах. От создания зон свободной торговли до образования экономического союза, всеобъемлющей экономической интеграции, предполагающей полную экономическую унификацию хозяйственных институтов и экономических стратегий развития, включая создание общей валютной системы. </w:t>
            </w:r>
            <w:r>
              <w:rPr>
                <w:sz w:val="28"/>
              </w:rPr>
              <w:br/>
              <w:t xml:space="preserve">Важнейшим этапом на пути создания экономического союза государств Содружества стало подписание 21 октября 1994 г. Соглашения о создании Платежного союза государств - участников Содружества Независимых Государств. Наряду с формированием Таможенного союза и Общего рынка Платежный союз, как подтверждают пятилетний опыт его существования в СНГ, а также практика создания Европейского платежного и валютного союза, является необходимым шагом к восстановлению торговых связей и взаимной конвертируемости валют. Цель Платежного союза - обеспечение и поддержание бесперебойности и ритмичности расчетов между субъектами хозяйствования на основе обеспечения внутренней конвертируемости каждой из национальных валют и формирования платежной системы с учетом национального законодательства. </w:t>
            </w:r>
            <w:r>
              <w:rPr>
                <w:sz w:val="28"/>
              </w:rPr>
              <w:br/>
              <w:t xml:space="preserve">Проблема полноценного функционирования Платежного союза в рамках Содружества для нашей республики актуальна по ряду причин. В частности, внешние проблемы финансовой системы Республики Беларусь осложнены высокой степенью открытости экономики при недостаточно обеспеченном с позиций экономической безопасности уровне диверсификации торгово-экономических связей с другими государствами, прежде всего СНГ. В итоге финансовая система страны в большей степени уязвима к финансовым катаклизмам. Кроме того, анализ данных о выполнении важнейших параметров социально-экономического развития Республики Беларусь в январе - апреле этого года по-прежнему свидетельствует о наибольшей напряженности в сфере внешней торговли. </w:t>
            </w:r>
            <w:r>
              <w:rPr>
                <w:sz w:val="28"/>
              </w:rPr>
              <w:br/>
              <w:t xml:space="preserve">Так, за первый квартал текущего года товарооборот в суммарной оценке со странами СНГ составил лишь 59,1 процента от уровня соответствующего периода 1998 г. Со странами, не входящими в Содружество, товарооборот сократился на 7,6 проц. Объем экспорта белорусских товаров по сравнению с январем - мартом 1998 г. сократился на 23,5, что вызвано в первую очередь резким сокращением экспортных поставок в страны СНГ. Поставки товаров в эти страны упали почти вдвое (на 40,1 процента). Тогда как со странами дальнего зарубежья экспортные операции возросли на 34 проц. В результате доля стран СНГ в общем объеме экспорта сократилась с 77,6 до 60,7; соответственно доля стран дальнего зарубежья увеличилась на 16,9 процента. </w:t>
            </w:r>
            <w:r>
              <w:rPr>
                <w:sz w:val="28"/>
              </w:rPr>
              <w:br/>
              <w:t xml:space="preserve">Импорт товаров сократился как из стран Содружества (на 41,7), так и из стран вне СНГ (на 29,3). В структуре импортных потоков доля стран СНГ сократилась с 66,7 до 62,3, а доля государств дальнего зарубежья увеличилась на 4,4 процента. </w:t>
            </w:r>
            <w:r>
              <w:rPr>
                <w:sz w:val="28"/>
              </w:rPr>
              <w:br/>
              <w:t xml:space="preserve">Россия, по-прежнему занимая ведущее место среди стран - импортеров белорусских товаров, в силу целого ряда причин в январе - марте 1999 г. затратила на закупки в Беларуси по сравнению с тем же периодом прошлого года почти вдвое (на 41,9). Импорт товаров из России снизился менее значительно (на 38,6), и российские товары составляют 54,6 процента всех импортируемых товаров. </w:t>
            </w:r>
            <w:r>
              <w:rPr>
                <w:sz w:val="28"/>
              </w:rPr>
              <w:br/>
              <w:t xml:space="preserve">Результатом внешнеторговой деятельности республики по итогам первых трех месяцев текущего года стало отрицательное сальдо внешней торговли в размере 65,6 млн. долл. США . В январе - марте 1998 г. дефицит внешнеторгового оборота составлял 501,2 млн. долл. США. Некоторое улучшение сальдо внешней торговли вызвано более резким падением импорта товаров в страну. </w:t>
            </w:r>
            <w:r>
              <w:rPr>
                <w:sz w:val="28"/>
              </w:rPr>
              <w:br/>
              <w:t xml:space="preserve">В первом квартале текущего года продолжала расти доля бартерных сделок как в экспортных, так и в импортных операциях, особенно в страны СНГ. Из общего объема белорусского экспорта 36,8 проц. приходилось на бартерные операции (вместо 30 проц. в январе - марте прошлого года). Более половины экспортных поставок в страны СНГ (51,2) осуществлялось посредством бартерного товарообмена, в т.ч. и в Россию (51,7). Бартер товаров в страны вне СНГ составил 14,6 процента. </w:t>
            </w:r>
            <w:r>
              <w:rPr>
                <w:sz w:val="28"/>
              </w:rPr>
              <w:br/>
              <w:t xml:space="preserve">В результате величина экспорта за деньги (экспорт минус бартер) сократилась на 381,3 млн. долл. США, или на 31 проц. при общем снижении экспорта на 23,5 проц. Объемы закупок товаров за деньги сократились более значительно - на 48,4 проц. В общем объеме импортируемых товаров закупки по бартеру занимают 36,2 против 22,8 процента в январе - марте 1998 г. </w:t>
            </w:r>
            <w:r>
              <w:rPr>
                <w:sz w:val="28"/>
              </w:rPr>
              <w:br/>
              <w:t xml:space="preserve">Трудности республики во внешнеэкономической сфере обусловлены во многом общей проблемой, которой для всех стран Содружества стали негативные последствия мирового финансового кризиса. Платежная система в этот период пострадала, вероятно, как никакая другая. В условиях стремительной девальвации национальных валют вновь стали расти товарообменные операции, роль российского рубля снизилась. </w:t>
            </w:r>
            <w:r>
              <w:rPr>
                <w:sz w:val="28"/>
              </w:rPr>
              <w:br/>
              <w:t xml:space="preserve">Эти данные должны подвести нас к очень характерному заключению: актуальность создания полноценной платежной системы Содружества для Республики Беларусь высока, как никогда. При разработке Основных направлений социально-экономического развития республики на период 1996-2000 гг. и выборе одним из приоритетов экспорта ставка делалась на рынки стран СНГ, в первую очередь России, которые - и это понимали разработчики прогноза - без полноценной системы платежей неэффективны. </w:t>
            </w:r>
            <w:r>
              <w:rPr>
                <w:sz w:val="28"/>
              </w:rPr>
              <w:br/>
              <w:t xml:space="preserve">Ведь, как известно, образование Европейского платежного союза было подчинено триединой задаче: </w:t>
            </w:r>
            <w:r>
              <w:rPr>
                <w:sz w:val="28"/>
              </w:rPr>
              <w:br/>
              <w:t xml:space="preserve">создать многостороннюю систему взаиморасчетов между европейскими странами; </w:t>
            </w:r>
            <w:r>
              <w:rPr>
                <w:sz w:val="28"/>
              </w:rPr>
              <w:br/>
              <w:t xml:space="preserve">ослабить ограничения, сдерживающие развитие товарообмена; </w:t>
            </w:r>
            <w:r>
              <w:rPr>
                <w:sz w:val="28"/>
              </w:rPr>
              <w:br/>
              <w:t xml:space="preserve">поэтапно отменить ограничения, введенные на операции с иностранной валютой. </w:t>
            </w:r>
            <w:r>
              <w:rPr>
                <w:sz w:val="28"/>
              </w:rPr>
              <w:br/>
              <w:t xml:space="preserve">Европейский платежный союз просуществовал не так долго - с 1950 по 1958 год, но, несмотря на то, что ему пришлось пережить ряд кредитно-денежных кризисов, дефициты торговых балансов у основных членов союза, свою роль в целом выполнил. Чего нельзя еще сказать о Платежном союзе Содружества, хотя с момента его образования и прошло уже почти пять лет, а Межгосударственного банка - более шести лет. </w:t>
            </w:r>
            <w:r>
              <w:rPr>
                <w:sz w:val="28"/>
              </w:rPr>
              <w:br/>
              <w:t xml:space="preserve">Республика Беларусь, исходя из принципов подписанного Соглашения о Платежном союзе, заключила межправительственные (межбанковские) соглашения об организации расчетов и взаимной конвертируемости валют, регламентирующие применение валют в расчетах между Республикой Беларусь и всеми станами Содружества Независимых Государств. Соглашения об организации расчетов также заключены Национальным банком Республики Беларусь с центральными банками стран Балтии - Латвией, Литвой и Эстонией. </w:t>
            </w:r>
            <w:r>
              <w:rPr>
                <w:sz w:val="28"/>
              </w:rPr>
              <w:br/>
              <w:t xml:space="preserve">Кроме того, подписано соглашение между Национальным банком Республики Беларусь и Центральным банком Российской Федерации о координации действий в области политики обменного курса национальных валют, в соответствии с которым важнейшим условием расширения использования национальных валют обеих стран во взаимных расчетах и повышения доверия к ним со стороны белорусских и российских участников внешнеэкономической деятельности является проведение ими согласованной курсовой политики, основанной на единых для обеих стран принципах. </w:t>
            </w:r>
            <w:r>
              <w:rPr>
                <w:sz w:val="28"/>
              </w:rPr>
              <w:br/>
              <w:t xml:space="preserve">Сторонами заявлено об обеспечении резидентам своих стран возможности покупки и продажи иностранной валюты по текущим операциям без ограничений. Установление официальных курсов национальных валют должно проводиться исходя из спроса и предложения на иностранную валюту на межбанковском и биржевом рынках с учетом макроэкономических показателей и величины золотовалютных резервов. На всех сегментах валютного рынка договаривающихся стран должен использоваться единый обменный курс. </w:t>
            </w:r>
            <w:r>
              <w:rPr>
                <w:sz w:val="28"/>
              </w:rPr>
              <w:br/>
              <w:t xml:space="preserve">Следует также признать, что внутренние экономические трудности не позволяют в полной мере использовать потенциал возможностей Платежного союза. И это проблема не только нашей страны. Свидетельством того, что Платежный союз зарождался и функционирует в непростых условиях, является уже тот факт, что соглашение о его создании первоначально подписали не все государства Содружества. И сейчас каждая страна с разной скоростью движения осваивает пространство платежной системы Содружества, выбирая для себя оптимальный уровень валютной интеграции. </w:t>
            </w:r>
            <w:r>
              <w:rPr>
                <w:sz w:val="28"/>
              </w:rPr>
              <w:br/>
              <w:t xml:space="preserve">Что касается нашей республики, то ввиду существующих в настоящее время ограничений на внутреннем валютном рынке, введенных еще в марте 1998 года, до настоящего времени не реализована статья 2 соглашения, регламентирующая обеспечение резидентам своих стран возможности покупки и продажи иностранной валюты по текущим операциям без ограничений. Кроме того, статья 3, предполагающая либерализацию обменного курса белорусского рубля и уменьшение административного контроля за процессом курсообразования, также до настоящего момента не выполнена. </w:t>
            </w:r>
            <w:r>
              <w:rPr>
                <w:sz w:val="28"/>
              </w:rPr>
              <w:br/>
              <w:t xml:space="preserve">Длительное время Центральный банк Российской Федерации не осуществлял официальную котировку белорусского рубля, но уже с 29 апреля 1999 года торги по белорусскому рублю на Московской межбанковской валютной бирже были возобновлены. Данная мера в определенной степени будет способствовать повышению авторитета и укреплению белорусского рубля и одновременно будет вписываться в рамки происходящих интеграционных процессов, включая Платежный союз. </w:t>
            </w:r>
            <w:r>
              <w:rPr>
                <w:sz w:val="28"/>
              </w:rPr>
              <w:br/>
              <w:t xml:space="preserve">Следует отметить комплексность проблемы Платежного союза Содружества, ее зависимость от решения вопросов в смежных областях, включая область бюджетно-налоговой политики. В 1999 году будет продолжена работа по унификации принципов налогообложения и реализации решений, принятых на уровне Союза Беларуси и России, других интеграционных структур СНГ. В первую очередь это касается принципа взимания косвенных налогов. </w:t>
            </w:r>
            <w:r>
              <w:rPr>
                <w:sz w:val="28"/>
              </w:rPr>
              <w:br/>
              <w:t xml:space="preserve">Наряду с пониманием важности этой работы существует ряд вопросов, без решения которых дальнейшее продвижение в направлении унификации налогового законодательства двух государств будет затруднено. </w:t>
            </w:r>
            <w:r>
              <w:rPr>
                <w:sz w:val="28"/>
              </w:rPr>
              <w:br/>
              <w:t xml:space="preserve">На концептуальном уровне все более-менее ясно. Цель унификации - создание равных условий для экономической деятельности субъектов хозяйствования в союзных государствах, а также исключение возможности получения односторонних преимуществ одной из сторон за счет другой стороны. В этом отношении унификация выражается прежде всего в приведении к единому уровню налоговых нагрузок на субъекты хозяйствования в Беларуси и России. </w:t>
            </w:r>
            <w:r>
              <w:rPr>
                <w:sz w:val="28"/>
              </w:rPr>
              <w:br/>
              <w:t xml:space="preserve">Необходимо создание единого налогового режима, порядка учета и контроля за движением товаров, эффективного информационного обмена, согласованное использование единых методических подходов в вопросе определения налогооблагаемых баз и, наконец, паритет налоговых ставок по группе наиболее значимых налогов для национальных бюджетов. Тем самым будут созданы предпосылки для исключения явлений информационной асимметрии, что наносит вред как одному, так и другому участнику союза. </w:t>
            </w:r>
            <w:r>
              <w:rPr>
                <w:sz w:val="28"/>
              </w:rPr>
              <w:br/>
              <w:t xml:space="preserve">Вместе с тем мы должны учитывать и мировые тенденции в этом вопросе. Как известно, еще в давние времена была высказана гипотеза о том, что верхний уровень налоговых изъятий выше в небольших, сравнительно однородных в социально-культурном отношении унитарных государствах, как наше, а именно в силу большей готовности граждан этих государств нести налоговое бремя. И, наоборот, налоговое бремя должно быть ниже в государствах, отличающихся большими размерами, более разнородным социально-культурным многообразием, федеративных по типу государственного устройства. </w:t>
            </w:r>
            <w:r>
              <w:rPr>
                <w:sz w:val="28"/>
              </w:rPr>
              <w:br/>
              <w:t xml:space="preserve">Статистические данные в целом подтверждают эту гипотезу. Так, налоговая нагрузка, включая отчисления во внебюджетные фонды, в России за 1998 год составила 35,1, а в Республике Беларусь - 50,3 процента. </w:t>
            </w:r>
            <w:r>
              <w:rPr>
                <w:sz w:val="28"/>
              </w:rPr>
              <w:br/>
              <w:t xml:space="preserve">Таким образом, если в концептуальном отношении унификация законодательства в области бюджетно-налоговой политики не вызывает больших проблем, что подтверждается планомерной работой по введению в хозяйственную практику Налогового кодекса, то на уровне конкретных налогов и сборов, прежде всего их ставок, вопросы до конца не урегулированы. </w:t>
            </w:r>
            <w:r>
              <w:rPr>
                <w:sz w:val="28"/>
              </w:rPr>
              <w:br/>
              <w:t xml:space="preserve">Словом, нужно еще раз указать на необходимость более тесной координации стран Содружества во всех сферах взаимовыгодных экономических отношений, включая Платежный союз на основе  внедрения новейших клиринговых схем проведения взаиморасчетов как финансовый фундамент интеграции. </w:t>
            </w:r>
          </w:p>
          <w:p w:rsidR="00B82893" w:rsidRDefault="00B82893">
            <w:pPr>
              <w:pStyle w:val="10"/>
              <w:jc w:val="both"/>
              <w:rPr>
                <w:sz w:val="28"/>
              </w:rPr>
            </w:pPr>
          </w:p>
          <w:p w:rsidR="00B82893" w:rsidRDefault="00E4298B">
            <w:pPr>
              <w:pStyle w:val="10"/>
              <w:jc w:val="both"/>
              <w:rPr>
                <w:sz w:val="28"/>
              </w:rPr>
            </w:pPr>
            <w:r>
              <w:rPr>
                <w:rStyle w:val="HTMLMarkup"/>
                <w:color w:val="000000"/>
                <w:sz w:val="28"/>
              </w:rPr>
              <w:t>&lt;/TBODY&gt;</w:t>
            </w:r>
          </w:p>
        </w:tc>
      </w:tr>
    </w:tbl>
    <w:p w:rsidR="00B82893" w:rsidRDefault="00B82893">
      <w:pPr>
        <w:pStyle w:val="10"/>
        <w:rPr>
          <w:sz w:val="28"/>
        </w:rPr>
      </w:pPr>
    </w:p>
    <w:p w:rsidR="00B82893" w:rsidRDefault="00B82893">
      <w:pPr>
        <w:pStyle w:val="10"/>
        <w:ind w:left="-426"/>
        <w:jc w:val="both"/>
        <w:rPr>
          <w:sz w:val="28"/>
        </w:rPr>
      </w:pPr>
    </w:p>
    <w:p w:rsidR="00B82893" w:rsidRDefault="00B82893">
      <w:pPr>
        <w:pStyle w:val="10"/>
        <w:jc w:val="both"/>
        <w:rPr>
          <w:sz w:val="32"/>
        </w:rPr>
      </w:pPr>
    </w:p>
    <w:p w:rsidR="00B82893" w:rsidRDefault="00E4298B">
      <w:pPr>
        <w:pStyle w:val="10"/>
        <w:jc w:val="both"/>
        <w:rPr>
          <w:b/>
          <w:sz w:val="32"/>
        </w:rPr>
      </w:pPr>
      <w:r>
        <w:rPr>
          <w:b/>
          <w:sz w:val="32"/>
        </w:rPr>
        <w:t>Список использованной литературы :</w:t>
      </w:r>
    </w:p>
    <w:p w:rsidR="00B82893" w:rsidRDefault="00E4298B">
      <w:pPr>
        <w:pStyle w:val="10"/>
        <w:jc w:val="both"/>
        <w:rPr>
          <w:b/>
          <w:sz w:val="32"/>
        </w:rPr>
      </w:pPr>
      <w:r>
        <w:rPr>
          <w:b/>
          <w:sz w:val="32"/>
        </w:rPr>
        <w:t>1. «Международные ВалютноКредитные и финансовые отношения»  Красавина Л.Н. 1994 г.</w:t>
      </w:r>
    </w:p>
    <w:p w:rsidR="00B82893" w:rsidRDefault="00E4298B">
      <w:pPr>
        <w:pStyle w:val="10"/>
        <w:jc w:val="both"/>
        <w:rPr>
          <w:b/>
          <w:sz w:val="32"/>
        </w:rPr>
      </w:pPr>
      <w:r>
        <w:rPr>
          <w:b/>
          <w:sz w:val="32"/>
        </w:rPr>
        <w:t>2. «Финансы» Родионова В.М. 1995 г.</w:t>
      </w:r>
    </w:p>
    <w:p w:rsidR="00B82893" w:rsidRDefault="00E4298B">
      <w:pPr>
        <w:pStyle w:val="10"/>
        <w:jc w:val="both"/>
        <w:rPr>
          <w:b/>
          <w:sz w:val="32"/>
        </w:rPr>
      </w:pPr>
      <w:r>
        <w:rPr>
          <w:b/>
          <w:sz w:val="32"/>
        </w:rPr>
        <w:t>3. «Международные расчеты и гарантии» Михайлов Д.М. 1998 г.</w:t>
      </w:r>
    </w:p>
    <w:p w:rsidR="00B82893" w:rsidRDefault="00E4298B">
      <w:pPr>
        <w:pStyle w:val="10"/>
        <w:jc w:val="both"/>
        <w:rPr>
          <w:b/>
          <w:sz w:val="32"/>
        </w:rPr>
      </w:pPr>
      <w:r>
        <w:rPr>
          <w:b/>
          <w:sz w:val="32"/>
        </w:rPr>
        <w:t>4. « Международные Экономические Отношения» В.Е. Рыбалкин 1998 г.</w:t>
      </w:r>
    </w:p>
    <w:p w:rsidR="00B82893" w:rsidRDefault="00E4298B">
      <w:pPr>
        <w:pStyle w:val="10"/>
        <w:jc w:val="both"/>
        <w:rPr>
          <w:b/>
          <w:sz w:val="32"/>
        </w:rPr>
      </w:pPr>
      <w:r>
        <w:rPr>
          <w:b/>
          <w:sz w:val="32"/>
        </w:rPr>
        <w:t>5. «Цены и Ценообразование в Системе Маркетинга» А.Н.</w:t>
      </w:r>
    </w:p>
    <w:p w:rsidR="00B82893" w:rsidRDefault="00E4298B">
      <w:pPr>
        <w:pStyle w:val="10"/>
        <w:jc w:val="both"/>
        <w:rPr>
          <w:b/>
          <w:sz w:val="32"/>
        </w:rPr>
      </w:pPr>
      <w:r>
        <w:rPr>
          <w:b/>
          <w:sz w:val="32"/>
        </w:rPr>
        <w:t>Цацулин 1998 г.</w:t>
      </w:r>
    </w:p>
    <w:p w:rsidR="00B82893" w:rsidRDefault="00E4298B">
      <w:pPr>
        <w:pStyle w:val="10"/>
        <w:jc w:val="both"/>
        <w:rPr>
          <w:b/>
          <w:sz w:val="32"/>
        </w:rPr>
      </w:pPr>
      <w:r>
        <w:rPr>
          <w:b/>
          <w:sz w:val="32"/>
        </w:rPr>
        <w:t>6. «Экономическая теория»  И.П. Николаева 1998 г.</w:t>
      </w:r>
    </w:p>
    <w:p w:rsidR="00B82893" w:rsidRDefault="00E4298B">
      <w:pPr>
        <w:pStyle w:val="10"/>
        <w:jc w:val="both"/>
        <w:rPr>
          <w:b/>
          <w:sz w:val="32"/>
        </w:rPr>
      </w:pPr>
      <w:r>
        <w:rPr>
          <w:b/>
          <w:sz w:val="32"/>
        </w:rPr>
        <w:t>7. Внешнеэкономичкский бюллетень 1996 г. №1-7.</w:t>
      </w:r>
    </w:p>
    <w:p w:rsidR="00B82893" w:rsidRDefault="00E4298B">
      <w:pPr>
        <w:pStyle w:val="10"/>
        <w:jc w:val="both"/>
        <w:rPr>
          <w:b/>
          <w:sz w:val="32"/>
          <w:lang w:val="en-US"/>
        </w:rPr>
      </w:pPr>
      <w:r>
        <w:rPr>
          <w:b/>
          <w:sz w:val="32"/>
        </w:rPr>
        <w:t xml:space="preserve">8. Официальная интернет страница Банка Международных расчетов . </w:t>
      </w:r>
      <w:r>
        <w:rPr>
          <w:b/>
          <w:sz w:val="32"/>
          <w:lang w:val="en-US"/>
        </w:rPr>
        <w:t>http:\\www.bis.org  .</w:t>
      </w:r>
    </w:p>
    <w:p w:rsidR="00B82893" w:rsidRDefault="00E4298B">
      <w:pPr>
        <w:pStyle w:val="10"/>
        <w:jc w:val="both"/>
        <w:rPr>
          <w:b/>
          <w:sz w:val="32"/>
        </w:rPr>
      </w:pPr>
      <w:r>
        <w:rPr>
          <w:b/>
          <w:sz w:val="32"/>
          <w:lang w:val="en-US"/>
        </w:rPr>
        <w:t>9.</w:t>
      </w:r>
      <w:r>
        <w:rPr>
          <w:b/>
          <w:sz w:val="32"/>
        </w:rPr>
        <w:t xml:space="preserve"> «Финансы» В.М. Родионова  1995 г.</w:t>
      </w:r>
    </w:p>
    <w:p w:rsidR="00B82893" w:rsidRDefault="00E4298B">
      <w:pPr>
        <w:pStyle w:val="10"/>
        <w:jc w:val="both"/>
        <w:rPr>
          <w:b/>
          <w:sz w:val="32"/>
        </w:rPr>
      </w:pPr>
      <w:r>
        <w:rPr>
          <w:b/>
          <w:sz w:val="32"/>
        </w:rPr>
        <w:t>10. «Внешнеторговые Цены» Лившын Ф.М. 1990 г.</w:t>
      </w:r>
    </w:p>
    <w:p w:rsidR="00B82893" w:rsidRDefault="00E4298B">
      <w:pPr>
        <w:pStyle w:val="10"/>
        <w:jc w:val="both"/>
        <w:rPr>
          <w:b/>
          <w:sz w:val="32"/>
        </w:rPr>
      </w:pPr>
      <w:r>
        <w:rPr>
          <w:b/>
          <w:sz w:val="32"/>
        </w:rPr>
        <w:t>11. «Международная Экономика» Киреев А. 1997 г.</w:t>
      </w:r>
    </w:p>
    <w:p w:rsidR="00B82893" w:rsidRDefault="00E4298B">
      <w:pPr>
        <w:pStyle w:val="10"/>
        <w:jc w:val="both"/>
        <w:rPr>
          <w:b/>
          <w:sz w:val="32"/>
        </w:rPr>
      </w:pPr>
      <w:r>
        <w:rPr>
          <w:b/>
          <w:sz w:val="32"/>
        </w:rPr>
        <w:t>12. «Основы внешнеэкономических знаний» И.П. Фаминский 1990 г.</w:t>
      </w:r>
    </w:p>
    <w:p w:rsidR="00B82893" w:rsidRDefault="00E4298B">
      <w:pPr>
        <w:pStyle w:val="10"/>
        <w:jc w:val="both"/>
        <w:rPr>
          <w:b/>
          <w:sz w:val="32"/>
        </w:rPr>
      </w:pPr>
      <w:r>
        <w:rPr>
          <w:b/>
          <w:sz w:val="32"/>
        </w:rPr>
        <w:t>13. «</w:t>
      </w:r>
      <w:r>
        <w:rPr>
          <w:b/>
          <w:sz w:val="32"/>
          <w:lang w:val="en-US"/>
        </w:rPr>
        <w:t>World Investment Instruments</w:t>
      </w:r>
      <w:r>
        <w:rPr>
          <w:b/>
          <w:sz w:val="32"/>
        </w:rPr>
        <w:t>» 1995 г.</w:t>
      </w:r>
    </w:p>
    <w:p w:rsidR="00B82893" w:rsidRDefault="00E4298B">
      <w:pPr>
        <w:pStyle w:val="10"/>
        <w:jc w:val="both"/>
        <w:rPr>
          <w:b/>
          <w:sz w:val="32"/>
          <w:lang w:val="en-US"/>
        </w:rPr>
      </w:pPr>
      <w:r>
        <w:rPr>
          <w:b/>
          <w:sz w:val="32"/>
        </w:rPr>
        <w:t xml:space="preserve">14. «Краткий внешнеэкономический словарь-справочник»   </w:t>
      </w:r>
      <w:r>
        <w:rPr>
          <w:b/>
          <w:sz w:val="32"/>
          <w:lang w:val="en-US"/>
        </w:rPr>
        <w:t xml:space="preserve"> 1996г.</w:t>
      </w:r>
    </w:p>
    <w:p w:rsidR="00B82893" w:rsidRDefault="00E4298B">
      <w:pPr>
        <w:pStyle w:val="10"/>
        <w:jc w:val="both"/>
        <w:rPr>
          <w:b/>
          <w:sz w:val="32"/>
          <w:lang w:val="en-US"/>
        </w:rPr>
      </w:pPr>
      <w:r>
        <w:rPr>
          <w:b/>
          <w:sz w:val="32"/>
          <w:lang w:val="en-US"/>
        </w:rPr>
        <w:t>15. “Новые контуры Западной Европы” В.А. Мартынов 1991 г.</w:t>
      </w:r>
    </w:p>
    <w:p w:rsidR="00B82893" w:rsidRDefault="00E4298B">
      <w:pPr>
        <w:pStyle w:val="10"/>
        <w:jc w:val="both"/>
        <w:rPr>
          <w:b/>
          <w:sz w:val="32"/>
          <w:lang w:val="en-US"/>
        </w:rPr>
      </w:pPr>
      <w:r>
        <w:rPr>
          <w:b/>
          <w:sz w:val="32"/>
          <w:lang w:val="en-US"/>
        </w:rPr>
        <w:t>16. “ Международные экономические и финансовые отношения “ М. Пебро ( перевод с фран. О.С. Савкевич) 1994 г.</w:t>
      </w:r>
    </w:p>
    <w:p w:rsidR="00B82893" w:rsidRDefault="00E4298B">
      <w:pPr>
        <w:pStyle w:val="10"/>
        <w:jc w:val="both"/>
        <w:rPr>
          <w:b/>
          <w:sz w:val="32"/>
          <w:lang w:val="en-US"/>
        </w:rPr>
      </w:pPr>
      <w:r>
        <w:rPr>
          <w:b/>
          <w:sz w:val="32"/>
          <w:lang w:val="en-US"/>
        </w:rPr>
        <w:t>17. “ Интеграция . Международные Экономические Отношения “ Учебное пособие . 1997 г.</w:t>
      </w:r>
    </w:p>
    <w:p w:rsidR="00B82893" w:rsidRDefault="00E4298B">
      <w:pPr>
        <w:pStyle w:val="10"/>
        <w:jc w:val="both"/>
        <w:rPr>
          <w:b/>
          <w:sz w:val="32"/>
          <w:lang w:val="en-US"/>
        </w:rPr>
      </w:pPr>
      <w:r>
        <w:rPr>
          <w:b/>
          <w:sz w:val="32"/>
          <w:lang w:val="en-US"/>
        </w:rPr>
        <w:t>18. “Мировая Экономика” С.Б. Шлихтер .1994 г.</w:t>
      </w:r>
    </w:p>
    <w:p w:rsidR="00B82893" w:rsidRDefault="00E4298B">
      <w:pPr>
        <w:pStyle w:val="10"/>
        <w:jc w:val="both"/>
        <w:rPr>
          <w:b/>
          <w:sz w:val="32"/>
          <w:lang w:val="en-US"/>
        </w:rPr>
      </w:pPr>
      <w:r>
        <w:rPr>
          <w:b/>
          <w:sz w:val="32"/>
          <w:lang w:val="en-US"/>
        </w:rPr>
        <w:t>19. Официальная интернет страница “Центра Стратегических Разработок” http://www.csr.ru .</w:t>
      </w:r>
    </w:p>
    <w:p w:rsidR="00B82893" w:rsidRDefault="00E4298B">
      <w:pPr>
        <w:pStyle w:val="10"/>
        <w:numPr>
          <w:ilvl w:val="0"/>
          <w:numId w:val="12"/>
        </w:numPr>
        <w:jc w:val="both"/>
        <w:rPr>
          <w:b/>
          <w:sz w:val="32"/>
        </w:rPr>
      </w:pPr>
      <w:r>
        <w:rPr>
          <w:b/>
          <w:sz w:val="32"/>
        </w:rPr>
        <w:t>«</w:t>
      </w:r>
      <w:r>
        <w:rPr>
          <w:b/>
          <w:sz w:val="32"/>
          <w:lang w:val="en-US"/>
        </w:rPr>
        <w:t xml:space="preserve"> Free to Choose, Among Currencies Too</w:t>
      </w:r>
      <w:r>
        <w:rPr>
          <w:b/>
          <w:sz w:val="32"/>
        </w:rPr>
        <w:t xml:space="preserve">» </w:t>
      </w:r>
      <w:r>
        <w:rPr>
          <w:b/>
          <w:sz w:val="32"/>
          <w:lang w:val="en-US"/>
        </w:rPr>
        <w:t xml:space="preserve">Milton Fridman . </w:t>
      </w:r>
      <w:r>
        <w:rPr>
          <w:b/>
          <w:sz w:val="32"/>
        </w:rPr>
        <w:t>1960 г.</w:t>
      </w:r>
    </w:p>
    <w:p w:rsidR="00B82893" w:rsidRDefault="00E4298B">
      <w:pPr>
        <w:pStyle w:val="10"/>
        <w:numPr>
          <w:ilvl w:val="0"/>
          <w:numId w:val="12"/>
        </w:numPr>
        <w:jc w:val="both"/>
        <w:rPr>
          <w:b/>
          <w:sz w:val="32"/>
        </w:rPr>
      </w:pPr>
      <w:r>
        <w:rPr>
          <w:b/>
          <w:sz w:val="32"/>
        </w:rPr>
        <w:t>« Международные расчеты  по коммерческим операциям»   1994 г.</w:t>
      </w:r>
    </w:p>
    <w:p w:rsidR="00B82893" w:rsidRDefault="00E4298B">
      <w:pPr>
        <w:pStyle w:val="10"/>
        <w:numPr>
          <w:ilvl w:val="0"/>
          <w:numId w:val="12"/>
        </w:numPr>
        <w:jc w:val="both"/>
        <w:rPr>
          <w:b/>
          <w:sz w:val="32"/>
        </w:rPr>
      </w:pPr>
      <w:r>
        <w:rPr>
          <w:b/>
          <w:sz w:val="32"/>
        </w:rPr>
        <w:t>«</w:t>
      </w:r>
      <w:r>
        <w:rPr>
          <w:b/>
          <w:sz w:val="32"/>
          <w:lang w:val="en-US"/>
        </w:rPr>
        <w:t>Trade Finance Payments and Services</w:t>
      </w:r>
      <w:r>
        <w:rPr>
          <w:b/>
          <w:sz w:val="32"/>
        </w:rPr>
        <w:t>» 1993 г.</w:t>
      </w:r>
    </w:p>
    <w:p w:rsidR="00B82893" w:rsidRDefault="00E4298B">
      <w:pPr>
        <w:pStyle w:val="10"/>
        <w:numPr>
          <w:ilvl w:val="0"/>
          <w:numId w:val="12"/>
        </w:numPr>
        <w:jc w:val="both"/>
        <w:rPr>
          <w:b/>
          <w:sz w:val="32"/>
        </w:rPr>
      </w:pPr>
      <w:r>
        <w:rPr>
          <w:b/>
          <w:sz w:val="32"/>
        </w:rPr>
        <w:t>«Финансовая Организация и Деятельность МВФ» 1994 г.</w:t>
      </w:r>
    </w:p>
    <w:p w:rsidR="00B82893" w:rsidRDefault="00E4298B">
      <w:pPr>
        <w:pStyle w:val="10"/>
        <w:numPr>
          <w:ilvl w:val="0"/>
          <w:numId w:val="12"/>
        </w:numPr>
        <w:jc w:val="both"/>
        <w:rPr>
          <w:b/>
          <w:sz w:val="32"/>
        </w:rPr>
      </w:pPr>
      <w:r>
        <w:rPr>
          <w:b/>
          <w:sz w:val="32"/>
        </w:rPr>
        <w:t>«Венская Конвенция о договорах международной купли-продажи товаров» 1994 г.</w:t>
      </w:r>
    </w:p>
    <w:p w:rsidR="00B82893" w:rsidRDefault="00E4298B">
      <w:pPr>
        <w:pStyle w:val="10"/>
        <w:numPr>
          <w:ilvl w:val="0"/>
          <w:numId w:val="12"/>
        </w:numPr>
        <w:jc w:val="both"/>
        <w:rPr>
          <w:b/>
          <w:sz w:val="32"/>
        </w:rPr>
      </w:pPr>
      <w:r>
        <w:rPr>
          <w:b/>
          <w:sz w:val="32"/>
        </w:rPr>
        <w:t>«Внешнеэкономическая деятельность предприятий»</w:t>
      </w:r>
      <w:r>
        <w:rPr>
          <w:b/>
          <w:sz w:val="32"/>
          <w:lang w:val="en-US"/>
        </w:rPr>
        <w:t xml:space="preserve"> Е.Г. Ищенко 1992 г.</w:t>
      </w:r>
    </w:p>
    <w:p w:rsidR="00B82893" w:rsidRDefault="00E4298B">
      <w:pPr>
        <w:pStyle w:val="10"/>
        <w:numPr>
          <w:ilvl w:val="0"/>
          <w:numId w:val="12"/>
        </w:numPr>
        <w:jc w:val="both"/>
        <w:rPr>
          <w:b/>
          <w:sz w:val="32"/>
        </w:rPr>
      </w:pPr>
      <w:r>
        <w:rPr>
          <w:b/>
          <w:sz w:val="32"/>
          <w:lang w:val="en-US"/>
        </w:rPr>
        <w:t>“ Принципы Политической Экономии “ А. Маршалл . 1983-1984 гг.</w:t>
      </w:r>
    </w:p>
    <w:p w:rsidR="00B82893" w:rsidRDefault="00E4298B">
      <w:pPr>
        <w:pStyle w:val="10"/>
        <w:numPr>
          <w:ilvl w:val="0"/>
          <w:numId w:val="12"/>
        </w:numPr>
        <w:jc w:val="both"/>
        <w:rPr>
          <w:b/>
          <w:sz w:val="32"/>
        </w:rPr>
      </w:pPr>
      <w:r>
        <w:rPr>
          <w:b/>
          <w:sz w:val="32"/>
          <w:lang w:val="en-US"/>
        </w:rPr>
        <w:t>Материалы семинара по выработке единой платежной системы между представителями ЦБ РФ и Министерством Финансов Белоруссии.  Август 2000 .</w:t>
      </w:r>
    </w:p>
    <w:p w:rsidR="00B82893" w:rsidRDefault="00E4298B">
      <w:pPr>
        <w:pStyle w:val="10"/>
        <w:numPr>
          <w:ilvl w:val="0"/>
          <w:numId w:val="12"/>
        </w:numPr>
        <w:jc w:val="both"/>
        <w:rPr>
          <w:b/>
          <w:sz w:val="32"/>
        </w:rPr>
      </w:pPr>
      <w:r>
        <w:rPr>
          <w:b/>
          <w:sz w:val="32"/>
          <w:lang w:val="en-US"/>
        </w:rPr>
        <w:t>“Russians Using Vodka as Cash</w:t>
      </w:r>
      <w:r>
        <w:rPr>
          <w:b/>
          <w:sz w:val="32"/>
        </w:rPr>
        <w:t xml:space="preserve">» </w:t>
      </w:r>
      <w:r>
        <w:rPr>
          <w:b/>
          <w:sz w:val="32"/>
          <w:lang w:val="en-US"/>
        </w:rPr>
        <w:t>Joseph Albright 1991</w:t>
      </w:r>
      <w:r>
        <w:rPr>
          <w:b/>
          <w:sz w:val="32"/>
        </w:rPr>
        <w:t>г.</w:t>
      </w:r>
      <w:r>
        <w:rPr>
          <w:b/>
          <w:sz w:val="32"/>
          <w:lang w:val="en-US"/>
        </w:rPr>
        <w:t xml:space="preserve"> </w:t>
      </w:r>
    </w:p>
    <w:p w:rsidR="00B82893" w:rsidRDefault="00E4298B">
      <w:pPr>
        <w:pStyle w:val="10"/>
        <w:numPr>
          <w:ilvl w:val="0"/>
          <w:numId w:val="12"/>
        </w:numPr>
        <w:jc w:val="both"/>
        <w:rPr>
          <w:b/>
          <w:sz w:val="32"/>
        </w:rPr>
      </w:pPr>
      <w:r>
        <w:rPr>
          <w:b/>
          <w:sz w:val="32"/>
          <w:lang w:val="en-US"/>
        </w:rPr>
        <w:t>“Деньги Кридит Банки” О.И. Лаврушин 1999 г.</w:t>
      </w:r>
    </w:p>
    <w:p w:rsidR="00B82893" w:rsidRDefault="00E4298B">
      <w:pPr>
        <w:pStyle w:val="10"/>
        <w:numPr>
          <w:ilvl w:val="0"/>
          <w:numId w:val="12"/>
        </w:numPr>
        <w:jc w:val="both"/>
        <w:rPr>
          <w:b/>
          <w:sz w:val="32"/>
        </w:rPr>
      </w:pPr>
      <w:r>
        <w:rPr>
          <w:b/>
          <w:sz w:val="32"/>
          <w:lang w:val="en-US"/>
        </w:rPr>
        <w:t>“Банки  на развивающихся Рынках” 1994 г.</w:t>
      </w:r>
    </w:p>
    <w:p w:rsidR="00B82893" w:rsidRDefault="00E4298B">
      <w:pPr>
        <w:pStyle w:val="10"/>
        <w:numPr>
          <w:ilvl w:val="0"/>
          <w:numId w:val="12"/>
        </w:numPr>
        <w:jc w:val="both"/>
        <w:rPr>
          <w:b/>
          <w:sz w:val="32"/>
        </w:rPr>
      </w:pPr>
      <w:r>
        <w:rPr>
          <w:b/>
          <w:sz w:val="32"/>
          <w:lang w:val="en-US"/>
        </w:rPr>
        <w:t>“ Международные стандарты Банковского надзора“  И.К Кокошина 1997 г.</w:t>
      </w:r>
    </w:p>
    <w:p w:rsidR="00B82893" w:rsidRDefault="00B82893">
      <w:pPr>
        <w:pStyle w:val="10"/>
        <w:jc w:val="both"/>
        <w:rPr>
          <w:b/>
          <w:sz w:val="32"/>
        </w:rPr>
      </w:pPr>
    </w:p>
    <w:p w:rsidR="00B82893" w:rsidRDefault="00B82893">
      <w:pPr>
        <w:pStyle w:val="10"/>
        <w:jc w:val="both"/>
        <w:rPr>
          <w:b/>
          <w:sz w:val="32"/>
          <w:vertAlign w:val="subscript"/>
        </w:rPr>
      </w:pPr>
    </w:p>
    <w:p w:rsidR="00B82893" w:rsidRDefault="00B82893">
      <w:pPr>
        <w:pStyle w:val="10"/>
        <w:jc w:val="both"/>
        <w:rPr>
          <w:sz w:val="32"/>
        </w:rPr>
      </w:pPr>
    </w:p>
    <w:p w:rsidR="00B82893" w:rsidRDefault="00B82893">
      <w:pPr>
        <w:pStyle w:val="10"/>
        <w:ind w:left="-426"/>
        <w:jc w:val="both"/>
        <w:rPr>
          <w:sz w:val="28"/>
        </w:rPr>
      </w:pPr>
      <w:bookmarkStart w:id="140" w:name="_GoBack"/>
      <w:bookmarkEnd w:id="140"/>
    </w:p>
    <w:sectPr w:rsidR="00B82893">
      <w:pgSz w:w="11906" w:h="16838"/>
      <w:pgMar w:top="1134" w:right="1800" w:bottom="42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A220EA3"/>
    <w:multiLevelType w:val="singleLevel"/>
    <w:tmpl w:val="702A62F6"/>
    <w:lvl w:ilvl="0">
      <w:start w:val="20"/>
      <w:numFmt w:val="decimal"/>
      <w:lvlText w:val="%1."/>
      <w:lvlJc w:val="left"/>
      <w:pPr>
        <w:tabs>
          <w:tab w:val="num" w:pos="765"/>
        </w:tabs>
        <w:ind w:left="765" w:hanging="765"/>
      </w:pPr>
      <w:rPr>
        <w:rFonts w:hint="default"/>
      </w:rPr>
    </w:lvl>
  </w:abstractNum>
  <w:abstractNum w:abstractNumId="2">
    <w:nsid w:val="4E1A0065"/>
    <w:multiLevelType w:val="multilevel"/>
    <w:tmpl w:val="A5EE0BA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737C3BC7"/>
    <w:multiLevelType w:val="multilevel"/>
    <w:tmpl w:val="FB1C20F0"/>
    <w:lvl w:ilvl="0">
      <w:start w:val="3"/>
      <w:numFmt w:val="decimal"/>
      <w:lvlText w:val="%1"/>
      <w:lvlJc w:val="left"/>
      <w:pPr>
        <w:tabs>
          <w:tab w:val="num" w:pos="360"/>
        </w:tabs>
        <w:ind w:left="360" w:hanging="360"/>
      </w:pPr>
      <w:rPr>
        <w:rFonts w:hint="default"/>
      </w:rPr>
    </w:lvl>
    <w:lvl w:ilvl="1">
      <w:start w:val="60"/>
      <w:numFmt w:val="decimal"/>
      <w:lvlText w:val="%1-%2"/>
      <w:lvlJc w:val="left"/>
      <w:pPr>
        <w:tabs>
          <w:tab w:val="num" w:pos="862"/>
        </w:tabs>
        <w:ind w:left="862"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0"/>
    <w:lvlOverride w:ilvl="0">
      <w:lvl w:ilvl="0">
        <w:numFmt w:val="bullet"/>
        <w:lvlText w:val=""/>
        <w:legacy w:legacy="1" w:legacySpace="0" w:legacyIndent="360"/>
        <w:lvlJc w:val="left"/>
        <w:pPr>
          <w:ind w:left="720" w:hanging="360"/>
        </w:pPr>
        <w:rPr>
          <w:rFonts w:ascii="Symbol" w:hAnsi="Symbol" w:hint="default"/>
        </w:rPr>
      </w:lvl>
    </w:lvlOverride>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98B"/>
    <w:rsid w:val="009E3F7C"/>
    <w:rsid w:val="00B82893"/>
    <w:rsid w:val="00E42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3F67055-BF1B-49CC-B414-C1FAE6D4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Markup">
    <w:name w:val="HTML Markup"/>
    <w:rPr>
      <w:vanish/>
      <w:color w:val="FF0000"/>
    </w:rPr>
  </w:style>
  <w:style w:type="paragraph" w:customStyle="1" w:styleId="10">
    <w:name w:val="Обычный1"/>
    <w:pPr>
      <w:widowControl w:val="0"/>
      <w:spacing w:before="100" w:after="100"/>
    </w:pPr>
    <w:rPr>
      <w:snapToGrid w:val="0"/>
      <w:color w:val="000000"/>
      <w:sz w:val="24"/>
    </w:rPr>
  </w:style>
  <w:style w:type="paragraph" w:customStyle="1" w:styleId="z-TopofForm">
    <w:name w:val="z-Top of Form"/>
    <w:next w:val="10"/>
    <w:hidden/>
    <w:pPr>
      <w:widowControl w:val="0"/>
      <w:pBdr>
        <w:bottom w:val="double" w:sz="2" w:space="0" w:color="000000"/>
      </w:pBdr>
      <w:jc w:val="center"/>
    </w:pPr>
    <w:rPr>
      <w:rFonts w:ascii="Arial" w:hAnsi="Arial"/>
      <w:snapToGrid w:val="0"/>
      <w:vanish/>
      <w:sz w:val="16"/>
    </w:rPr>
  </w:style>
  <w:style w:type="paragraph" w:customStyle="1" w:styleId="z-BottomofForm">
    <w:name w:val="z-Bottom of Form"/>
    <w:next w:val="10"/>
    <w:hidden/>
    <w:pPr>
      <w:widowControl w:val="0"/>
      <w:pBdr>
        <w:top w:val="double" w:sz="2" w:space="0" w:color="000000"/>
      </w:pBdr>
      <w:jc w:val="center"/>
    </w:pPr>
    <w:rPr>
      <w:rFonts w:ascii="Arial" w:hAnsi="Arial"/>
      <w:snapToGrid w:val="0"/>
      <w:vanish/>
      <w:sz w:val="16"/>
    </w:rPr>
  </w:style>
  <w:style w:type="paragraph" w:styleId="a3">
    <w:name w:val="Title"/>
    <w:basedOn w:val="a"/>
    <w:qFormat/>
    <w:pPr>
      <w:jc w:val="center"/>
    </w:pPr>
    <w:rPr>
      <w:sz w:val="32"/>
    </w:rPr>
  </w:style>
  <w:style w:type="paragraph" w:styleId="a4">
    <w:name w:val="Block Text"/>
    <w:basedOn w:val="a"/>
    <w:semiHidden/>
    <w:pPr>
      <w:ind w:left="-709" w:right="-766"/>
      <w:jc w:val="both"/>
    </w:pPr>
    <w:rPr>
      <w:sz w:val="28"/>
    </w:rPr>
  </w:style>
  <w:style w:type="character" w:customStyle="1" w:styleId="11">
    <w:name w:val="Гиперссылка1"/>
    <w:rPr>
      <w:color w:val="000080"/>
      <w:u w:val="single"/>
    </w:rPr>
  </w:style>
  <w:style w:type="paragraph" w:styleId="a5">
    <w:name w:val="Body Text"/>
    <w:basedOn w:val="a"/>
    <w:semiHidden/>
    <w:rPr>
      <w:b/>
      <w:snapToGrid w:val="0"/>
      <w:sz w:val="32"/>
    </w:rPr>
  </w:style>
  <w:style w:type="paragraph" w:styleId="2">
    <w:name w:val="Body Text 2"/>
    <w:basedOn w:val="a"/>
    <w:semiHidden/>
    <w:pPr>
      <w:jc w:val="both"/>
    </w:pPr>
    <w:rPr>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marill.ru/tdelo/russian/slov/r____b.htm" TargetMode="External"/><Relationship Id="rId13" Type="http://schemas.openxmlformats.org/officeDocument/2006/relationships/hyperlink" Target="http://www.silmarill.ru/tdelo/russian/slov/k____b.htm" TargetMode="External"/><Relationship Id="rId18" Type="http://schemas.openxmlformats.org/officeDocument/2006/relationships/hyperlink" Target="http://www.silmarill.ru/tdelo/russian/slov/v____b.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ilmarill.ru/tdelo/russian/slov/t____b.htm" TargetMode="External"/><Relationship Id="rId12" Type="http://schemas.openxmlformats.org/officeDocument/2006/relationships/hyperlink" Target="http://www.silmarill.ru/tdelo/russian/slov/k____b.htm" TargetMode="External"/><Relationship Id="rId17" Type="http://schemas.openxmlformats.org/officeDocument/2006/relationships/hyperlink" Target="http://www.silmarill.ru/tdelo/russian/slov/k____b.htm" TargetMode="External"/><Relationship Id="rId2" Type="http://schemas.openxmlformats.org/officeDocument/2006/relationships/styles" Target="styles.xml"/><Relationship Id="rId16" Type="http://schemas.openxmlformats.org/officeDocument/2006/relationships/hyperlink" Target="http://www.silmarill.ru/tdelo/russian/slov/b____b.htm" TargetMode="External"/><Relationship Id="rId20" Type="http://schemas.openxmlformats.org/officeDocument/2006/relationships/hyperlink" Target="http://www.edc.spb.ru/activities/conferences/40years/gotron.html" TargetMode="External"/><Relationship Id="rId1" Type="http://schemas.openxmlformats.org/officeDocument/2006/relationships/numbering" Target="numbering.xml"/><Relationship Id="rId6" Type="http://schemas.openxmlformats.org/officeDocument/2006/relationships/hyperlink" Target="http://www.silmarill.ru/tdelo/russian/slov/c____b.htm" TargetMode="External"/><Relationship Id="rId11" Type="http://schemas.openxmlformats.org/officeDocument/2006/relationships/hyperlink" Target="http://www.silmarill.ru/tdelo/russian/slov/v____b.htm" TargetMode="External"/><Relationship Id="rId5" Type="http://schemas.openxmlformats.org/officeDocument/2006/relationships/hyperlink" Target="http://www.silmarill.ru/tdelo/russian/slov/b____b.htm" TargetMode="External"/><Relationship Id="rId15" Type="http://schemas.openxmlformats.org/officeDocument/2006/relationships/hyperlink" Target="http://www.silmarill.ru/tdelo/russian/slov/s____b.htm" TargetMode="External"/><Relationship Id="rId10" Type="http://schemas.openxmlformats.org/officeDocument/2006/relationships/hyperlink" Target="http://www.silmarill.ru/tdelo/russian/slov/k____b.htm" TargetMode="External"/><Relationship Id="rId19" Type="http://schemas.openxmlformats.org/officeDocument/2006/relationships/hyperlink" Target="http://www.silmarill.ru/tdelo/russian/slov/r____b.htm" TargetMode="External"/><Relationship Id="rId4" Type="http://schemas.openxmlformats.org/officeDocument/2006/relationships/webSettings" Target="webSettings.xml"/><Relationship Id="rId9" Type="http://schemas.openxmlformats.org/officeDocument/2006/relationships/hyperlink" Target="http://www.silmarill.ru/tdelo/russian/slov/m____b.htm" TargetMode="External"/><Relationship Id="rId14" Type="http://schemas.openxmlformats.org/officeDocument/2006/relationships/hyperlink" Target="http://www.silmarill.ru/tdelo/russian/slov/m____b.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28870</Words>
  <Characters>164563</Characters>
  <Application>Microsoft Office Word</Application>
  <DocSecurity>0</DocSecurity>
  <Lines>1371</Lines>
  <Paragraphs>386</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1</Company>
  <LinksUpToDate>false</LinksUpToDate>
  <CharactersWithSpaces>193047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1</dc:creator>
  <cp:keywords/>
  <cp:lastModifiedBy>admin</cp:lastModifiedBy>
  <cp:revision>2</cp:revision>
  <cp:lastPrinted>2000-11-24T07:02:00Z</cp:lastPrinted>
  <dcterms:created xsi:type="dcterms:W3CDTF">2014-05-27T07:01:00Z</dcterms:created>
  <dcterms:modified xsi:type="dcterms:W3CDTF">2014-05-27T07:01:00Z</dcterms:modified>
</cp:coreProperties>
</file>