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57A" w:rsidRPr="00AA6872" w:rsidRDefault="0068357A" w:rsidP="00AA6872">
      <w:pPr>
        <w:spacing w:after="0" w:line="360" w:lineRule="auto"/>
        <w:ind w:firstLine="709"/>
        <w:jc w:val="center"/>
        <w:rPr>
          <w:rFonts w:ascii="Times New Roman" w:hAnsi="Times New Roman"/>
          <w:sz w:val="28"/>
          <w:lang w:val="uk-UA"/>
        </w:rPr>
      </w:pPr>
      <w:r w:rsidRPr="00AA6872">
        <w:rPr>
          <w:rFonts w:ascii="Times New Roman" w:hAnsi="Times New Roman"/>
          <w:sz w:val="28"/>
          <w:lang w:val="uk-UA"/>
        </w:rPr>
        <w:t>МІНІСТЕРСТВО ОСВІТИ І НАУКИ УКРАЇНИ</w:t>
      </w:r>
    </w:p>
    <w:p w:rsidR="0068357A" w:rsidRPr="00AA6872" w:rsidRDefault="0068357A" w:rsidP="00AA6872">
      <w:pPr>
        <w:spacing w:after="0" w:line="360" w:lineRule="auto"/>
        <w:ind w:firstLine="709"/>
        <w:jc w:val="center"/>
        <w:rPr>
          <w:rFonts w:ascii="Times New Roman" w:hAnsi="Times New Roman"/>
          <w:sz w:val="28"/>
          <w:lang w:val="uk-UA"/>
        </w:rPr>
      </w:pPr>
      <w:r w:rsidRPr="00AA6872">
        <w:rPr>
          <w:rFonts w:ascii="Times New Roman" w:hAnsi="Times New Roman"/>
          <w:sz w:val="28"/>
          <w:lang w:val="uk-UA"/>
        </w:rPr>
        <w:t>Державний вищий навчальний заклад</w:t>
      </w:r>
    </w:p>
    <w:p w:rsidR="0068357A" w:rsidRPr="00AA6872" w:rsidRDefault="0068357A" w:rsidP="00AA6872">
      <w:pPr>
        <w:spacing w:after="0" w:line="360" w:lineRule="auto"/>
        <w:ind w:firstLine="709"/>
        <w:jc w:val="center"/>
        <w:rPr>
          <w:rFonts w:ascii="Times New Roman" w:hAnsi="Times New Roman"/>
          <w:sz w:val="28"/>
          <w:lang w:val="uk-UA"/>
        </w:rPr>
      </w:pPr>
      <w:r w:rsidRPr="00AA6872">
        <w:rPr>
          <w:rFonts w:ascii="Times New Roman" w:hAnsi="Times New Roman"/>
          <w:sz w:val="28"/>
          <w:lang w:val="uk-UA"/>
        </w:rPr>
        <w:t xml:space="preserve">"КИЇВСЬКИЙ НАЦІОНАЛЬНИЙ ЕКОНОМІЧНИЙ УНІВЕРСИТЕТ </w:t>
      </w:r>
      <w:r w:rsidR="00AA6872" w:rsidRPr="00AA6872">
        <w:rPr>
          <w:rFonts w:ascii="Times New Roman" w:hAnsi="Times New Roman"/>
          <w:sz w:val="28"/>
          <w:lang w:val="uk-UA"/>
        </w:rPr>
        <w:t xml:space="preserve"> </w:t>
      </w:r>
      <w:r w:rsidRPr="00AA6872">
        <w:rPr>
          <w:rFonts w:ascii="Times New Roman" w:hAnsi="Times New Roman"/>
          <w:sz w:val="28"/>
          <w:lang w:val="uk-UA"/>
        </w:rPr>
        <w:t>імені ВАДИМА ГЕТЬМАНА"</w:t>
      </w:r>
    </w:p>
    <w:p w:rsidR="0068357A" w:rsidRPr="00AA6872" w:rsidRDefault="00F524A2" w:rsidP="00AA6872">
      <w:pPr>
        <w:spacing w:after="0" w:line="360" w:lineRule="auto"/>
        <w:ind w:firstLine="709"/>
        <w:jc w:val="center"/>
        <w:rPr>
          <w:rFonts w:ascii="Times New Roman" w:hAnsi="Times New Roman"/>
          <w:sz w:val="28"/>
          <w:lang w:val="uk-UA"/>
        </w:rPr>
      </w:pPr>
      <w:r>
        <w:rPr>
          <w:rFonts w:ascii="Times New Roman" w:hAnsi="Times New Roman"/>
          <w:sz w:val="28"/>
          <w:lang w:val="uk-UA"/>
        </w:rPr>
        <w:t>Кафедра фінансів</w:t>
      </w:r>
    </w:p>
    <w:p w:rsidR="0068357A" w:rsidRPr="00AA6872" w:rsidRDefault="0068357A" w:rsidP="00AA6872">
      <w:pPr>
        <w:spacing w:after="0" w:line="360" w:lineRule="auto"/>
        <w:ind w:firstLine="709"/>
        <w:jc w:val="center"/>
        <w:rPr>
          <w:rFonts w:ascii="Times New Roman" w:hAnsi="Times New Roman"/>
          <w:sz w:val="28"/>
          <w:lang w:val="uk-UA"/>
        </w:rPr>
      </w:pPr>
    </w:p>
    <w:p w:rsidR="0068357A" w:rsidRDefault="0068357A" w:rsidP="00AA6872">
      <w:pPr>
        <w:spacing w:after="0" w:line="360" w:lineRule="auto"/>
        <w:ind w:firstLine="709"/>
        <w:jc w:val="center"/>
        <w:rPr>
          <w:rFonts w:ascii="Times New Roman" w:hAnsi="Times New Roman"/>
          <w:sz w:val="28"/>
          <w:szCs w:val="56"/>
          <w:lang w:val="uk-UA"/>
        </w:rPr>
      </w:pPr>
    </w:p>
    <w:p w:rsidR="00AA6872" w:rsidRDefault="00AA6872" w:rsidP="00AA6872">
      <w:pPr>
        <w:spacing w:after="0" w:line="360" w:lineRule="auto"/>
        <w:ind w:firstLine="709"/>
        <w:jc w:val="center"/>
        <w:rPr>
          <w:rFonts w:ascii="Times New Roman" w:hAnsi="Times New Roman"/>
          <w:sz w:val="28"/>
          <w:szCs w:val="56"/>
          <w:lang w:val="uk-UA"/>
        </w:rPr>
      </w:pPr>
    </w:p>
    <w:p w:rsidR="00AA6872" w:rsidRDefault="00AA6872" w:rsidP="00AA6872">
      <w:pPr>
        <w:spacing w:after="0" w:line="360" w:lineRule="auto"/>
        <w:ind w:firstLine="709"/>
        <w:jc w:val="center"/>
        <w:rPr>
          <w:rFonts w:ascii="Times New Roman" w:hAnsi="Times New Roman"/>
          <w:sz w:val="28"/>
          <w:szCs w:val="56"/>
          <w:lang w:val="uk-UA"/>
        </w:rPr>
      </w:pPr>
    </w:p>
    <w:p w:rsidR="00AA6872" w:rsidRDefault="00AA6872" w:rsidP="00AA6872">
      <w:pPr>
        <w:spacing w:after="0" w:line="360" w:lineRule="auto"/>
        <w:ind w:firstLine="709"/>
        <w:jc w:val="center"/>
        <w:rPr>
          <w:rFonts w:ascii="Times New Roman" w:hAnsi="Times New Roman"/>
          <w:sz w:val="28"/>
          <w:szCs w:val="56"/>
          <w:lang w:val="uk-UA"/>
        </w:rPr>
      </w:pPr>
    </w:p>
    <w:p w:rsidR="00AA6872" w:rsidRDefault="00AA6872" w:rsidP="00AA6872">
      <w:pPr>
        <w:spacing w:after="0" w:line="360" w:lineRule="auto"/>
        <w:ind w:firstLine="709"/>
        <w:jc w:val="center"/>
        <w:rPr>
          <w:rFonts w:ascii="Times New Roman" w:hAnsi="Times New Roman"/>
          <w:sz w:val="28"/>
          <w:szCs w:val="56"/>
          <w:lang w:val="uk-UA"/>
        </w:rPr>
      </w:pPr>
    </w:p>
    <w:p w:rsidR="00AA6872" w:rsidRDefault="00AA6872" w:rsidP="00AA6872">
      <w:pPr>
        <w:spacing w:after="0" w:line="360" w:lineRule="auto"/>
        <w:ind w:firstLine="709"/>
        <w:jc w:val="center"/>
        <w:rPr>
          <w:rFonts w:ascii="Times New Roman" w:hAnsi="Times New Roman"/>
          <w:sz w:val="28"/>
          <w:szCs w:val="56"/>
          <w:lang w:val="uk-UA"/>
        </w:rPr>
      </w:pPr>
    </w:p>
    <w:p w:rsidR="00AA6872" w:rsidRDefault="00AA6872" w:rsidP="00AA6872">
      <w:pPr>
        <w:spacing w:after="0" w:line="360" w:lineRule="auto"/>
        <w:ind w:firstLine="709"/>
        <w:jc w:val="center"/>
        <w:rPr>
          <w:rFonts w:ascii="Times New Roman" w:hAnsi="Times New Roman"/>
          <w:sz w:val="28"/>
          <w:szCs w:val="56"/>
          <w:lang w:val="uk-UA"/>
        </w:rPr>
      </w:pPr>
    </w:p>
    <w:p w:rsidR="00AA6872" w:rsidRPr="00AA6872" w:rsidRDefault="00AA6872" w:rsidP="00AA6872">
      <w:pPr>
        <w:spacing w:after="0" w:line="360" w:lineRule="auto"/>
        <w:ind w:firstLine="709"/>
        <w:jc w:val="center"/>
        <w:rPr>
          <w:rFonts w:ascii="Times New Roman" w:hAnsi="Times New Roman"/>
          <w:sz w:val="28"/>
          <w:szCs w:val="56"/>
          <w:lang w:val="uk-UA"/>
        </w:rPr>
      </w:pPr>
    </w:p>
    <w:p w:rsidR="0068357A" w:rsidRPr="00AA6872" w:rsidRDefault="0068357A" w:rsidP="00AA6872">
      <w:pPr>
        <w:spacing w:after="0" w:line="360" w:lineRule="auto"/>
        <w:ind w:firstLine="709"/>
        <w:jc w:val="center"/>
        <w:rPr>
          <w:rFonts w:ascii="Times New Roman" w:hAnsi="Times New Roman"/>
          <w:sz w:val="28"/>
          <w:szCs w:val="56"/>
          <w:lang w:val="uk-UA"/>
        </w:rPr>
      </w:pPr>
      <w:r w:rsidRPr="00AA6872">
        <w:rPr>
          <w:rFonts w:ascii="Times New Roman" w:hAnsi="Times New Roman"/>
          <w:sz w:val="28"/>
          <w:szCs w:val="56"/>
          <w:lang w:val="uk-UA"/>
        </w:rPr>
        <w:t>Реферат</w:t>
      </w:r>
    </w:p>
    <w:p w:rsidR="0068357A" w:rsidRPr="00AA6872" w:rsidRDefault="00F524A2" w:rsidP="00AA6872">
      <w:pPr>
        <w:spacing w:after="0" w:line="360" w:lineRule="auto"/>
        <w:ind w:firstLine="709"/>
        <w:jc w:val="center"/>
        <w:rPr>
          <w:rFonts w:ascii="Times New Roman" w:hAnsi="Times New Roman"/>
          <w:sz w:val="28"/>
          <w:szCs w:val="44"/>
          <w:lang w:val="uk-UA"/>
        </w:rPr>
      </w:pPr>
      <w:r>
        <w:rPr>
          <w:rFonts w:ascii="Times New Roman" w:hAnsi="Times New Roman"/>
          <w:sz w:val="28"/>
          <w:szCs w:val="44"/>
          <w:lang w:val="uk-UA"/>
        </w:rPr>
        <w:t xml:space="preserve">на тему: Аналіз виконання </w:t>
      </w:r>
      <w:r w:rsidR="0068357A" w:rsidRPr="00AA6872">
        <w:rPr>
          <w:rFonts w:ascii="Times New Roman" w:hAnsi="Times New Roman"/>
          <w:sz w:val="28"/>
          <w:szCs w:val="44"/>
          <w:lang w:val="uk-UA"/>
        </w:rPr>
        <w:t>доходної частини бюджету м. Черкаси.</w:t>
      </w:r>
    </w:p>
    <w:p w:rsidR="0068357A" w:rsidRPr="00AA6872" w:rsidRDefault="0068357A"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AA6872" w:rsidRPr="00AA6872" w:rsidRDefault="00AA6872"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68357A" w:rsidRDefault="0068357A" w:rsidP="00AA6872">
      <w:pPr>
        <w:spacing w:after="0" w:line="360" w:lineRule="auto"/>
        <w:ind w:firstLine="709"/>
        <w:jc w:val="center"/>
        <w:rPr>
          <w:rFonts w:ascii="Times New Roman" w:hAnsi="Times New Roman"/>
          <w:sz w:val="28"/>
          <w:lang w:val="uk-UA"/>
        </w:rPr>
      </w:pPr>
    </w:p>
    <w:p w:rsidR="00AA6872" w:rsidRPr="00AA6872" w:rsidRDefault="00AA6872"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p>
    <w:p w:rsidR="0068357A" w:rsidRPr="00AA6872" w:rsidRDefault="0068357A" w:rsidP="00AA6872">
      <w:pPr>
        <w:spacing w:after="0" w:line="360" w:lineRule="auto"/>
        <w:ind w:firstLine="709"/>
        <w:jc w:val="center"/>
        <w:rPr>
          <w:rFonts w:ascii="Times New Roman" w:hAnsi="Times New Roman"/>
          <w:sz w:val="28"/>
          <w:lang w:val="uk-UA"/>
        </w:rPr>
      </w:pPr>
      <w:r w:rsidRPr="00AA6872">
        <w:rPr>
          <w:rFonts w:ascii="Times New Roman" w:hAnsi="Times New Roman"/>
          <w:sz w:val="28"/>
          <w:lang w:val="uk-UA"/>
        </w:rPr>
        <w:t>Київ</w:t>
      </w:r>
      <w:r w:rsidRPr="00AA6872">
        <w:rPr>
          <w:rFonts w:ascii="Times New Roman" w:hAnsi="Times New Roman"/>
          <w:sz w:val="28"/>
          <w:lang w:val="uk-UA"/>
        </w:rPr>
        <w:noBreakHyphen/>
        <w:t>2010</w:t>
      </w:r>
    </w:p>
    <w:p w:rsidR="0068357A" w:rsidRDefault="00AA6872" w:rsidP="00AA6872">
      <w:pPr>
        <w:spacing w:after="0" w:line="360" w:lineRule="auto"/>
        <w:ind w:firstLine="709"/>
        <w:contextualSpacing/>
        <w:jc w:val="both"/>
        <w:rPr>
          <w:rFonts w:ascii="Times New Roman" w:hAnsi="Times New Roman"/>
          <w:sz w:val="28"/>
          <w:szCs w:val="36"/>
          <w:lang w:val="uk-UA"/>
        </w:rPr>
      </w:pPr>
      <w:r>
        <w:rPr>
          <w:rFonts w:ascii="Times New Roman" w:hAnsi="Times New Roman"/>
          <w:sz w:val="28"/>
          <w:szCs w:val="36"/>
          <w:lang w:val="uk-UA"/>
        </w:rPr>
        <w:br w:type="page"/>
      </w:r>
      <w:r>
        <w:rPr>
          <w:rFonts w:ascii="Times New Roman" w:hAnsi="Times New Roman"/>
          <w:sz w:val="28"/>
          <w:szCs w:val="36"/>
          <w:lang w:val="uk-UA"/>
        </w:rPr>
        <w:lastRenderedPageBreak/>
        <w:t>План</w:t>
      </w:r>
    </w:p>
    <w:p w:rsidR="00AA6872" w:rsidRPr="00AA6872" w:rsidRDefault="00AA6872" w:rsidP="00AA6872">
      <w:pPr>
        <w:spacing w:after="0" w:line="360" w:lineRule="auto"/>
        <w:ind w:firstLine="709"/>
        <w:contextualSpacing/>
        <w:jc w:val="both"/>
        <w:rPr>
          <w:rFonts w:ascii="Times New Roman" w:hAnsi="Times New Roman"/>
          <w:sz w:val="28"/>
          <w:szCs w:val="36"/>
          <w:lang w:val="uk-UA"/>
        </w:rPr>
      </w:pPr>
    </w:p>
    <w:p w:rsidR="0068357A" w:rsidRPr="00AA6872" w:rsidRDefault="00AA6872" w:rsidP="00AA6872">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Вступ</w:t>
      </w:r>
    </w:p>
    <w:p w:rsidR="0068357A" w:rsidRPr="00AA6872" w:rsidRDefault="0068357A" w:rsidP="00AA6872">
      <w:pPr>
        <w:pStyle w:val="a3"/>
        <w:numPr>
          <w:ilvl w:val="0"/>
          <w:numId w:val="3"/>
        </w:numPr>
        <w:spacing w:after="0" w:line="360" w:lineRule="auto"/>
        <w:ind w:left="0" w:firstLine="0"/>
        <w:jc w:val="both"/>
        <w:rPr>
          <w:rFonts w:ascii="Times New Roman" w:hAnsi="Times New Roman"/>
          <w:sz w:val="28"/>
          <w:szCs w:val="28"/>
          <w:lang w:val="uk-UA"/>
        </w:rPr>
      </w:pPr>
      <w:r w:rsidRPr="00AA6872">
        <w:rPr>
          <w:rFonts w:ascii="Times New Roman" w:hAnsi="Times New Roman"/>
          <w:sz w:val="28"/>
          <w:szCs w:val="28"/>
          <w:lang w:val="uk-UA"/>
        </w:rPr>
        <w:t>Сутність та зна</w:t>
      </w:r>
      <w:r w:rsidR="00F524A2">
        <w:rPr>
          <w:rFonts w:ascii="Times New Roman" w:hAnsi="Times New Roman"/>
          <w:sz w:val="28"/>
          <w:szCs w:val="28"/>
          <w:lang w:val="uk-UA"/>
        </w:rPr>
        <w:t>чення доходів місцевих бюджетів</w:t>
      </w:r>
    </w:p>
    <w:p w:rsidR="0068357A" w:rsidRPr="00AA6872" w:rsidRDefault="0068357A" w:rsidP="00AA6872">
      <w:pPr>
        <w:pStyle w:val="a3"/>
        <w:numPr>
          <w:ilvl w:val="0"/>
          <w:numId w:val="3"/>
        </w:numPr>
        <w:spacing w:after="0" w:line="360" w:lineRule="auto"/>
        <w:ind w:left="0" w:firstLine="0"/>
        <w:jc w:val="both"/>
        <w:rPr>
          <w:rFonts w:ascii="Times New Roman" w:hAnsi="Times New Roman"/>
          <w:sz w:val="28"/>
          <w:szCs w:val="28"/>
          <w:lang w:val="uk-UA"/>
        </w:rPr>
      </w:pPr>
      <w:r w:rsidRPr="00AA6872">
        <w:rPr>
          <w:rFonts w:ascii="Times New Roman" w:hAnsi="Times New Roman"/>
          <w:sz w:val="28"/>
          <w:szCs w:val="28"/>
          <w:lang w:val="uk-UA"/>
        </w:rPr>
        <w:t>Аналіз та динаміка виконання дохо</w:t>
      </w:r>
      <w:r w:rsidR="00F524A2">
        <w:rPr>
          <w:rFonts w:ascii="Times New Roman" w:hAnsi="Times New Roman"/>
          <w:sz w:val="28"/>
          <w:szCs w:val="28"/>
          <w:lang w:val="uk-UA"/>
        </w:rPr>
        <w:t>дної частини бюджету м. Черкаси</w:t>
      </w:r>
    </w:p>
    <w:p w:rsidR="0068357A" w:rsidRPr="00AA6872" w:rsidRDefault="0068357A" w:rsidP="00AA6872">
      <w:pPr>
        <w:pStyle w:val="a3"/>
        <w:numPr>
          <w:ilvl w:val="0"/>
          <w:numId w:val="3"/>
        </w:numPr>
        <w:spacing w:after="0" w:line="360" w:lineRule="auto"/>
        <w:ind w:left="0" w:firstLine="0"/>
        <w:jc w:val="both"/>
        <w:rPr>
          <w:rFonts w:ascii="Times New Roman" w:hAnsi="Times New Roman"/>
          <w:sz w:val="28"/>
          <w:szCs w:val="28"/>
          <w:lang w:val="uk-UA"/>
        </w:rPr>
      </w:pPr>
      <w:r w:rsidRPr="00AA6872">
        <w:rPr>
          <w:rFonts w:ascii="Times New Roman" w:hAnsi="Times New Roman"/>
          <w:sz w:val="28"/>
          <w:szCs w:val="28"/>
          <w:lang w:val="uk-UA"/>
        </w:rPr>
        <w:t>Напрями вирішення проблем виконання доходної частини бюджету</w:t>
      </w:r>
      <w:r w:rsidR="00AA6872" w:rsidRPr="00AA6872">
        <w:rPr>
          <w:rFonts w:ascii="Times New Roman" w:hAnsi="Times New Roman"/>
          <w:sz w:val="28"/>
          <w:szCs w:val="28"/>
          <w:lang w:val="uk-UA"/>
        </w:rPr>
        <w:t xml:space="preserve"> </w:t>
      </w:r>
      <w:r w:rsidR="00F524A2">
        <w:rPr>
          <w:rFonts w:ascii="Times New Roman" w:hAnsi="Times New Roman"/>
          <w:sz w:val="28"/>
          <w:szCs w:val="28"/>
          <w:lang w:val="uk-UA"/>
        </w:rPr>
        <w:t>м. Черкаси</w:t>
      </w:r>
    </w:p>
    <w:p w:rsidR="0068357A" w:rsidRPr="00AA6872" w:rsidRDefault="00F524A2" w:rsidP="00AA6872">
      <w:pPr>
        <w:spacing w:after="0" w:line="360" w:lineRule="auto"/>
        <w:jc w:val="both"/>
        <w:rPr>
          <w:rFonts w:ascii="Times New Roman" w:hAnsi="Times New Roman"/>
          <w:sz w:val="28"/>
          <w:szCs w:val="28"/>
          <w:lang w:val="uk-UA"/>
        </w:rPr>
      </w:pPr>
      <w:r>
        <w:rPr>
          <w:rFonts w:ascii="Times New Roman" w:hAnsi="Times New Roman"/>
          <w:sz w:val="28"/>
          <w:szCs w:val="28"/>
          <w:lang w:val="uk-UA"/>
        </w:rPr>
        <w:t>Висновки</w:t>
      </w:r>
    </w:p>
    <w:p w:rsidR="0068357A" w:rsidRPr="00AA6872" w:rsidRDefault="00F524A2" w:rsidP="00AA6872">
      <w:pPr>
        <w:spacing w:after="0" w:line="360" w:lineRule="auto"/>
        <w:jc w:val="both"/>
        <w:rPr>
          <w:rFonts w:ascii="Times New Roman" w:hAnsi="Times New Roman"/>
          <w:sz w:val="28"/>
          <w:szCs w:val="28"/>
          <w:lang w:val="uk-UA"/>
        </w:rPr>
      </w:pPr>
      <w:r>
        <w:rPr>
          <w:rFonts w:ascii="Times New Roman" w:hAnsi="Times New Roman"/>
          <w:sz w:val="28"/>
          <w:szCs w:val="28"/>
          <w:lang w:val="uk-UA"/>
        </w:rPr>
        <w:t>Список літератури</w:t>
      </w:r>
    </w:p>
    <w:p w:rsidR="0068357A" w:rsidRPr="00AA6872" w:rsidRDefault="0068357A" w:rsidP="00AA6872">
      <w:pPr>
        <w:spacing w:after="0" w:line="360" w:lineRule="auto"/>
        <w:ind w:firstLine="709"/>
        <w:jc w:val="both"/>
        <w:rPr>
          <w:rFonts w:ascii="Times New Roman" w:hAnsi="Times New Roman"/>
          <w:sz w:val="28"/>
          <w:szCs w:val="28"/>
          <w:lang w:val="uk-UA"/>
        </w:rPr>
      </w:pPr>
    </w:p>
    <w:p w:rsidR="0068357A" w:rsidRDefault="00AA6872" w:rsidP="00AA6872">
      <w:pPr>
        <w:spacing w:after="0" w:line="360" w:lineRule="auto"/>
        <w:ind w:firstLine="709"/>
        <w:jc w:val="both"/>
        <w:rPr>
          <w:rFonts w:ascii="Times New Roman" w:hAnsi="Times New Roman"/>
          <w:sz w:val="28"/>
          <w:szCs w:val="32"/>
          <w:lang w:val="uk-UA"/>
        </w:rPr>
      </w:pPr>
      <w:r>
        <w:rPr>
          <w:rFonts w:ascii="Times New Roman" w:hAnsi="Times New Roman"/>
          <w:sz w:val="28"/>
          <w:szCs w:val="32"/>
          <w:lang w:val="uk-UA"/>
        </w:rPr>
        <w:br w:type="page"/>
        <w:t>Вступ</w:t>
      </w:r>
    </w:p>
    <w:p w:rsidR="00AA6872" w:rsidRPr="00AA6872" w:rsidRDefault="00AA6872" w:rsidP="00AA6872">
      <w:pPr>
        <w:spacing w:after="0" w:line="360" w:lineRule="auto"/>
        <w:ind w:firstLine="709"/>
        <w:jc w:val="both"/>
        <w:rPr>
          <w:rFonts w:ascii="Times New Roman" w:hAnsi="Times New Roman"/>
          <w:sz w:val="28"/>
          <w:szCs w:val="32"/>
          <w:lang w:val="uk-UA"/>
        </w:rPr>
      </w:pPr>
    </w:p>
    <w:p w:rsidR="0068357A" w:rsidRPr="00AA6872" w:rsidRDefault="0068357A" w:rsidP="00AA6872">
      <w:pPr>
        <w:spacing w:after="0" w:line="360" w:lineRule="auto"/>
        <w:ind w:firstLine="709"/>
        <w:contextualSpacing/>
        <w:jc w:val="both"/>
        <w:rPr>
          <w:rFonts w:ascii="Times New Roman" w:hAnsi="Times New Roman"/>
          <w:sz w:val="28"/>
          <w:szCs w:val="32"/>
          <w:lang w:val="uk-UA"/>
        </w:rPr>
      </w:pPr>
      <w:r w:rsidRPr="00AA6872">
        <w:rPr>
          <w:rFonts w:ascii="Times New Roman" w:hAnsi="Times New Roman"/>
          <w:sz w:val="28"/>
          <w:szCs w:val="32"/>
          <w:lang w:val="uk-UA"/>
        </w:rPr>
        <w:t>Питання оптимізації формування доходів місцевих бюджетів та виявлення резервів їх зростання набувають особливої актуальності в умовах ринкових трансформацій українського суспільства. Діюча система акумулювання доходів бюджетів України характеризується низьким рівнем частки власних доходів місцевих бюджетів, що відображається нарощуванням обсягів міжбюджетних трансфертів. Реальні фінансові можливості місцевих органів влади значно обмежуються, що, у свою чергу, є гальмівним фактором демократичних перетворень у державі. У зв’язку з цим постає нагальна потреба у поглибленому дослідженні концептуальних засад доходів місцевих бюджетів та обґрунтуванні системи практичних рекомендацій щодо їх стабільності та зміцнення. Ґрунтовнішого наукового осмислення та практичного вирішення потребують питання власних доходів місцевих бюджетів з позицій організаційно-структурних аспектів з метою забезпечення повноважень органів місцевого самоврядування вагомими джерелами фінансування.</w:t>
      </w:r>
    </w:p>
    <w:p w:rsidR="0068357A" w:rsidRDefault="0068357A" w:rsidP="00AA6872">
      <w:pPr>
        <w:spacing w:after="0" w:line="360" w:lineRule="auto"/>
        <w:ind w:firstLine="709"/>
        <w:contextualSpacing/>
        <w:jc w:val="both"/>
        <w:rPr>
          <w:rFonts w:ascii="Times New Roman" w:hAnsi="Times New Roman"/>
          <w:sz w:val="28"/>
          <w:szCs w:val="32"/>
          <w:lang w:val="uk-UA"/>
        </w:rPr>
      </w:pPr>
      <w:r w:rsidRPr="00AA6872">
        <w:rPr>
          <w:rFonts w:ascii="Times New Roman" w:hAnsi="Times New Roman"/>
          <w:sz w:val="28"/>
          <w:szCs w:val="32"/>
          <w:lang w:val="uk-UA"/>
        </w:rPr>
        <w:t>У своєму рефераті я хочу дослідити виконання дохідної частини свого обласного центру – міста Черкаси, а також виявити проблеми та перспективи формування доходів даного бюджету.</w:t>
      </w:r>
    </w:p>
    <w:p w:rsidR="00884727" w:rsidRPr="00632ED8" w:rsidRDefault="00F524A2" w:rsidP="00884727">
      <w:pPr>
        <w:pStyle w:val="a3"/>
        <w:spacing w:after="0" w:line="240" w:lineRule="auto"/>
        <w:ind w:left="0" w:firstLine="720"/>
        <w:jc w:val="both"/>
        <w:rPr>
          <w:rFonts w:ascii="Times New Roman" w:hAnsi="Times New Roman"/>
          <w:color w:val="FFFFFF"/>
          <w:sz w:val="28"/>
          <w:szCs w:val="28"/>
          <w:lang w:val="uk-UA"/>
        </w:rPr>
      </w:pPr>
      <w:r w:rsidRPr="00632ED8">
        <w:rPr>
          <w:rFonts w:ascii="Times New Roman" w:hAnsi="Times New Roman"/>
          <w:color w:val="FFFFFF"/>
          <w:sz w:val="28"/>
          <w:szCs w:val="28"/>
          <w:lang w:val="uk-UA"/>
        </w:rPr>
        <w:t>дохі</w:t>
      </w:r>
      <w:r w:rsidR="00884727" w:rsidRPr="00632ED8">
        <w:rPr>
          <w:rFonts w:ascii="Times New Roman" w:hAnsi="Times New Roman"/>
          <w:color w:val="FFFFFF"/>
          <w:sz w:val="28"/>
          <w:szCs w:val="28"/>
          <w:lang w:val="uk-UA"/>
        </w:rPr>
        <w:t>д місцевий бюджет черкаси</w:t>
      </w:r>
    </w:p>
    <w:p w:rsidR="00AA6872" w:rsidRPr="00AA6872" w:rsidRDefault="00AA6872" w:rsidP="00AA6872">
      <w:pPr>
        <w:spacing w:after="0" w:line="360" w:lineRule="auto"/>
        <w:ind w:firstLine="709"/>
        <w:contextualSpacing/>
        <w:jc w:val="both"/>
        <w:rPr>
          <w:rFonts w:ascii="Times New Roman" w:hAnsi="Times New Roman"/>
          <w:sz w:val="28"/>
          <w:szCs w:val="32"/>
          <w:lang w:val="uk-UA"/>
        </w:rPr>
      </w:pPr>
    </w:p>
    <w:p w:rsidR="00AA6872" w:rsidRPr="00AA6872" w:rsidRDefault="0068357A" w:rsidP="00AA6872">
      <w:pPr>
        <w:pStyle w:val="a3"/>
        <w:numPr>
          <w:ilvl w:val="0"/>
          <w:numId w:val="5"/>
        </w:numPr>
        <w:spacing w:after="0" w:line="360" w:lineRule="auto"/>
        <w:ind w:left="0" w:firstLine="709"/>
        <w:jc w:val="both"/>
        <w:rPr>
          <w:rFonts w:ascii="Times New Roman" w:hAnsi="Times New Roman"/>
          <w:sz w:val="28"/>
          <w:szCs w:val="32"/>
          <w:lang w:val="uk-UA"/>
        </w:rPr>
      </w:pPr>
      <w:r w:rsidRPr="00AA6872">
        <w:rPr>
          <w:rFonts w:ascii="Times New Roman" w:hAnsi="Times New Roman"/>
          <w:sz w:val="28"/>
          <w:szCs w:val="32"/>
          <w:lang w:val="uk-UA"/>
        </w:rPr>
        <w:br w:type="page"/>
      </w:r>
      <w:r w:rsidR="00AA6872" w:rsidRPr="00AA6872">
        <w:rPr>
          <w:rFonts w:ascii="Times New Roman" w:hAnsi="Times New Roman"/>
          <w:sz w:val="28"/>
          <w:szCs w:val="32"/>
          <w:lang w:val="uk-UA"/>
        </w:rPr>
        <w:t>Сутність та значення дох</w:t>
      </w:r>
      <w:r w:rsidR="00AA6872">
        <w:rPr>
          <w:rFonts w:ascii="Times New Roman" w:hAnsi="Times New Roman"/>
          <w:sz w:val="28"/>
          <w:szCs w:val="32"/>
          <w:lang w:val="uk-UA"/>
        </w:rPr>
        <w:t>одної частини місцевих бюджетів</w:t>
      </w:r>
    </w:p>
    <w:p w:rsidR="0068357A" w:rsidRPr="00AA6872" w:rsidRDefault="0068357A" w:rsidP="00AA6872">
      <w:pPr>
        <w:spacing w:after="0" w:line="360" w:lineRule="auto"/>
        <w:ind w:firstLine="709"/>
        <w:jc w:val="both"/>
        <w:rPr>
          <w:rFonts w:ascii="Times New Roman" w:hAnsi="Times New Roman"/>
          <w:sz w:val="28"/>
          <w:szCs w:val="32"/>
          <w:lang w:val="uk-UA"/>
        </w:rPr>
      </w:pP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Як окрема економічна категорія, доходи місцевих бюджетів виражають сферу економічних відносин суспільства, яка пов'язана з формуванням, розподілом та використанням фінансових ресурсів регіонального рівня і використовується місцевими органами влади для забезпечення поточних і перспективних завдань розвитку регіону.</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Доходи місцевих бюджетів мають відповідну законодавчу базу — Конституція України, Бюджетний кодекс, Закони України "Про податкову систему України", "Про місцеве самоврядування в Україні" та інші нормативні акти.</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У Законі "Про місцеве самоврядування в Україні" передбачено, що доходи місцевих бюджетів формуються за рахунок власних, визначених законом джерел та закріплених у встановленому законом порядку загальнодержавних податків, зборів та інших обов'язкових платежів. Доходи місцевих бюджетів районних рад у містах (у разі їх створення) формуються відповідно до обсягу повноважень, що визначаються відповідними міськими радами. У дохідній частині місцевого бюджету починаючи з 1998 р.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органів виконавчої влади.</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Починаючи з 2000 р. доходи включають загальний фонд і спеціальний фонд. Сьогодні на формування місцевих бюджетів існує два погляди. Прихильники одного з них вважають, що місцеві бюджети мають формуватися "знизу", тобто, забезпечивши потреби конкретної адміністративно-територіальної одиниці, надлишок коштів передавати до вищих бюджетів. Прихильники іншої точки зору — навпаки, стверджують, що потрібно насамперед забезпечити загальнодержавні потреби, тобто місцевим бюджетам залишати тільки забезпечення мінімальних потреб, і в разі наявності коштів — розподіляти їх між усіма відповідними адміністративно-територіальними одиницями.</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Для досягнення оптимальної забезпеченості загальнодержавного та місцевих бюджетів та пропорційності між ними мають бути дотримані такі умови:</w:t>
      </w:r>
    </w:p>
    <w:p w:rsidR="0068357A" w:rsidRPr="00AA6872" w:rsidRDefault="0068357A" w:rsidP="00AA6872">
      <w:pPr>
        <w:pStyle w:val="a3"/>
        <w:numPr>
          <w:ilvl w:val="0"/>
          <w:numId w:val="6"/>
        </w:numPr>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Єдність бюджету та державного плану економічного і соціального розвитку.</w:t>
      </w:r>
    </w:p>
    <w:p w:rsidR="0068357A" w:rsidRPr="00AA6872" w:rsidRDefault="0068357A" w:rsidP="00AA6872">
      <w:pPr>
        <w:pStyle w:val="a3"/>
        <w:numPr>
          <w:ilvl w:val="0"/>
          <w:numId w:val="6"/>
        </w:numPr>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Забезпечення кожного бюджету стійкими доходами, які тісно пов'язані з економічною, соціальною і екологічною ситуацією регіону.</w:t>
      </w:r>
    </w:p>
    <w:p w:rsidR="0068357A" w:rsidRPr="00AA6872" w:rsidRDefault="0068357A" w:rsidP="00AA6872">
      <w:pPr>
        <w:pStyle w:val="a3"/>
        <w:numPr>
          <w:ilvl w:val="0"/>
          <w:numId w:val="6"/>
        </w:numPr>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Збалансованість кожного бюджету незалежно від обсягів закріплених за ним дохідних джерел.</w:t>
      </w:r>
    </w:p>
    <w:p w:rsidR="0068357A" w:rsidRPr="00AA6872" w:rsidRDefault="0068357A" w:rsidP="00AA6872">
      <w:pPr>
        <w:pStyle w:val="a3"/>
        <w:numPr>
          <w:ilvl w:val="0"/>
          <w:numId w:val="6"/>
        </w:numPr>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Заінтересованість державних і місцевих органів влади в успішному виконанні планів загальнодержавних доходів (податкових і неподаткових) на території конкретного регіону.</w:t>
      </w:r>
    </w:p>
    <w:p w:rsidR="0068357A" w:rsidRPr="00AA6872" w:rsidRDefault="0068357A" w:rsidP="00AA6872">
      <w:pPr>
        <w:pStyle w:val="a3"/>
        <w:numPr>
          <w:ilvl w:val="0"/>
          <w:numId w:val="6"/>
        </w:numPr>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Забезпечення рівномірності надходжень коштів і усунення будь-яких затримок через неспівпадання термінів здійснення видатків і отримання доходів.</w:t>
      </w:r>
    </w:p>
    <w:p w:rsidR="0068357A" w:rsidRPr="00AA6872" w:rsidRDefault="0068357A" w:rsidP="00AA6872">
      <w:pPr>
        <w:pStyle w:val="1"/>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Дохідну базу місцевих бюджетів можна розподілити так:</w:t>
      </w:r>
    </w:p>
    <w:p w:rsidR="0068357A" w:rsidRPr="00AA6872" w:rsidRDefault="0068357A" w:rsidP="00AA6872">
      <w:pPr>
        <w:pStyle w:val="1"/>
        <w:numPr>
          <w:ilvl w:val="0"/>
          <w:numId w:val="7"/>
        </w:numPr>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відповідно до соціально-економічного характеру;</w:t>
      </w:r>
    </w:p>
    <w:p w:rsidR="0068357A" w:rsidRPr="00AA6872" w:rsidRDefault="0068357A" w:rsidP="00AA6872">
      <w:pPr>
        <w:pStyle w:val="1"/>
        <w:numPr>
          <w:ilvl w:val="0"/>
          <w:numId w:val="7"/>
        </w:numPr>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відповідно до джерел утворення та форм використання коштів;</w:t>
      </w:r>
    </w:p>
    <w:p w:rsidR="0068357A" w:rsidRPr="00AA6872" w:rsidRDefault="0068357A" w:rsidP="00AA6872">
      <w:pPr>
        <w:pStyle w:val="1"/>
        <w:numPr>
          <w:ilvl w:val="0"/>
          <w:numId w:val="7"/>
        </w:numPr>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за методами вилучення коштів.</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За соціально-економічним характером доходи місцевих бюджетів поділяються на такі групи:</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 доходи від підприємств та організацій, що перебувають у державній власності;</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 доходи від підприємств та організацій, що перебувають у приватній власності;</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 доходи від підприємств та організацій, що перебувають у комунальній власності;</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кошти, що надходять від населення;</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 доходи від надання послуг органами місцевого самоврядування (прибирання території, вивезення сміття, паркування автотранспорту тощо);</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 доходи від комунального майна (орендна плата, надання права на полювання, рибальство, плата за торгові місця на ринках, частина прибутку комунальних підприємств, кошти від приватизації комунального майна).</w:t>
      </w:r>
    </w:p>
    <w:p w:rsidR="0068357A" w:rsidRPr="00AA6872" w:rsidRDefault="0068357A" w:rsidP="00AA6872">
      <w:pPr>
        <w:pStyle w:val="1"/>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Відповідно до діючого бюджетного законодавства доходи бюджету – це усі податкові, неподаткові та інші надходження на безповоротній основі, справляння яких передбачено податковим законодавством України (включаючи трансферти, дарунки та гранти). Чинне законодавство класифікує доходи бюджетів за такими розділами:</w:t>
      </w:r>
    </w:p>
    <w:p w:rsidR="0068357A" w:rsidRPr="00AA6872" w:rsidRDefault="0068357A" w:rsidP="00AA6872">
      <w:pPr>
        <w:pStyle w:val="1"/>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 податкові надходження;</w:t>
      </w:r>
    </w:p>
    <w:p w:rsidR="0068357A" w:rsidRPr="00AA6872" w:rsidRDefault="0068357A" w:rsidP="00AA6872">
      <w:pPr>
        <w:pStyle w:val="1"/>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 неподаткові надходження;</w:t>
      </w:r>
    </w:p>
    <w:p w:rsidR="0068357A" w:rsidRPr="00AA6872" w:rsidRDefault="0068357A" w:rsidP="00AA6872">
      <w:pPr>
        <w:pStyle w:val="1"/>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 доходи від операцій з капіталом;</w:t>
      </w:r>
    </w:p>
    <w:p w:rsidR="0068357A" w:rsidRPr="00AA6872" w:rsidRDefault="0068357A" w:rsidP="00AA6872">
      <w:pPr>
        <w:pStyle w:val="1"/>
        <w:tabs>
          <w:tab w:val="left" w:pos="720"/>
          <w:tab w:val="left" w:pos="900"/>
        </w:tabs>
        <w:spacing w:line="360" w:lineRule="auto"/>
        <w:ind w:left="0" w:firstLine="709"/>
        <w:contextualSpacing/>
        <w:rPr>
          <w:color w:val="000000"/>
          <w:sz w:val="28"/>
          <w:szCs w:val="28"/>
          <w:lang w:val="uk-UA"/>
        </w:rPr>
      </w:pPr>
      <w:r w:rsidRPr="00AA6872">
        <w:rPr>
          <w:color w:val="000000"/>
          <w:sz w:val="28"/>
          <w:szCs w:val="28"/>
          <w:lang w:val="uk-UA"/>
        </w:rPr>
        <w:t>- бюджетні трансферти.</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r w:rsidRPr="00AA6872">
        <w:rPr>
          <w:sz w:val="28"/>
          <w:szCs w:val="28"/>
          <w:lang w:val="uk-UA"/>
        </w:rPr>
        <w:t xml:space="preserve">Доходи можуть бути визнані такими, що надійшли до бюджету лише після їх зарахування до відповідного бюджету. Податкові доходи вважаються сплаченими доходами відповідного бюджету з моменту, визначеного в податковому законодавстві України; неподаткові доходи вважаються сплаченими з моменту списання коштів з рахунку платника в кредитній установі (як правило, це банк). Неподаткові доходи місцевих бюджетів формуються також за рахунок доходів від використання та продажу майна, яке знаходиться в комунальній власності, від фінансової допомоги та безповоротних відрахувань, штрафів та інших сум примусового стягнення, а також частини прибутку комунальних підприємств. </w:t>
      </w:r>
    </w:p>
    <w:p w:rsidR="0068357A" w:rsidRPr="00AA6872" w:rsidRDefault="0068357A" w:rsidP="00AA6872">
      <w:pPr>
        <w:pStyle w:val="1"/>
        <w:tabs>
          <w:tab w:val="left" w:pos="720"/>
          <w:tab w:val="left" w:pos="900"/>
        </w:tabs>
        <w:spacing w:line="360" w:lineRule="auto"/>
        <w:ind w:left="0" w:firstLine="709"/>
        <w:contextualSpacing/>
        <w:rPr>
          <w:sz w:val="28"/>
          <w:szCs w:val="28"/>
          <w:lang w:val="uk-UA"/>
        </w:rPr>
      </w:pPr>
    </w:p>
    <w:p w:rsidR="0068357A" w:rsidRPr="00AA6872" w:rsidRDefault="0068357A" w:rsidP="00AA6872">
      <w:pPr>
        <w:pStyle w:val="a3"/>
        <w:numPr>
          <w:ilvl w:val="0"/>
          <w:numId w:val="5"/>
        </w:numPr>
        <w:spacing w:after="0" w:line="360" w:lineRule="auto"/>
        <w:ind w:left="0" w:firstLine="709"/>
        <w:jc w:val="both"/>
        <w:rPr>
          <w:rFonts w:ascii="Times New Roman" w:hAnsi="Times New Roman"/>
          <w:sz w:val="28"/>
          <w:szCs w:val="32"/>
          <w:lang w:val="uk-UA"/>
        </w:rPr>
      </w:pPr>
      <w:r w:rsidRPr="00AA6872">
        <w:rPr>
          <w:rFonts w:ascii="Times New Roman" w:hAnsi="Times New Roman"/>
          <w:sz w:val="28"/>
          <w:szCs w:val="32"/>
          <w:lang w:val="uk-UA"/>
        </w:rPr>
        <w:t>Аналіз виконання дохо</w:t>
      </w:r>
      <w:r w:rsidR="00AA6872">
        <w:rPr>
          <w:rFonts w:ascii="Times New Roman" w:hAnsi="Times New Roman"/>
          <w:sz w:val="28"/>
          <w:szCs w:val="32"/>
          <w:lang w:val="uk-UA"/>
        </w:rPr>
        <w:t>дної частини бюджету м. Черкаси</w:t>
      </w:r>
    </w:p>
    <w:p w:rsidR="00AA6872" w:rsidRDefault="00AA6872" w:rsidP="00AA6872">
      <w:pPr>
        <w:pStyle w:val="a4"/>
        <w:spacing w:line="360" w:lineRule="auto"/>
        <w:ind w:right="0" w:firstLine="709"/>
        <w:contextualSpacing/>
        <w:rPr>
          <w:szCs w:val="28"/>
          <w:u w:val="single"/>
        </w:rPr>
      </w:pPr>
    </w:p>
    <w:p w:rsidR="0068357A" w:rsidRDefault="0068357A" w:rsidP="00AA6872">
      <w:pPr>
        <w:pStyle w:val="a4"/>
        <w:spacing w:line="360" w:lineRule="auto"/>
        <w:ind w:right="0" w:firstLine="709"/>
        <w:contextualSpacing/>
        <w:rPr>
          <w:szCs w:val="28"/>
        </w:rPr>
      </w:pPr>
      <w:r w:rsidRPr="00AA6872">
        <w:rPr>
          <w:szCs w:val="28"/>
          <w:u w:val="single"/>
        </w:rPr>
        <w:t>За 2008 рік</w:t>
      </w:r>
      <w:r w:rsidRPr="00AA6872">
        <w:rPr>
          <w:szCs w:val="28"/>
        </w:rPr>
        <w:t xml:space="preserve"> до загального фонду міського бюджету надійшло (без офіційних трансфертів) 363285,4 тис.грн. власних та закріплених доходів, що становить 97,4 відс. до уточненого річного завдання.</w:t>
      </w:r>
    </w:p>
    <w:p w:rsidR="0068357A" w:rsidRPr="00AA6872" w:rsidRDefault="00B54B88" w:rsidP="00AA6872">
      <w:pPr>
        <w:pStyle w:val="a3"/>
        <w:widowControl w:val="0"/>
        <w:spacing w:after="0" w:line="360" w:lineRule="auto"/>
        <w:ind w:left="0" w:firstLine="709"/>
        <w:jc w:val="both"/>
        <w:rPr>
          <w:rFonts w:ascii="Times New Roman" w:eastAsia="MS Mincho" w:hAnsi="Times New Roman"/>
          <w:bCs/>
          <w:sz w:val="28"/>
          <w:szCs w:val="28"/>
          <w:lang w:val="uk-UA"/>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8.65pt;margin-top:6.35pt;width:337.9pt;height:189.6pt;z-index:251657216;visibility:visible;mso-wrap-distance-left:51.72pt;mso-wrap-distance-top:3.84pt;mso-wrap-distance-right:42.41pt;mso-wrap-distance-bottom:22.01pt">
            <v:imagedata r:id="rId7" o:title=""/>
            <w10:wrap type="square"/>
          </v:shape>
          <o:OLEObject Type="Embed" ProgID="Excel.Sheet.8" ShapeID="_x0000_s1026" DrawAspect="Content" ObjectID="_1457325878" r:id="rId8"/>
        </w:object>
      </w:r>
    </w:p>
    <w:p w:rsidR="0068357A" w:rsidRPr="00AA6872" w:rsidRDefault="0068357A" w:rsidP="00AA6872">
      <w:pPr>
        <w:pStyle w:val="a4"/>
        <w:spacing w:line="360" w:lineRule="auto"/>
        <w:ind w:right="0" w:firstLine="709"/>
        <w:contextualSpacing/>
        <w:rPr>
          <w:szCs w:val="28"/>
        </w:rPr>
      </w:pPr>
      <w:r w:rsidRPr="00AA6872">
        <w:rPr>
          <w:szCs w:val="28"/>
        </w:rPr>
        <w:t>В</w:t>
      </w:r>
    </w:p>
    <w:p w:rsidR="0068357A" w:rsidRPr="00AA6872" w:rsidRDefault="0068357A" w:rsidP="00AA6872">
      <w:pPr>
        <w:pStyle w:val="a4"/>
        <w:spacing w:line="360" w:lineRule="auto"/>
        <w:ind w:right="0" w:firstLine="709"/>
        <w:contextualSpacing/>
        <w:rPr>
          <w:szCs w:val="28"/>
        </w:rPr>
      </w:pPr>
    </w:p>
    <w:p w:rsidR="0068357A" w:rsidRPr="00AA6872" w:rsidRDefault="0068357A" w:rsidP="00AA6872">
      <w:pPr>
        <w:pStyle w:val="a4"/>
        <w:spacing w:line="360" w:lineRule="auto"/>
        <w:ind w:right="0" w:firstLine="709"/>
        <w:contextualSpacing/>
        <w:rPr>
          <w:szCs w:val="28"/>
        </w:rPr>
      </w:pPr>
    </w:p>
    <w:p w:rsidR="0068357A" w:rsidRPr="00AA6872" w:rsidRDefault="0068357A" w:rsidP="00AA6872">
      <w:pPr>
        <w:pStyle w:val="a4"/>
        <w:spacing w:line="360" w:lineRule="auto"/>
        <w:ind w:right="0" w:firstLine="709"/>
        <w:contextualSpacing/>
        <w:rPr>
          <w:szCs w:val="28"/>
        </w:rPr>
      </w:pPr>
    </w:p>
    <w:p w:rsidR="0068357A" w:rsidRPr="00AA6872" w:rsidRDefault="0068357A" w:rsidP="00AA6872">
      <w:pPr>
        <w:pStyle w:val="a4"/>
        <w:spacing w:line="360" w:lineRule="auto"/>
        <w:ind w:right="0" w:firstLine="709"/>
        <w:contextualSpacing/>
        <w:rPr>
          <w:szCs w:val="28"/>
        </w:rPr>
      </w:pPr>
    </w:p>
    <w:p w:rsidR="0068357A" w:rsidRPr="00AA6872" w:rsidRDefault="0068357A" w:rsidP="00AA6872">
      <w:pPr>
        <w:pStyle w:val="a4"/>
        <w:spacing w:line="360" w:lineRule="auto"/>
        <w:ind w:right="0" w:firstLine="709"/>
        <w:contextualSpacing/>
        <w:rPr>
          <w:szCs w:val="28"/>
        </w:rPr>
      </w:pPr>
    </w:p>
    <w:p w:rsidR="0068357A" w:rsidRPr="00AA6872" w:rsidRDefault="0068357A" w:rsidP="00AA6872">
      <w:pPr>
        <w:pStyle w:val="a4"/>
        <w:spacing w:line="360" w:lineRule="auto"/>
        <w:ind w:right="0" w:firstLine="709"/>
        <w:contextualSpacing/>
        <w:rPr>
          <w:szCs w:val="28"/>
        </w:rPr>
      </w:pPr>
    </w:p>
    <w:p w:rsidR="0068357A" w:rsidRPr="00AA6872" w:rsidRDefault="0068357A" w:rsidP="00AA6872">
      <w:pPr>
        <w:pStyle w:val="a4"/>
        <w:spacing w:line="360" w:lineRule="auto"/>
        <w:ind w:right="0" w:firstLine="709"/>
        <w:contextualSpacing/>
        <w:rPr>
          <w:szCs w:val="28"/>
        </w:rPr>
      </w:pPr>
    </w:p>
    <w:p w:rsidR="0068357A" w:rsidRPr="00AA6872" w:rsidRDefault="0068357A" w:rsidP="00AA6872">
      <w:pPr>
        <w:pStyle w:val="a4"/>
        <w:spacing w:line="360" w:lineRule="auto"/>
        <w:ind w:right="0" w:firstLine="709"/>
        <w:contextualSpacing/>
        <w:rPr>
          <w:szCs w:val="28"/>
        </w:rPr>
      </w:pPr>
    </w:p>
    <w:p w:rsidR="0068357A" w:rsidRDefault="0068357A" w:rsidP="00AA6872">
      <w:pPr>
        <w:pStyle w:val="a4"/>
        <w:spacing w:line="360" w:lineRule="auto"/>
        <w:ind w:right="0" w:firstLine="709"/>
        <w:contextualSpacing/>
        <w:rPr>
          <w:szCs w:val="28"/>
        </w:rPr>
      </w:pPr>
      <w:r w:rsidRPr="00AA6872">
        <w:rPr>
          <w:szCs w:val="28"/>
        </w:rPr>
        <w:t>Податків і зборів за 2008 рік до міського бюджету надійшло 265,8 млн.грн. податку з доходів фізичних осіб (97,1 відс. до річного плану), 45,9 млн.грн. плати за землю (127,4 відс.), 1,2 млн.грн. податку на прибуток комунальних підприємств (84,8відс.), 10,6 млн.грн. плати за торгові патенти (96,3 відс.), 0,6 млн.грн. місцевих податків і зборів (117,4 відс.), 21,1 млн.грн. єдиного податку (98,7 відс.), 11,8 млн.грн. плати за оренду майна (97,5 відс.), 4,4 млн.грн. інших надходжень (код 2406000) (92,2 відс.) 0,9 млн.грн. інших податків і зборів.</w:t>
      </w:r>
    </w:p>
    <w:p w:rsidR="00AA6872" w:rsidRPr="00AA6872" w:rsidRDefault="00AA6872" w:rsidP="00AA6872">
      <w:pPr>
        <w:pStyle w:val="a4"/>
        <w:spacing w:line="360" w:lineRule="auto"/>
        <w:ind w:right="0" w:firstLine="709"/>
        <w:contextualSpacing/>
        <w:rPr>
          <w:szCs w:val="28"/>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30"/>
        <w:gridCol w:w="1308"/>
        <w:gridCol w:w="1668"/>
        <w:gridCol w:w="1563"/>
      </w:tblGrid>
      <w:tr w:rsidR="0068357A" w:rsidRPr="00AA6872" w:rsidTr="00AA6872">
        <w:trPr>
          <w:trHeight w:val="87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Назва податку</w:t>
            </w:r>
          </w:p>
        </w:tc>
        <w:tc>
          <w:tcPr>
            <w:tcW w:w="1318"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Уточнений план на 2008 рік</w:t>
            </w:r>
          </w:p>
        </w:tc>
        <w:tc>
          <w:tcPr>
            <w:tcW w:w="1683"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Фактичні надходження</w:t>
            </w:r>
            <w:r w:rsidR="00AA6872" w:rsidRPr="00AA6872">
              <w:rPr>
                <w:rFonts w:ascii="Times New Roman" w:hAnsi="Times New Roman"/>
                <w:sz w:val="20"/>
                <w:szCs w:val="20"/>
                <w:lang w:val="uk-UA"/>
              </w:rPr>
              <w:t xml:space="preserve"> </w:t>
            </w:r>
            <w:r w:rsidRPr="00AA6872">
              <w:rPr>
                <w:rFonts w:ascii="Times New Roman" w:hAnsi="Times New Roman"/>
                <w:sz w:val="20"/>
                <w:szCs w:val="20"/>
                <w:lang w:val="uk-UA"/>
              </w:rPr>
              <w:t>2008 рік</w:t>
            </w:r>
          </w:p>
        </w:tc>
        <w:tc>
          <w:tcPr>
            <w:tcW w:w="1581"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Відсоток виконання</w:t>
            </w:r>
            <w:r w:rsidR="00AA6872" w:rsidRPr="00AA6872">
              <w:rPr>
                <w:rFonts w:ascii="Times New Roman" w:hAnsi="Times New Roman"/>
                <w:sz w:val="20"/>
                <w:szCs w:val="20"/>
                <w:lang w:val="uk-UA"/>
              </w:rPr>
              <w:t xml:space="preserve"> </w:t>
            </w:r>
            <w:r w:rsidRPr="00AA6872">
              <w:rPr>
                <w:rFonts w:ascii="Times New Roman" w:hAnsi="Times New Roman"/>
                <w:sz w:val="20"/>
                <w:szCs w:val="20"/>
                <w:lang w:val="uk-UA"/>
              </w:rPr>
              <w:t>плану</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Податок з доходів фізичних осіб</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273706,5</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265750,9</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97,1</w:t>
            </w:r>
          </w:p>
        </w:tc>
      </w:tr>
      <w:tr w:rsidR="0068357A" w:rsidRPr="00AA6872" w:rsidTr="00AA6872">
        <w:trPr>
          <w:trHeight w:val="630"/>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Податок на прибуток підприємств комунальної власності</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1450,0</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1229,9</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84,8</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Плата за землю</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45800</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45927,4</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100,3</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Плата за торгові патенти</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11000,0</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10590,4</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96,3</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Місцеві податки і збори</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478,0</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561,1</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117,4</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 xml:space="preserve">Єдиний податок </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21400,0</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21111,5</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98,7</w:t>
            </w:r>
          </w:p>
        </w:tc>
      </w:tr>
      <w:tr w:rsidR="0068357A" w:rsidRPr="00AA6872" w:rsidTr="00AA6872">
        <w:trPr>
          <w:trHeight w:val="630"/>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Плата за оренду цілісних майнових комплексів та іншого майна</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12015</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11715,3</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97,5</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Інші надходження (код 24060000)</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4800</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4426,9</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92,2</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Інші податки і збори</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2485</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1972</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79,4</w:t>
            </w:r>
          </w:p>
        </w:tc>
      </w:tr>
      <w:tr w:rsidR="0068357A" w:rsidRPr="00AA6872" w:rsidTr="00AA6872">
        <w:trPr>
          <w:trHeight w:val="315"/>
          <w:jc w:val="center"/>
        </w:trPr>
        <w:tc>
          <w:tcPr>
            <w:tcW w:w="5040" w:type="dxa"/>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hAnsi="Times New Roman"/>
                <w:bCs/>
                <w:sz w:val="20"/>
                <w:szCs w:val="20"/>
                <w:lang w:val="uk-UA"/>
              </w:rPr>
              <w:t>Всього доходів загального фонду (без офіційних трансфертів)</w:t>
            </w:r>
          </w:p>
        </w:tc>
        <w:tc>
          <w:tcPr>
            <w:tcW w:w="1318"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eastAsia="Arial Unicode MS" w:hAnsi="Times New Roman"/>
                <w:bCs/>
                <w:sz w:val="20"/>
                <w:szCs w:val="20"/>
                <w:lang w:val="uk-UA"/>
              </w:rPr>
              <w:t>373134,5</w:t>
            </w:r>
          </w:p>
        </w:tc>
        <w:tc>
          <w:tcPr>
            <w:tcW w:w="1683"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eastAsia="Arial Unicode MS" w:hAnsi="Times New Roman"/>
                <w:bCs/>
                <w:sz w:val="20"/>
                <w:szCs w:val="20"/>
                <w:lang w:val="uk-UA"/>
              </w:rPr>
              <w:t>363285,4</w:t>
            </w:r>
          </w:p>
        </w:tc>
        <w:tc>
          <w:tcPr>
            <w:tcW w:w="1581" w:type="dxa"/>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eastAsia="Arial Unicode MS" w:hAnsi="Times New Roman"/>
                <w:bCs/>
                <w:sz w:val="20"/>
                <w:szCs w:val="20"/>
                <w:lang w:val="uk-UA"/>
              </w:rPr>
              <w:t>97,4</w:t>
            </w:r>
          </w:p>
        </w:tc>
      </w:tr>
    </w:tbl>
    <w:p w:rsidR="00AA6872" w:rsidRDefault="00B54B88" w:rsidP="00AA6872">
      <w:pPr>
        <w:pStyle w:val="a3"/>
        <w:spacing w:after="0" w:line="360" w:lineRule="auto"/>
        <w:ind w:left="0" w:firstLine="709"/>
        <w:jc w:val="both"/>
        <w:rPr>
          <w:rFonts w:ascii="Times New Roman" w:hAnsi="Times New Roman"/>
          <w:sz w:val="28"/>
          <w:szCs w:val="28"/>
          <w:lang w:val="uk-UA"/>
        </w:rPr>
      </w:pPr>
      <w:r>
        <w:rPr>
          <w:noProof/>
        </w:rPr>
        <w:object w:dxaOrig="1440" w:dyaOrig="1440">
          <v:shape id="_x0000_s1027" type="#_x0000_t75" style="position:absolute;left:0;text-align:left;margin-left:81pt;margin-top:37.4pt;width:328.8pt;height:145.45pt;z-index:251658240;visibility:visible;mso-wrap-distance-left:56.52pt;mso-wrap-distance-top:6.24pt;mso-wrap-distance-right:33.93pt;mso-wrap-distance-bottom:28.32pt;mso-position-horizontal-relative:text;mso-position-vertical-relative:text">
            <v:imagedata r:id="rId9" o:title=""/>
            <w10:wrap type="topAndBottom"/>
          </v:shape>
          <o:OLEObject Type="Embed" ProgID="Excel.Sheet.8" ShapeID="_x0000_s1027" DrawAspect="Content" ObjectID="_1457325879" r:id="rId10"/>
        </w:object>
      </w:r>
    </w:p>
    <w:p w:rsidR="00AA6872" w:rsidRDefault="00AA6872" w:rsidP="00AA6872">
      <w:pPr>
        <w:pStyle w:val="a3"/>
        <w:spacing w:after="0" w:line="360" w:lineRule="auto"/>
        <w:ind w:left="0" w:firstLine="709"/>
        <w:jc w:val="both"/>
        <w:rPr>
          <w:rFonts w:ascii="Times New Roman" w:hAnsi="Times New Roman"/>
          <w:sz w:val="28"/>
          <w:szCs w:val="28"/>
          <w:lang w:val="uk-UA"/>
        </w:rPr>
      </w:pPr>
    </w:p>
    <w:p w:rsidR="0068357A" w:rsidRPr="00AA6872" w:rsidRDefault="0068357A" w:rsidP="00AA6872">
      <w:pPr>
        <w:pStyle w:val="a3"/>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За 2008 рік з державного бюджету отримано 128,5 млн.грн. офіційних трансфертів в тому числі дотацій – 6,2 млн.грн., субвенцій – 122,4 млн.грн.</w:t>
      </w:r>
    </w:p>
    <w:p w:rsidR="0068357A" w:rsidRPr="00AA6872" w:rsidRDefault="0068357A" w:rsidP="00AA6872">
      <w:pPr>
        <w:pStyle w:val="a3"/>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Надходження до спеціального фонду міського бюджету за 2008 рік склали 61602 тис.грн. (за даними місячного звіту управління Держказначейства в м.Черкаси).</w:t>
      </w:r>
      <w:r w:rsidR="00AA6872" w:rsidRPr="00AA6872">
        <w:rPr>
          <w:rFonts w:ascii="Times New Roman" w:hAnsi="Times New Roman"/>
          <w:sz w:val="28"/>
          <w:szCs w:val="28"/>
          <w:lang w:val="uk-UA"/>
        </w:rPr>
        <w:t xml:space="preserve"> </w:t>
      </w:r>
      <w:r w:rsidRPr="00AA6872">
        <w:rPr>
          <w:rFonts w:ascii="Times New Roman" w:hAnsi="Times New Roman"/>
          <w:sz w:val="28"/>
          <w:szCs w:val="28"/>
          <w:lang w:val="uk-UA"/>
        </w:rPr>
        <w:t>Надходження до бюджету податку з власників транспортних засобів становлять 7783,5 тис.грн., власні надходження бюджетних установ – 27895,6 тис.грн., збору за забруднення навколишнього природного середовища – 611,9 тис.грн., надходження до бюджету розвитку коштів від відчуження майна – 18789,3 тис.грн. та надходжень від продажу землі – 3265,1 тис.грн., інші надходження до спеціального фонду (без трансфертів) – 3256,7 тис.грн.</w:t>
      </w:r>
    </w:p>
    <w:p w:rsidR="0068357A" w:rsidRPr="00AA6872" w:rsidRDefault="0068357A" w:rsidP="00AA6872">
      <w:pPr>
        <w:pStyle w:val="a3"/>
        <w:spacing w:after="0" w:line="360" w:lineRule="auto"/>
        <w:ind w:left="0" w:firstLine="709"/>
        <w:jc w:val="both"/>
        <w:rPr>
          <w:rFonts w:ascii="Times New Roman" w:hAnsi="Times New Roman"/>
          <w:sz w:val="28"/>
          <w:szCs w:val="28"/>
          <w:lang w:val="uk-UA"/>
        </w:rPr>
      </w:pPr>
      <w:r w:rsidRPr="00AA6872">
        <w:rPr>
          <w:rFonts w:ascii="Times New Roman" w:hAnsi="Times New Roman"/>
          <w:sz w:val="28"/>
          <w:szCs w:val="28"/>
          <w:lang w:val="uk-UA"/>
        </w:rPr>
        <w:t>Крім того, до бюджету розвитку спеціального фонду передано коштів із загального фонду бюджету у сумі 4556,2 тис.грн., з них за рахунок субвенцій з державного та обласного бюджетів – 2010,7 тис.грн.</w:t>
      </w:r>
    </w:p>
    <w:p w:rsidR="0068357A" w:rsidRPr="00AA6872" w:rsidRDefault="0068357A" w:rsidP="00AA6872">
      <w:pPr>
        <w:pStyle w:val="a6"/>
        <w:spacing w:line="360" w:lineRule="auto"/>
        <w:ind w:firstLine="709"/>
        <w:contextualSpacing/>
        <w:jc w:val="both"/>
        <w:rPr>
          <w:rFonts w:ascii="Times New Roman" w:eastAsia="MS Mincho" w:hAnsi="Times New Roman"/>
          <w:sz w:val="28"/>
          <w:szCs w:val="28"/>
          <w:lang w:val="uk-UA"/>
        </w:rPr>
      </w:pPr>
      <w:r w:rsidRPr="00AA6872">
        <w:rPr>
          <w:rFonts w:ascii="Times New Roman" w:eastAsia="MS Mincho" w:hAnsi="Times New Roman"/>
          <w:sz w:val="28"/>
          <w:szCs w:val="28"/>
          <w:u w:val="single"/>
          <w:lang w:val="uk-UA"/>
        </w:rPr>
        <w:t>За</w:t>
      </w:r>
      <w:r w:rsidR="00AA6872" w:rsidRPr="00AA6872">
        <w:rPr>
          <w:rFonts w:ascii="Times New Roman" w:eastAsia="MS Mincho" w:hAnsi="Times New Roman"/>
          <w:sz w:val="28"/>
          <w:szCs w:val="28"/>
          <w:u w:val="single"/>
          <w:lang w:val="uk-UA"/>
        </w:rPr>
        <w:t xml:space="preserve"> </w:t>
      </w:r>
      <w:r w:rsidRPr="00AA6872">
        <w:rPr>
          <w:rFonts w:ascii="Times New Roman" w:eastAsia="MS Mincho" w:hAnsi="Times New Roman"/>
          <w:sz w:val="28"/>
          <w:szCs w:val="28"/>
          <w:u w:val="single"/>
          <w:lang w:val="uk-UA"/>
        </w:rPr>
        <w:t>2009 рік</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до міського бюджету надійшло доходів у сумі 615405 тис.грн., або 95,8 відс. до</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плану на 2009 рік, з них до загального фонду бюджету 505914,7 тис.грн , або 96,9 відс. до</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річного плану, в т.ч. :</w:t>
      </w:r>
    </w:p>
    <w:p w:rsidR="0068357A" w:rsidRPr="00AA6872" w:rsidRDefault="0068357A" w:rsidP="00AA6872">
      <w:pPr>
        <w:pStyle w:val="a6"/>
        <w:numPr>
          <w:ilvl w:val="0"/>
          <w:numId w:val="8"/>
        </w:numPr>
        <w:spacing w:line="360" w:lineRule="auto"/>
        <w:ind w:left="0" w:firstLine="709"/>
        <w:contextualSpacing/>
        <w:jc w:val="both"/>
        <w:rPr>
          <w:rFonts w:ascii="Times New Roman" w:eastAsia="MS Mincho" w:hAnsi="Times New Roman"/>
          <w:sz w:val="28"/>
          <w:szCs w:val="28"/>
          <w:lang w:val="uk-UA"/>
        </w:rPr>
      </w:pPr>
      <w:r w:rsidRPr="00AA6872">
        <w:rPr>
          <w:rFonts w:ascii="Times New Roman" w:eastAsia="MS Mincho" w:hAnsi="Times New Roman"/>
          <w:sz w:val="28"/>
          <w:szCs w:val="28"/>
          <w:lang w:val="uk-UA"/>
        </w:rPr>
        <w:t>податкові та неподаткові надходження загального фонду – 349146 тис.грн., або</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96,3 відс. до річного плану;</w:t>
      </w:r>
    </w:p>
    <w:p w:rsidR="0068357A" w:rsidRPr="00AA6872" w:rsidRDefault="0068357A" w:rsidP="00AA6872">
      <w:pPr>
        <w:pStyle w:val="a6"/>
        <w:numPr>
          <w:ilvl w:val="0"/>
          <w:numId w:val="8"/>
        </w:numPr>
        <w:spacing w:line="360" w:lineRule="auto"/>
        <w:ind w:left="0" w:firstLine="709"/>
        <w:contextualSpacing/>
        <w:jc w:val="both"/>
        <w:rPr>
          <w:rFonts w:ascii="Times New Roman" w:eastAsia="MS Mincho" w:hAnsi="Times New Roman"/>
          <w:sz w:val="28"/>
          <w:szCs w:val="28"/>
          <w:lang w:val="uk-UA"/>
        </w:rPr>
      </w:pPr>
      <w:r w:rsidRPr="00AA6872">
        <w:rPr>
          <w:rFonts w:ascii="Times New Roman" w:eastAsia="MS Mincho" w:hAnsi="Times New Roman"/>
          <w:sz w:val="28"/>
          <w:szCs w:val="28"/>
          <w:lang w:val="uk-UA"/>
        </w:rPr>
        <w:t>офіційні трансферти загального фонду – 156768,7</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тис.грн., або 98,5 відс. до</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плану на 2009 рік.</w:t>
      </w:r>
    </w:p>
    <w:p w:rsidR="0068357A" w:rsidRPr="00AA6872" w:rsidRDefault="0068357A" w:rsidP="00AA6872">
      <w:pPr>
        <w:pStyle w:val="a6"/>
        <w:spacing w:line="360" w:lineRule="auto"/>
        <w:ind w:firstLine="709"/>
        <w:contextualSpacing/>
        <w:jc w:val="both"/>
        <w:rPr>
          <w:rFonts w:ascii="Times New Roman" w:eastAsia="MS Mincho" w:hAnsi="Times New Roman"/>
          <w:sz w:val="28"/>
          <w:szCs w:val="28"/>
          <w:lang w:val="uk-UA"/>
        </w:rPr>
      </w:pPr>
      <w:r w:rsidRPr="00AA6872">
        <w:rPr>
          <w:rFonts w:ascii="Times New Roman" w:eastAsia="MS Mincho" w:hAnsi="Times New Roman"/>
          <w:sz w:val="28"/>
          <w:szCs w:val="28"/>
          <w:lang w:val="uk-UA"/>
        </w:rPr>
        <w:t>До спеціального фонду надійшло податків і зборів у сумі 50902,7 тис.грн., або 91,3 відс. до</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плану на рік, офіційних трансфертів – 58587,6 тис.грн., або 90,4 відс. до плану на рік .</w:t>
      </w:r>
    </w:p>
    <w:p w:rsidR="0068357A" w:rsidRPr="00AA6872" w:rsidRDefault="0068357A" w:rsidP="00AA6872">
      <w:pPr>
        <w:pStyle w:val="a6"/>
        <w:spacing w:line="360" w:lineRule="auto"/>
        <w:ind w:firstLine="709"/>
        <w:contextualSpacing/>
        <w:jc w:val="both"/>
        <w:rPr>
          <w:rFonts w:ascii="Times New Roman" w:eastAsia="MS Mincho" w:hAnsi="Times New Roman"/>
          <w:bCs/>
          <w:sz w:val="28"/>
          <w:szCs w:val="28"/>
          <w:lang w:val="uk-UA"/>
        </w:rPr>
      </w:pPr>
      <w:r w:rsidRPr="00AA6872">
        <w:rPr>
          <w:rFonts w:ascii="Times New Roman" w:eastAsia="MS Mincho" w:hAnsi="Times New Roman"/>
          <w:bCs/>
          <w:sz w:val="28"/>
          <w:szCs w:val="28"/>
          <w:lang w:val="uk-UA"/>
        </w:rPr>
        <w:t>Структура доходів міського бюджету за</w:t>
      </w:r>
      <w:r w:rsidR="00AA6872" w:rsidRPr="00AA6872">
        <w:rPr>
          <w:rFonts w:ascii="Times New Roman" w:eastAsia="MS Mincho" w:hAnsi="Times New Roman"/>
          <w:bCs/>
          <w:sz w:val="28"/>
          <w:szCs w:val="28"/>
          <w:lang w:val="uk-UA"/>
        </w:rPr>
        <w:t xml:space="preserve"> </w:t>
      </w:r>
      <w:r w:rsidRPr="00AA6872">
        <w:rPr>
          <w:rFonts w:ascii="Times New Roman" w:eastAsia="MS Mincho" w:hAnsi="Times New Roman"/>
          <w:bCs/>
          <w:sz w:val="28"/>
          <w:szCs w:val="28"/>
          <w:lang w:val="uk-UA"/>
        </w:rPr>
        <w:t>2009 рік</w:t>
      </w:r>
    </w:p>
    <w:p w:rsidR="0068357A" w:rsidRPr="00AA6872" w:rsidRDefault="0005227C" w:rsidP="00AA6872">
      <w:pPr>
        <w:pStyle w:val="a4"/>
        <w:spacing w:line="360" w:lineRule="auto"/>
        <w:ind w:right="0" w:firstLine="709"/>
        <w:contextualSpacing/>
        <w:rPr>
          <w:szCs w:val="28"/>
        </w:rPr>
      </w:pPr>
      <w:r w:rsidRPr="00AA6872">
        <w:rPr>
          <w:noProof/>
          <w:szCs w:val="28"/>
        </w:rPr>
        <w:object w:dxaOrig="7181" w:dyaOrig="1882">
          <v:shape id="Объект 5" o:spid="_x0000_i1027" type="#_x0000_t75" style="width:375.75pt;height:135.75pt;visibility:visible" o:ole="">
            <v:imagedata r:id="rId11" o:title="" croptop="-19048f" cropbottom="-11004f" cropleft="-3678f" cropright="-1424f"/>
            <o:lock v:ext="edit" aspectratio="f"/>
          </v:shape>
          <o:OLEObject Type="Embed" ProgID="Excel.Sheet.8" ShapeID="Объект 5" DrawAspect="Content" ObjectID="_1457325876" r:id="rId12"/>
        </w:object>
      </w:r>
    </w:p>
    <w:p w:rsidR="0068357A" w:rsidRPr="00AA6872" w:rsidRDefault="0068357A" w:rsidP="00AA6872">
      <w:pPr>
        <w:pStyle w:val="a6"/>
        <w:spacing w:line="360" w:lineRule="auto"/>
        <w:ind w:firstLine="709"/>
        <w:contextualSpacing/>
        <w:jc w:val="both"/>
        <w:rPr>
          <w:rFonts w:ascii="Times New Roman" w:eastAsia="MS Mincho" w:hAnsi="Times New Roman"/>
          <w:sz w:val="28"/>
          <w:szCs w:val="28"/>
          <w:lang w:val="uk-UA"/>
        </w:rPr>
      </w:pPr>
    </w:p>
    <w:p w:rsidR="0068357A" w:rsidRPr="00AA6872" w:rsidRDefault="0068357A" w:rsidP="00AA6872">
      <w:pPr>
        <w:pStyle w:val="a6"/>
        <w:spacing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Розрахункові показники Міністерства фінансів на 2009 рік за доходами, що враховуються при визначенні обсягів міжбюджетних трансфертів (І кошик) виконано на 92 відс. (недоотримано 24146,7 тис.грн.).</w:t>
      </w:r>
    </w:p>
    <w:p w:rsidR="0068357A" w:rsidRPr="00AA6872" w:rsidRDefault="0068357A" w:rsidP="00AA6872">
      <w:pPr>
        <w:pStyle w:val="a6"/>
        <w:spacing w:line="360" w:lineRule="auto"/>
        <w:ind w:firstLine="709"/>
        <w:contextualSpacing/>
        <w:jc w:val="both"/>
        <w:rPr>
          <w:rFonts w:ascii="Times New Roman" w:hAnsi="Times New Roman"/>
          <w:bCs/>
          <w:iCs/>
          <w:sz w:val="28"/>
          <w:szCs w:val="28"/>
          <w:u w:val="single"/>
          <w:lang w:val="uk-UA"/>
        </w:rPr>
      </w:pPr>
      <w:r w:rsidRPr="00AA6872">
        <w:rPr>
          <w:rFonts w:ascii="Times New Roman" w:hAnsi="Times New Roman"/>
          <w:bCs/>
          <w:iCs/>
          <w:sz w:val="28"/>
          <w:szCs w:val="28"/>
          <w:u w:val="single"/>
          <w:lang w:val="uk-UA"/>
        </w:rPr>
        <w:t>Загальний фонд</w:t>
      </w:r>
    </w:p>
    <w:p w:rsidR="00AA6872" w:rsidRDefault="00AA6872" w:rsidP="00AA6872">
      <w:pPr>
        <w:pStyle w:val="a6"/>
        <w:spacing w:line="360" w:lineRule="auto"/>
        <w:ind w:firstLine="709"/>
        <w:contextualSpacing/>
        <w:jc w:val="both"/>
        <w:rPr>
          <w:rFonts w:ascii="Times New Roman" w:hAnsi="Times New Roman"/>
          <w:bCs/>
          <w:sz w:val="28"/>
          <w:szCs w:val="28"/>
          <w:lang w:val="uk-UA"/>
        </w:rPr>
      </w:pPr>
    </w:p>
    <w:p w:rsidR="0068357A" w:rsidRPr="00AA6872" w:rsidRDefault="0068357A" w:rsidP="00AA6872">
      <w:pPr>
        <w:pStyle w:val="a6"/>
        <w:spacing w:line="360" w:lineRule="auto"/>
        <w:ind w:firstLine="709"/>
        <w:contextualSpacing/>
        <w:jc w:val="both"/>
        <w:rPr>
          <w:rFonts w:ascii="Times New Roman" w:hAnsi="Times New Roman"/>
          <w:bCs/>
          <w:sz w:val="28"/>
          <w:szCs w:val="28"/>
          <w:lang w:val="uk-UA"/>
        </w:rPr>
      </w:pPr>
      <w:r w:rsidRPr="00AA6872">
        <w:rPr>
          <w:rFonts w:ascii="Times New Roman" w:hAnsi="Times New Roman"/>
          <w:bCs/>
          <w:sz w:val="28"/>
          <w:szCs w:val="28"/>
          <w:lang w:val="uk-UA"/>
        </w:rPr>
        <w:t>Основні надходження до міського бюджету :</w:t>
      </w:r>
    </w:p>
    <w:tbl>
      <w:tblPr>
        <w:tblW w:w="9539" w:type="dxa"/>
        <w:tblLayout w:type="fixed"/>
        <w:tblCellMar>
          <w:left w:w="0" w:type="dxa"/>
          <w:right w:w="0" w:type="dxa"/>
        </w:tblCellMar>
        <w:tblLook w:val="0000" w:firstRow="0" w:lastRow="0" w:firstColumn="0" w:lastColumn="0" w:noHBand="0" w:noVBand="0"/>
      </w:tblPr>
      <w:tblGrid>
        <w:gridCol w:w="4692"/>
        <w:gridCol w:w="1049"/>
        <w:gridCol w:w="1231"/>
        <w:gridCol w:w="1339"/>
        <w:gridCol w:w="1228"/>
      </w:tblGrid>
      <w:tr w:rsidR="0068357A" w:rsidRPr="00AA6872" w:rsidTr="00606A95">
        <w:trPr>
          <w:trHeight w:val="1472"/>
        </w:trPr>
        <w:tc>
          <w:tcPr>
            <w:tcW w:w="46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Назва податку</w:t>
            </w:r>
          </w:p>
        </w:tc>
        <w:tc>
          <w:tcPr>
            <w:tcW w:w="1049"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План на 2009 рік</w:t>
            </w:r>
          </w:p>
        </w:tc>
        <w:tc>
          <w:tcPr>
            <w:tcW w:w="1231"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Фактичні надходження за</w:t>
            </w:r>
            <w:r w:rsidR="00AA6872" w:rsidRPr="00AA6872">
              <w:rPr>
                <w:rFonts w:ascii="Times New Roman" w:hAnsi="Times New Roman"/>
                <w:sz w:val="20"/>
                <w:szCs w:val="20"/>
                <w:lang w:val="uk-UA"/>
              </w:rPr>
              <w:t xml:space="preserve"> </w:t>
            </w:r>
            <w:r w:rsidRPr="00AA6872">
              <w:rPr>
                <w:rFonts w:ascii="Times New Roman" w:hAnsi="Times New Roman"/>
                <w:sz w:val="20"/>
                <w:szCs w:val="20"/>
                <w:lang w:val="uk-UA"/>
              </w:rPr>
              <w:t>2009 рік</w:t>
            </w:r>
          </w:p>
        </w:tc>
        <w:tc>
          <w:tcPr>
            <w:tcW w:w="1339"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Відхилення (+,-) до плану 2009 року</w:t>
            </w:r>
          </w:p>
        </w:tc>
        <w:tc>
          <w:tcPr>
            <w:tcW w:w="1228"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68357A" w:rsidRPr="00AA6872" w:rsidRDefault="00AA6872"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Відсоток викона</w:t>
            </w:r>
            <w:r w:rsidR="0068357A" w:rsidRPr="00AA6872">
              <w:rPr>
                <w:rFonts w:ascii="Times New Roman" w:hAnsi="Times New Roman"/>
                <w:sz w:val="20"/>
                <w:szCs w:val="20"/>
                <w:lang w:val="uk-UA"/>
              </w:rPr>
              <w:t>ння</w:t>
            </w:r>
            <w:r w:rsidRPr="00AA6872">
              <w:rPr>
                <w:rFonts w:ascii="Times New Roman" w:hAnsi="Times New Roman"/>
                <w:sz w:val="20"/>
                <w:szCs w:val="20"/>
                <w:lang w:val="uk-UA"/>
              </w:rPr>
              <w:t xml:space="preserve"> </w:t>
            </w:r>
            <w:r w:rsidR="0068357A" w:rsidRPr="00AA6872">
              <w:rPr>
                <w:rFonts w:ascii="Times New Roman" w:hAnsi="Times New Roman"/>
                <w:sz w:val="20"/>
                <w:szCs w:val="20"/>
                <w:lang w:val="uk-UA"/>
              </w:rPr>
              <w:t>річного плану</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Податок з доходів фізичних осіб</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255820,8</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242814,0</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-13006,8</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94,9</w:t>
            </w:r>
          </w:p>
        </w:tc>
      </w:tr>
      <w:tr w:rsidR="0068357A" w:rsidRPr="00AA6872" w:rsidTr="00606A95">
        <w:trPr>
          <w:trHeight w:val="630"/>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Податок на прибуток підприємств комунальної власності</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7500,0</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7778,5</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+278,5</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103,7</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Плата за землю</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52060,1</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54004,7</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+1944,6</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103,7</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Плата за торгові патенти</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10600,0</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6067,4</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-4532,6</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57,2</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Місцеві податки і збори</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517,0</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477,5</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-39,5</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92,4</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 xml:space="preserve">Єдиний податок </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18500,0</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18589,0</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+89,0</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100,5</w:t>
            </w:r>
          </w:p>
        </w:tc>
      </w:tr>
      <w:tr w:rsidR="0068357A" w:rsidRPr="00AA6872" w:rsidTr="00606A95">
        <w:trPr>
          <w:trHeight w:val="630"/>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hAnsi="Times New Roman"/>
                <w:sz w:val="20"/>
                <w:szCs w:val="20"/>
                <w:lang w:val="uk-UA"/>
              </w:rPr>
            </w:pPr>
            <w:r w:rsidRPr="00AA6872">
              <w:rPr>
                <w:rFonts w:ascii="Times New Roman" w:hAnsi="Times New Roman"/>
                <w:sz w:val="20"/>
                <w:szCs w:val="20"/>
                <w:lang w:val="uk-UA"/>
              </w:rPr>
              <w:t>Частина чистого прибутку, що вилучається до бюджету</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1500,0</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1895,7</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+395,7</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126,4</w:t>
            </w:r>
          </w:p>
        </w:tc>
      </w:tr>
      <w:tr w:rsidR="0068357A" w:rsidRPr="00AA6872" w:rsidTr="00F524A2">
        <w:trPr>
          <w:trHeight w:val="277"/>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Плата за оренду комунального майна</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9996,0</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10983,3</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+987,3</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109,9</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Інші надходження (код 24060000)</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2019,4</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2319,6</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+300,2</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114,9</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hAnsi="Times New Roman"/>
                <w:sz w:val="20"/>
                <w:szCs w:val="20"/>
                <w:lang w:val="uk-UA"/>
              </w:rPr>
              <w:t>Інші податки і збори</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4218,7</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4216,3</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- 2,4</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sz w:val="20"/>
                <w:szCs w:val="20"/>
                <w:lang w:val="uk-UA"/>
              </w:rPr>
            </w:pPr>
            <w:r w:rsidRPr="00AA6872">
              <w:rPr>
                <w:rFonts w:ascii="Times New Roman" w:eastAsia="Arial Unicode MS" w:hAnsi="Times New Roman"/>
                <w:sz w:val="20"/>
                <w:szCs w:val="20"/>
                <w:lang w:val="uk-UA"/>
              </w:rPr>
              <w:t>99,9</w:t>
            </w:r>
          </w:p>
        </w:tc>
      </w:tr>
      <w:tr w:rsidR="0068357A" w:rsidRPr="00AA6872" w:rsidTr="00606A95">
        <w:trPr>
          <w:trHeight w:val="315"/>
        </w:trPr>
        <w:tc>
          <w:tcPr>
            <w:tcW w:w="4692"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hAnsi="Times New Roman"/>
                <w:bCs/>
                <w:sz w:val="20"/>
                <w:szCs w:val="20"/>
                <w:lang w:val="uk-UA"/>
              </w:rPr>
              <w:t>Всього доходів</w:t>
            </w:r>
          </w:p>
        </w:tc>
        <w:tc>
          <w:tcPr>
            <w:tcW w:w="104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eastAsia="Arial Unicode MS" w:hAnsi="Times New Roman"/>
                <w:bCs/>
                <w:sz w:val="20"/>
                <w:szCs w:val="20"/>
                <w:lang w:val="uk-UA"/>
              </w:rPr>
              <w:t>362732,0</w:t>
            </w:r>
          </w:p>
        </w:tc>
        <w:tc>
          <w:tcPr>
            <w:tcW w:w="1231"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eastAsia="Arial Unicode MS" w:hAnsi="Times New Roman"/>
                <w:bCs/>
                <w:sz w:val="20"/>
                <w:szCs w:val="20"/>
                <w:lang w:val="uk-UA"/>
              </w:rPr>
              <w:t>349146,0</w:t>
            </w:r>
          </w:p>
        </w:tc>
        <w:tc>
          <w:tcPr>
            <w:tcW w:w="1339"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eastAsia="Arial Unicode MS" w:hAnsi="Times New Roman"/>
                <w:bCs/>
                <w:sz w:val="20"/>
                <w:szCs w:val="20"/>
                <w:lang w:val="uk-UA"/>
              </w:rPr>
              <w:t>-13586,0</w:t>
            </w:r>
          </w:p>
        </w:tc>
        <w:tc>
          <w:tcPr>
            <w:tcW w:w="1228" w:type="dxa"/>
            <w:tcBorders>
              <w:top w:val="nil"/>
              <w:left w:val="nil"/>
              <w:bottom w:val="single" w:sz="4" w:space="0" w:color="auto"/>
              <w:right w:val="single" w:sz="4" w:space="0" w:color="auto"/>
            </w:tcBorders>
            <w:tcMar>
              <w:top w:w="17" w:type="dxa"/>
              <w:left w:w="17" w:type="dxa"/>
              <w:bottom w:w="0" w:type="dxa"/>
              <w:right w:w="17" w:type="dxa"/>
            </w:tcMar>
            <w:vAlign w:val="bottom"/>
          </w:tcPr>
          <w:p w:rsidR="0068357A" w:rsidRPr="00AA6872" w:rsidRDefault="0068357A" w:rsidP="00AA6872">
            <w:pPr>
              <w:spacing w:after="0" w:line="360" w:lineRule="auto"/>
              <w:contextualSpacing/>
              <w:rPr>
                <w:rFonts w:ascii="Times New Roman" w:eastAsia="Arial Unicode MS" w:hAnsi="Times New Roman"/>
                <w:bCs/>
                <w:sz w:val="20"/>
                <w:szCs w:val="20"/>
                <w:lang w:val="uk-UA"/>
              </w:rPr>
            </w:pPr>
            <w:r w:rsidRPr="00AA6872">
              <w:rPr>
                <w:rFonts w:ascii="Times New Roman" w:eastAsia="Arial Unicode MS" w:hAnsi="Times New Roman"/>
                <w:bCs/>
                <w:sz w:val="20"/>
                <w:szCs w:val="20"/>
                <w:lang w:val="uk-UA"/>
              </w:rPr>
              <w:t>96,3</w:t>
            </w:r>
          </w:p>
        </w:tc>
      </w:tr>
    </w:tbl>
    <w:p w:rsidR="0068357A" w:rsidRPr="00AA6872" w:rsidRDefault="0068357A" w:rsidP="00AA6872">
      <w:pPr>
        <w:pStyle w:val="a6"/>
        <w:spacing w:line="360" w:lineRule="auto"/>
        <w:ind w:firstLine="709"/>
        <w:contextualSpacing/>
        <w:jc w:val="both"/>
        <w:rPr>
          <w:rFonts w:ascii="Times New Roman" w:eastAsia="MS Mincho" w:hAnsi="Times New Roman"/>
          <w:sz w:val="28"/>
          <w:szCs w:val="24"/>
          <w:lang w:val="uk-UA"/>
        </w:rPr>
      </w:pPr>
    </w:p>
    <w:p w:rsidR="00AA6872" w:rsidRPr="00AA6872" w:rsidRDefault="0068357A" w:rsidP="00AA6872">
      <w:pPr>
        <w:pStyle w:val="a6"/>
        <w:spacing w:line="360" w:lineRule="auto"/>
        <w:ind w:firstLine="709"/>
        <w:contextualSpacing/>
        <w:jc w:val="both"/>
        <w:rPr>
          <w:rFonts w:ascii="Times New Roman" w:eastAsia="MS Mincho" w:hAnsi="Times New Roman"/>
          <w:sz w:val="28"/>
          <w:szCs w:val="28"/>
          <w:lang w:val="uk-UA"/>
        </w:rPr>
      </w:pPr>
      <w:r w:rsidRPr="00AA6872">
        <w:rPr>
          <w:rFonts w:ascii="Times New Roman" w:eastAsia="MS Mincho" w:hAnsi="Times New Roman"/>
          <w:sz w:val="28"/>
          <w:szCs w:val="28"/>
          <w:lang w:val="uk-UA"/>
        </w:rPr>
        <w:t>Порівняно з 2008 роком за 2009 рік</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надходження ( з офіційними трансфертами) до міського бюджету зменшились на 2807,6 тис.грн., або на 0,5 %</w:t>
      </w:r>
    </w:p>
    <w:p w:rsidR="0068357A" w:rsidRPr="00AA6872" w:rsidRDefault="0068357A" w:rsidP="00AA6872">
      <w:pPr>
        <w:pStyle w:val="a4"/>
        <w:spacing w:line="360" w:lineRule="auto"/>
        <w:ind w:right="0" w:firstLine="709"/>
        <w:contextualSpacing/>
        <w:rPr>
          <w:szCs w:val="28"/>
        </w:rPr>
      </w:pPr>
      <w:r w:rsidRPr="00AA6872">
        <w:rPr>
          <w:szCs w:val="28"/>
        </w:rPr>
        <w:t>Спеціальний фонд</w:t>
      </w:r>
    </w:p>
    <w:p w:rsidR="0068357A" w:rsidRDefault="0068357A" w:rsidP="00AA6872">
      <w:pPr>
        <w:pStyle w:val="a6"/>
        <w:spacing w:line="360" w:lineRule="auto"/>
        <w:ind w:firstLine="709"/>
        <w:contextualSpacing/>
        <w:jc w:val="both"/>
        <w:rPr>
          <w:rFonts w:ascii="Times New Roman" w:eastAsia="MS Mincho" w:hAnsi="Times New Roman"/>
          <w:bCs/>
          <w:sz w:val="28"/>
          <w:szCs w:val="28"/>
          <w:lang w:val="uk-UA"/>
        </w:rPr>
      </w:pPr>
      <w:r w:rsidRPr="00AA6872">
        <w:rPr>
          <w:rFonts w:ascii="Times New Roman" w:eastAsia="MS Mincho" w:hAnsi="Times New Roman"/>
          <w:bCs/>
          <w:sz w:val="28"/>
          <w:szCs w:val="28"/>
          <w:lang w:val="uk-UA"/>
        </w:rPr>
        <w:t>Структура надходжень спеціального фонду бюджету міста за 2009 рік (без трансфертів)</w:t>
      </w:r>
    </w:p>
    <w:p w:rsidR="00AA6872" w:rsidRPr="00AA6872" w:rsidRDefault="00AA6872" w:rsidP="00AA6872">
      <w:pPr>
        <w:pStyle w:val="a6"/>
        <w:spacing w:line="360" w:lineRule="auto"/>
        <w:ind w:firstLine="709"/>
        <w:contextualSpacing/>
        <w:jc w:val="both"/>
        <w:rPr>
          <w:rFonts w:ascii="Times New Roman" w:eastAsia="MS Mincho" w:hAnsi="Times New Roman"/>
          <w:bCs/>
          <w:sz w:val="28"/>
          <w:szCs w:val="28"/>
          <w:lang w:val="uk-UA"/>
        </w:rPr>
      </w:pPr>
    </w:p>
    <w:p w:rsidR="0068357A" w:rsidRPr="00AA6872" w:rsidRDefault="0005227C"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noProof/>
          <w:sz w:val="28"/>
          <w:szCs w:val="28"/>
          <w:lang w:val="uk-UA"/>
        </w:rPr>
        <w:object w:dxaOrig="6893" w:dyaOrig="2755">
          <v:shape id="Объект 6" o:spid="_x0000_i1028" type="#_x0000_t75" style="width:379.5pt;height:152.25pt;visibility:visible" o:ole="">
            <v:imagedata r:id="rId13" o:title="" croptop="-1594f" cropbottom="-5305f" cropleft="-4107f" cropright="-2520f"/>
            <o:lock v:ext="edit" aspectratio="f"/>
          </v:shape>
          <o:OLEObject Type="Embed" ProgID="Excel.Sheet.8" ShapeID="Объект 6" DrawAspect="Content" ObjectID="_1457325877" r:id="rId14"/>
        </w:objec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 xml:space="preserve">Цьогорічний бюджет міста Черкаси складався на основі фактичного виконання бюджету за минулий рік і виріс всього на 14,9 млн. грн. Цього року власні і закріплені повноваження становлять понад 390 мільйонів гривень, в той час як у 2008 році ця цифра була 380 млн. грн. При тому, що потреба галузей на поточний рік становила як мінімум 500 млн. грн. </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Разом із субвенціями із обласного та державного бюджетів, бюджетом розвитку доходи міського бюджету-2009 загалом складають 623 мільйони грн. Бюджет є збалансованим, оскільки доходна частина дорівнює прогнозованій видатковій.</w:t>
      </w:r>
    </w:p>
    <w:p w:rsidR="0068357A" w:rsidRPr="00AA6872" w:rsidRDefault="00AA6872" w:rsidP="00AA6872">
      <w:pPr>
        <w:pStyle w:val="a3"/>
        <w:numPr>
          <w:ilvl w:val="0"/>
          <w:numId w:val="5"/>
        </w:numPr>
        <w:spacing w:after="0" w:line="360" w:lineRule="auto"/>
        <w:ind w:left="0" w:firstLine="709"/>
        <w:jc w:val="both"/>
        <w:rPr>
          <w:rFonts w:ascii="Times New Roman" w:hAnsi="Times New Roman"/>
          <w:sz w:val="28"/>
          <w:szCs w:val="32"/>
          <w:lang w:val="uk-UA"/>
        </w:rPr>
      </w:pPr>
      <w:r>
        <w:rPr>
          <w:rFonts w:ascii="Times New Roman" w:hAnsi="Times New Roman"/>
          <w:sz w:val="28"/>
          <w:szCs w:val="32"/>
          <w:lang w:val="uk-UA"/>
        </w:rPr>
        <w:br w:type="page"/>
      </w:r>
      <w:r w:rsidR="0068357A" w:rsidRPr="00AA6872">
        <w:rPr>
          <w:rFonts w:ascii="Times New Roman" w:hAnsi="Times New Roman"/>
          <w:sz w:val="28"/>
          <w:szCs w:val="32"/>
          <w:lang w:val="uk-UA"/>
        </w:rPr>
        <w:t xml:space="preserve">Напрями вирішення проблем виконання доходної частини бюджету </w:t>
      </w:r>
      <w:r>
        <w:rPr>
          <w:rFonts w:ascii="Times New Roman" w:hAnsi="Times New Roman"/>
          <w:sz w:val="28"/>
          <w:szCs w:val="32"/>
          <w:lang w:val="uk-UA"/>
        </w:rPr>
        <w:t>м. Черкаси</w:t>
      </w:r>
    </w:p>
    <w:p w:rsidR="00AA6872" w:rsidRDefault="00AA6872" w:rsidP="00AA6872">
      <w:pPr>
        <w:spacing w:after="0" w:line="360" w:lineRule="auto"/>
        <w:ind w:firstLine="709"/>
        <w:jc w:val="both"/>
        <w:rPr>
          <w:rFonts w:ascii="Times New Roman" w:hAnsi="Times New Roman"/>
          <w:sz w:val="28"/>
          <w:szCs w:val="28"/>
          <w:lang w:val="uk-UA"/>
        </w:rPr>
      </w:pPr>
    </w:p>
    <w:p w:rsidR="0068357A" w:rsidRPr="00AA6872" w:rsidRDefault="0068357A" w:rsidP="00AA6872">
      <w:pPr>
        <w:spacing w:after="0" w:line="360" w:lineRule="auto"/>
        <w:ind w:firstLine="709"/>
        <w:jc w:val="both"/>
        <w:rPr>
          <w:rFonts w:ascii="Times New Roman" w:hAnsi="Times New Roman"/>
          <w:sz w:val="28"/>
          <w:szCs w:val="32"/>
          <w:lang w:val="uk-UA"/>
        </w:rPr>
      </w:pPr>
      <w:r w:rsidRPr="00AA6872">
        <w:rPr>
          <w:rFonts w:ascii="Times New Roman" w:hAnsi="Times New Roman"/>
          <w:sz w:val="28"/>
          <w:szCs w:val="28"/>
          <w:lang w:val="uk-UA"/>
        </w:rPr>
        <w:t xml:space="preserve">Прогнози щодо наповнення доходної частини бюджету досить песимістичні. У місті закриваються великі підприємства, зменшується кількість суб’єктів господарювання, які мали найманих робітників, а ті в свою чергу сплачували податок з доходів фізичних осіб до міського бюджету. Тому за попередніми підрахунками, цього року до міського бюджету надійде ПДФО на 6 млн. грн. менше, ніж минулого року. До речі, ПДФО є основною складовою наповнення бюджету, доля якого складає – 70%. </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Однією із головних проблем є те, що існують ризики недоотримання понад 60 млн. грн. закріплених, 15 млн. власних та 18 млн. грн. доходів бюджету розвитку.</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Говорити про такий дефіцит змушує статистика. За перший квартал міський бюджет вже недоотримав 20 млн. грн. до прогнозу Мінфіну. Я вважаю, що в такій ситуації керівники установ насамперед мають привести реформування галузей задля більш ефективного використання наявного ресурсу та якісного надання послуг, оптимізувати власні витрати. Бюджет міста на 2010 рік формували, виходячи з загального ресурсу, визначеного Кабінетом Міністрів України. Значно потерпає цього року галузь охорони здоров’я, лише на заробітну плату не вистачає місячного фонду заробітної плати.</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 xml:space="preserve">Одним із напрямків збільшення наповнення бюджету м. Черкас може бути інвентаризація комунального майна міста та передача його в оренду. Таким чином, наповнення міського бюджету, за прогнозами влади, можна збільшити на 20-25%. </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Для того, щоб реалізовувати політику міста в таких життєво важливих сферах, як медицина і комунальне господарство, потрібно підвищити наповнюваність міського бюджету, як мінімум, у два рази. Збільшення бюджетних надходжень, а для цього є всі реальні умови, дозволить у більших обсягах вести будівництво житла, перш за все для пільгових категорій громадян та молодих сімей.</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Слід зауважити, що причинами збільшення надходжень по прибутковому податку є не тільки підвищення заробітної плати, але й її своєчасна виплата, контроль з боку міськвиконкому, прокуратури та ДПІ у м.</w:t>
      </w:r>
      <w:r w:rsidR="00AA6872">
        <w:rPr>
          <w:rFonts w:ascii="Times New Roman" w:hAnsi="Times New Roman"/>
          <w:sz w:val="28"/>
          <w:szCs w:val="28"/>
          <w:lang w:val="uk-UA"/>
        </w:rPr>
        <w:t xml:space="preserve"> </w:t>
      </w:r>
      <w:r w:rsidRPr="00AA6872">
        <w:rPr>
          <w:rFonts w:ascii="Times New Roman" w:hAnsi="Times New Roman"/>
          <w:sz w:val="28"/>
          <w:szCs w:val="28"/>
          <w:lang w:val="uk-UA"/>
        </w:rPr>
        <w:t xml:space="preserve">Черкаси. Фінансове управління у 2009 році розпочало роботу по примусовому стягненню прибуткового податку з боржників через податковий орган та органи прокуратури: направляються запити підприємствам та організаціям для виявлення сум заборгованості по заробітній платі та прибутковому податку (у 2009 році та І кварталі 2010 року такі запити направлені 55 підприємствам). </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 xml:space="preserve">Планові показники по платі за землю у 2009 році виконані на 99,3%. Ефективне використання земельних ділянок є одним із резервів наповнення міського бюджету, тому, на мою думку, у 2010 році міськвиконком повинен приділяти особливу увагу платежам за оренду землі. </w:t>
      </w:r>
    </w:p>
    <w:p w:rsidR="0068357A" w:rsidRPr="00AA6872" w:rsidRDefault="0068357A" w:rsidP="00AA6872">
      <w:pPr>
        <w:spacing w:after="0" w:line="360" w:lineRule="auto"/>
        <w:ind w:firstLine="709"/>
        <w:contextualSpacing/>
        <w:jc w:val="both"/>
        <w:rPr>
          <w:rFonts w:ascii="Times New Roman" w:hAnsi="Times New Roman"/>
          <w:sz w:val="28"/>
          <w:szCs w:val="32"/>
          <w:lang w:val="uk-UA"/>
        </w:rPr>
      </w:pPr>
    </w:p>
    <w:p w:rsidR="0068357A" w:rsidRDefault="00AA6872" w:rsidP="00AA6872">
      <w:pPr>
        <w:spacing w:after="0" w:line="360" w:lineRule="auto"/>
        <w:ind w:firstLine="709"/>
        <w:contextualSpacing/>
        <w:jc w:val="both"/>
        <w:rPr>
          <w:rFonts w:ascii="Times New Roman" w:hAnsi="Times New Roman"/>
          <w:sz w:val="28"/>
          <w:szCs w:val="32"/>
          <w:lang w:val="uk-UA"/>
        </w:rPr>
      </w:pPr>
      <w:r>
        <w:rPr>
          <w:rFonts w:ascii="Times New Roman" w:hAnsi="Times New Roman"/>
          <w:sz w:val="28"/>
          <w:szCs w:val="32"/>
          <w:lang w:val="uk-UA"/>
        </w:rPr>
        <w:br w:type="page"/>
      </w:r>
      <w:r w:rsidR="0068357A" w:rsidRPr="00AA6872">
        <w:rPr>
          <w:rFonts w:ascii="Times New Roman" w:hAnsi="Times New Roman"/>
          <w:sz w:val="28"/>
          <w:szCs w:val="32"/>
          <w:lang w:val="uk-UA"/>
        </w:rPr>
        <w:t>В</w:t>
      </w:r>
      <w:r>
        <w:rPr>
          <w:rFonts w:ascii="Times New Roman" w:hAnsi="Times New Roman"/>
          <w:sz w:val="28"/>
          <w:szCs w:val="32"/>
          <w:lang w:val="uk-UA"/>
        </w:rPr>
        <w:t>исновки</w:t>
      </w:r>
    </w:p>
    <w:p w:rsidR="00AA6872" w:rsidRPr="00AA6872" w:rsidRDefault="00AA6872" w:rsidP="00AA6872">
      <w:pPr>
        <w:spacing w:after="0" w:line="360" w:lineRule="auto"/>
        <w:ind w:firstLine="709"/>
        <w:contextualSpacing/>
        <w:jc w:val="both"/>
        <w:rPr>
          <w:rFonts w:ascii="Times New Roman" w:hAnsi="Times New Roman"/>
          <w:sz w:val="28"/>
          <w:szCs w:val="32"/>
          <w:lang w:val="uk-UA"/>
        </w:rPr>
      </w:pP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Отже, судячи з аналізу у 2009 році спостерігається зменшення обсягу загального та спеціального фонду на 3,3% і 1,9% відповідно. Через недоотримання доходів обсяг офіційних державних трансфертів у 2009 році був збільшений на 5,2%.</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 xml:space="preserve">Також спостерігається зменшення надходжень за рахунок основного джерела поповнення бюджету – податку з доходу фізичних осіб на 2,2%. </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eastAsia="MS Mincho" w:hAnsi="Times New Roman"/>
          <w:sz w:val="28"/>
          <w:szCs w:val="28"/>
          <w:lang w:val="uk-UA"/>
        </w:rPr>
        <w:t>Порівняно з 2008 роком за 2009 рік</w:t>
      </w:r>
      <w:r w:rsidR="00AA6872" w:rsidRPr="00AA6872">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надходження ( з офіційними трансфертами) до міського бюджету зменшились на 2807,6 тис.</w:t>
      </w:r>
      <w:r w:rsidR="00884727">
        <w:rPr>
          <w:rFonts w:ascii="Times New Roman" w:eastAsia="MS Mincho" w:hAnsi="Times New Roman"/>
          <w:sz w:val="28"/>
          <w:szCs w:val="28"/>
          <w:lang w:val="uk-UA"/>
        </w:rPr>
        <w:t xml:space="preserve"> </w:t>
      </w:r>
      <w:r w:rsidRPr="00AA6872">
        <w:rPr>
          <w:rFonts w:ascii="Times New Roman" w:eastAsia="MS Mincho" w:hAnsi="Times New Roman"/>
          <w:sz w:val="28"/>
          <w:szCs w:val="28"/>
          <w:lang w:val="uk-UA"/>
        </w:rPr>
        <w:t>грн., або на 0,5 %</w:t>
      </w:r>
      <w:r w:rsidRPr="00AA6872">
        <w:rPr>
          <w:rFonts w:ascii="Times New Roman" w:hAnsi="Times New Roman"/>
          <w:sz w:val="28"/>
          <w:szCs w:val="28"/>
          <w:lang w:val="uk-UA"/>
        </w:rPr>
        <w:t xml:space="preserve"> </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 xml:space="preserve">У 2009 році бюджет виріс всього на 14,9 млн. грн. Цього року власні і закріплені повноваження становлять понад 390 мільйонів гривень, в той час як у 2008 році ця цифра була 380 млн. грн. При тому, що потреба галузей на поточний рік становила як мінімум 500 млн. грн. </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r w:rsidRPr="00AA6872">
        <w:rPr>
          <w:rFonts w:ascii="Times New Roman" w:hAnsi="Times New Roman"/>
          <w:sz w:val="28"/>
          <w:szCs w:val="28"/>
          <w:lang w:val="uk-UA"/>
        </w:rPr>
        <w:t>Разом із субвенціями із обласного та державного бюджетів, бюджетом розвитку доходи міського бюджету-2009 загалом складають 623 мільйони грн. Бюджет є збалансованим, оскільки доходна частина дорівнює прогнозованій видатковій.</w:t>
      </w:r>
    </w:p>
    <w:p w:rsidR="0068357A" w:rsidRPr="00AA6872" w:rsidRDefault="0068357A" w:rsidP="00AA6872">
      <w:pPr>
        <w:pStyle w:val="a6"/>
        <w:spacing w:line="360" w:lineRule="auto"/>
        <w:ind w:firstLine="709"/>
        <w:contextualSpacing/>
        <w:jc w:val="both"/>
        <w:rPr>
          <w:rFonts w:ascii="Times New Roman" w:eastAsia="MS Mincho" w:hAnsi="Times New Roman"/>
          <w:sz w:val="28"/>
          <w:szCs w:val="28"/>
          <w:lang w:val="uk-UA"/>
        </w:rPr>
      </w:pPr>
    </w:p>
    <w:p w:rsidR="0068357A" w:rsidRPr="00AA6872" w:rsidRDefault="00AA6872" w:rsidP="00AA6872">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32"/>
          <w:lang w:val="uk-UA"/>
        </w:rPr>
        <w:br w:type="page"/>
        <w:t>Список літератури</w:t>
      </w:r>
    </w:p>
    <w:p w:rsidR="0068357A" w:rsidRPr="00AA6872" w:rsidRDefault="0068357A" w:rsidP="00AA6872">
      <w:pPr>
        <w:spacing w:after="0" w:line="360" w:lineRule="auto"/>
        <w:ind w:firstLine="709"/>
        <w:contextualSpacing/>
        <w:jc w:val="both"/>
        <w:rPr>
          <w:rFonts w:ascii="Times New Roman" w:hAnsi="Times New Roman"/>
          <w:sz w:val="28"/>
          <w:szCs w:val="28"/>
          <w:lang w:val="uk-UA"/>
        </w:rPr>
      </w:pPr>
    </w:p>
    <w:p w:rsidR="0068357A" w:rsidRPr="00AA6872" w:rsidRDefault="0068357A" w:rsidP="00884727">
      <w:pPr>
        <w:pStyle w:val="a3"/>
        <w:numPr>
          <w:ilvl w:val="0"/>
          <w:numId w:val="9"/>
        </w:numPr>
        <w:spacing w:after="0" w:line="360" w:lineRule="auto"/>
        <w:ind w:left="0" w:firstLine="0"/>
        <w:jc w:val="both"/>
        <w:rPr>
          <w:rFonts w:ascii="Times New Roman" w:hAnsi="Times New Roman"/>
          <w:sz w:val="28"/>
          <w:szCs w:val="28"/>
          <w:lang w:val="uk-UA"/>
        </w:rPr>
      </w:pPr>
      <w:r w:rsidRPr="00AA6872">
        <w:rPr>
          <w:rFonts w:ascii="Times New Roman" w:hAnsi="Times New Roman"/>
          <w:sz w:val="28"/>
          <w:szCs w:val="28"/>
          <w:lang w:val="uk-UA"/>
        </w:rPr>
        <w:t>Кириленко О.П. Місцеві бюджети України./ О.П. Кириленко – К.: НІОС, 2000. – 478 С.</w:t>
      </w:r>
    </w:p>
    <w:p w:rsidR="0068357A" w:rsidRPr="00AA6872" w:rsidRDefault="00884727" w:rsidP="00884727">
      <w:pPr>
        <w:pStyle w:val="a3"/>
        <w:numPr>
          <w:ilvl w:val="0"/>
          <w:numId w:val="9"/>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Опарін В.</w:t>
      </w:r>
      <w:r w:rsidR="0068357A" w:rsidRPr="00AA6872">
        <w:rPr>
          <w:rFonts w:ascii="Times New Roman" w:hAnsi="Times New Roman"/>
          <w:sz w:val="28"/>
          <w:szCs w:val="28"/>
          <w:lang w:val="uk-UA"/>
        </w:rPr>
        <w:t>М. та ін. Бюджетна система: Навч.-метод. посібник для самост. вивч. дисц. — 2-ге вид., пер</w:t>
      </w:r>
      <w:r>
        <w:rPr>
          <w:rFonts w:ascii="Times New Roman" w:hAnsi="Times New Roman"/>
          <w:sz w:val="28"/>
          <w:szCs w:val="28"/>
          <w:lang w:val="uk-UA"/>
        </w:rPr>
        <w:t>ероб. і доп. / В.М. Опарін, В.</w:t>
      </w:r>
      <w:r w:rsidR="0068357A" w:rsidRPr="00AA6872">
        <w:rPr>
          <w:rFonts w:ascii="Times New Roman" w:hAnsi="Times New Roman"/>
          <w:sz w:val="28"/>
          <w:szCs w:val="28"/>
          <w:lang w:val="uk-UA"/>
        </w:rPr>
        <w:t>І. Малько, С</w:t>
      </w:r>
      <w:r>
        <w:rPr>
          <w:rFonts w:ascii="Times New Roman" w:hAnsi="Times New Roman"/>
          <w:sz w:val="28"/>
          <w:szCs w:val="28"/>
          <w:lang w:val="uk-UA"/>
        </w:rPr>
        <w:t>. Я. Кондратюк, Г.</w:t>
      </w:r>
      <w:r w:rsidR="0068357A" w:rsidRPr="00AA6872">
        <w:rPr>
          <w:rFonts w:ascii="Times New Roman" w:hAnsi="Times New Roman"/>
          <w:sz w:val="28"/>
          <w:szCs w:val="28"/>
          <w:lang w:val="uk-UA"/>
        </w:rPr>
        <w:t>Б. Коломієць. — К.: КНЕУ, 2002. — 336 с.</w:t>
      </w:r>
    </w:p>
    <w:p w:rsidR="0068357A" w:rsidRPr="00AA6872" w:rsidRDefault="0068357A" w:rsidP="00884727">
      <w:pPr>
        <w:pStyle w:val="a3"/>
        <w:numPr>
          <w:ilvl w:val="0"/>
          <w:numId w:val="9"/>
        </w:numPr>
        <w:spacing w:after="0" w:line="360" w:lineRule="auto"/>
        <w:ind w:left="0" w:firstLine="0"/>
        <w:jc w:val="both"/>
        <w:rPr>
          <w:rFonts w:ascii="Times New Roman" w:hAnsi="Times New Roman"/>
          <w:sz w:val="28"/>
          <w:szCs w:val="28"/>
          <w:lang w:val="uk-UA"/>
        </w:rPr>
      </w:pPr>
      <w:r w:rsidRPr="00AA6872">
        <w:rPr>
          <w:rFonts w:ascii="Times New Roman" w:hAnsi="Times New Roman"/>
          <w:sz w:val="28"/>
          <w:szCs w:val="28"/>
          <w:lang w:val="uk-UA"/>
        </w:rPr>
        <w:t>Мельник П.В. Проблема формування місцевих бюджетів і податкова політика держави //Фінанси України.-2009.-№6.-С.101-103.</w:t>
      </w:r>
    </w:p>
    <w:p w:rsidR="0068357A" w:rsidRPr="00AA6872" w:rsidRDefault="0068357A" w:rsidP="00884727">
      <w:pPr>
        <w:pStyle w:val="a3"/>
        <w:numPr>
          <w:ilvl w:val="0"/>
          <w:numId w:val="9"/>
        </w:numPr>
        <w:spacing w:after="0" w:line="360" w:lineRule="auto"/>
        <w:ind w:left="0" w:firstLine="0"/>
        <w:jc w:val="both"/>
        <w:rPr>
          <w:rFonts w:ascii="Times New Roman" w:hAnsi="Times New Roman"/>
          <w:sz w:val="28"/>
          <w:szCs w:val="28"/>
          <w:lang w:val="uk-UA"/>
        </w:rPr>
      </w:pPr>
      <w:r w:rsidRPr="00AA6872">
        <w:rPr>
          <w:rFonts w:ascii="Times New Roman" w:hAnsi="Times New Roman"/>
          <w:sz w:val="28"/>
          <w:szCs w:val="28"/>
          <w:lang w:val="uk-UA"/>
        </w:rPr>
        <w:t xml:space="preserve">Місцеві фінанси Підручник / За </w:t>
      </w:r>
      <w:r w:rsidR="00884727">
        <w:rPr>
          <w:rFonts w:ascii="Times New Roman" w:hAnsi="Times New Roman"/>
          <w:sz w:val="28"/>
          <w:szCs w:val="28"/>
          <w:lang w:val="uk-UA"/>
        </w:rPr>
        <w:t xml:space="preserve">ред. О.П. Кириленко. </w:t>
      </w:r>
      <w:r w:rsidRPr="00AA6872">
        <w:rPr>
          <w:rFonts w:ascii="Times New Roman" w:hAnsi="Times New Roman"/>
          <w:sz w:val="28"/>
          <w:szCs w:val="28"/>
          <w:lang w:val="uk-UA"/>
        </w:rPr>
        <w:t>- К.: Знання, 2008.-- 677 с.</w:t>
      </w:r>
    </w:p>
    <w:p w:rsidR="0068357A" w:rsidRPr="00884727" w:rsidRDefault="0068357A" w:rsidP="00884727">
      <w:pPr>
        <w:pStyle w:val="a3"/>
        <w:numPr>
          <w:ilvl w:val="0"/>
          <w:numId w:val="9"/>
        </w:numPr>
        <w:spacing w:after="0" w:line="360" w:lineRule="auto"/>
        <w:ind w:left="0" w:firstLine="0"/>
        <w:jc w:val="both"/>
        <w:rPr>
          <w:rFonts w:ascii="Times New Roman" w:hAnsi="Times New Roman"/>
          <w:sz w:val="28"/>
          <w:szCs w:val="28"/>
          <w:lang w:val="uk-UA"/>
        </w:rPr>
      </w:pPr>
      <w:r w:rsidRPr="00CD0B29">
        <w:rPr>
          <w:rFonts w:ascii="Times New Roman" w:hAnsi="Times New Roman"/>
          <w:sz w:val="28"/>
          <w:szCs w:val="28"/>
          <w:lang w:val="uk-UA"/>
        </w:rPr>
        <w:t>www.ukrstat.gov.ua</w:t>
      </w:r>
      <w:r w:rsidRPr="00884727">
        <w:rPr>
          <w:rFonts w:ascii="Times New Roman" w:hAnsi="Times New Roman"/>
          <w:sz w:val="28"/>
          <w:szCs w:val="28"/>
          <w:lang w:val="uk-UA"/>
        </w:rPr>
        <w:t xml:space="preserve"> </w:t>
      </w:r>
    </w:p>
    <w:p w:rsidR="0068357A" w:rsidRPr="00884727" w:rsidRDefault="00B54B88" w:rsidP="00884727">
      <w:pPr>
        <w:pStyle w:val="a3"/>
        <w:numPr>
          <w:ilvl w:val="0"/>
          <w:numId w:val="9"/>
        </w:numPr>
        <w:spacing w:after="0" w:line="360" w:lineRule="auto"/>
        <w:ind w:left="0" w:firstLine="0"/>
        <w:jc w:val="both"/>
        <w:rPr>
          <w:rFonts w:ascii="Times New Roman" w:hAnsi="Times New Roman"/>
          <w:sz w:val="28"/>
          <w:szCs w:val="28"/>
          <w:lang w:val="uk-UA"/>
        </w:rPr>
      </w:pPr>
      <w:hyperlink r:id="rId15" w:history="1">
        <w:r w:rsidR="0068357A" w:rsidRPr="00884727">
          <w:rPr>
            <w:rStyle w:val="ab"/>
            <w:rFonts w:ascii="Times New Roman" w:hAnsi="Times New Roman"/>
            <w:color w:val="auto"/>
            <w:sz w:val="28"/>
            <w:szCs w:val="28"/>
            <w:lang w:val="uk-UA"/>
          </w:rPr>
          <w:t>www.ckrada.com</w:t>
        </w:r>
      </w:hyperlink>
      <w:r w:rsidR="00AA6872" w:rsidRPr="00884727">
        <w:rPr>
          <w:rFonts w:ascii="Times New Roman" w:hAnsi="Times New Roman"/>
          <w:sz w:val="28"/>
          <w:szCs w:val="28"/>
          <w:lang w:val="uk-UA"/>
        </w:rPr>
        <w:t xml:space="preserve"> </w:t>
      </w:r>
    </w:p>
    <w:p w:rsidR="0068357A" w:rsidRPr="00AA6872" w:rsidRDefault="0068357A" w:rsidP="00884727">
      <w:pPr>
        <w:pStyle w:val="a3"/>
        <w:numPr>
          <w:ilvl w:val="0"/>
          <w:numId w:val="9"/>
        </w:numPr>
        <w:spacing w:after="0" w:line="360" w:lineRule="auto"/>
        <w:ind w:left="0" w:firstLine="0"/>
        <w:jc w:val="both"/>
        <w:rPr>
          <w:rFonts w:ascii="Times New Roman" w:hAnsi="Times New Roman"/>
          <w:sz w:val="28"/>
          <w:szCs w:val="28"/>
          <w:u w:val="single"/>
          <w:lang w:val="uk-UA"/>
        </w:rPr>
      </w:pPr>
      <w:r w:rsidRPr="00AA6872">
        <w:rPr>
          <w:rFonts w:ascii="Times New Roman" w:hAnsi="Times New Roman"/>
          <w:sz w:val="28"/>
          <w:szCs w:val="28"/>
          <w:u w:val="single"/>
          <w:lang w:val="uk-UA"/>
        </w:rPr>
        <w:t>mfu.ck.ua/postit/4031.html</w:t>
      </w:r>
    </w:p>
    <w:p w:rsidR="00884727" w:rsidRPr="00884727" w:rsidRDefault="00884727" w:rsidP="00884727">
      <w:pPr>
        <w:spacing w:line="360" w:lineRule="auto"/>
        <w:jc w:val="center"/>
        <w:rPr>
          <w:rFonts w:ascii="Times New Roman" w:hAnsi="Times New Roman"/>
          <w:color w:val="FFFFFF"/>
          <w:sz w:val="28"/>
          <w:szCs w:val="28"/>
          <w:lang w:val="uk-UA"/>
        </w:rPr>
      </w:pPr>
      <w:bookmarkStart w:id="0" w:name="_GoBack"/>
      <w:bookmarkEnd w:id="0"/>
    </w:p>
    <w:sectPr w:rsidR="00884727" w:rsidRPr="00884727" w:rsidSect="00AA6872">
      <w:headerReference w:type="defaul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ED8" w:rsidRDefault="00632ED8">
      <w:r>
        <w:separator/>
      </w:r>
    </w:p>
  </w:endnote>
  <w:endnote w:type="continuationSeparator" w:id="0">
    <w:p w:rsidR="00632ED8" w:rsidRDefault="0063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ED8" w:rsidRDefault="00632ED8">
      <w:r>
        <w:separator/>
      </w:r>
    </w:p>
  </w:footnote>
  <w:footnote w:type="continuationSeparator" w:id="0">
    <w:p w:rsidR="00632ED8" w:rsidRDefault="00632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72" w:rsidRPr="00AA6872" w:rsidRDefault="00AA6872" w:rsidP="00AA6872">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B0317"/>
    <w:multiLevelType w:val="hybridMultilevel"/>
    <w:tmpl w:val="E8F208DA"/>
    <w:lvl w:ilvl="0" w:tplc="0419000F">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CD643A"/>
    <w:multiLevelType w:val="hybridMultilevel"/>
    <w:tmpl w:val="112E5916"/>
    <w:lvl w:ilvl="0" w:tplc="3BB0227A">
      <w:numFmt w:val="bullet"/>
      <w:lvlText w:val="-"/>
      <w:lvlJc w:val="left"/>
      <w:pPr>
        <w:tabs>
          <w:tab w:val="num" w:pos="1858"/>
        </w:tabs>
        <w:ind w:left="185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3629"/>
        </w:tabs>
        <w:ind w:left="3629"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99F2F55"/>
    <w:multiLevelType w:val="hybridMultilevel"/>
    <w:tmpl w:val="9D684998"/>
    <w:lvl w:ilvl="0" w:tplc="41141B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2C41B03"/>
    <w:multiLevelType w:val="hybridMultilevel"/>
    <w:tmpl w:val="D95411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9387382"/>
    <w:multiLevelType w:val="hybridMultilevel"/>
    <w:tmpl w:val="CA92F2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C1612CA"/>
    <w:multiLevelType w:val="hybridMultilevel"/>
    <w:tmpl w:val="E40C4C6C"/>
    <w:lvl w:ilvl="0" w:tplc="272C25E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02C3A4A"/>
    <w:multiLevelType w:val="hybridMultilevel"/>
    <w:tmpl w:val="331C2BA4"/>
    <w:lvl w:ilvl="0" w:tplc="F7DC37BA">
      <w:start w:val="68"/>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E306D38"/>
    <w:multiLevelType w:val="hybridMultilevel"/>
    <w:tmpl w:val="E8F208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3012AE9"/>
    <w:multiLevelType w:val="hybridMultilevel"/>
    <w:tmpl w:val="FF6EC1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7"/>
  </w:num>
  <w:num w:numId="4">
    <w:abstractNumId w:val="3"/>
  </w:num>
  <w:num w:numId="5">
    <w:abstractNumId w:val="0"/>
  </w:num>
  <w:num w:numId="6">
    <w:abstractNumId w:val="4"/>
  </w:num>
  <w:num w:numId="7">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6FE"/>
    <w:rsid w:val="00025A75"/>
    <w:rsid w:val="0005227C"/>
    <w:rsid w:val="000C49F3"/>
    <w:rsid w:val="001122BC"/>
    <w:rsid w:val="00135759"/>
    <w:rsid w:val="0027350D"/>
    <w:rsid w:val="002A7BF2"/>
    <w:rsid w:val="002B6BE9"/>
    <w:rsid w:val="003777D5"/>
    <w:rsid w:val="003C31A8"/>
    <w:rsid w:val="003E6A2A"/>
    <w:rsid w:val="0040119B"/>
    <w:rsid w:val="00423138"/>
    <w:rsid w:val="0047106A"/>
    <w:rsid w:val="004A16FE"/>
    <w:rsid w:val="004C2D62"/>
    <w:rsid w:val="005A49DF"/>
    <w:rsid w:val="00606A95"/>
    <w:rsid w:val="00632ED8"/>
    <w:rsid w:val="0068357A"/>
    <w:rsid w:val="0069502C"/>
    <w:rsid w:val="006B370D"/>
    <w:rsid w:val="006E2005"/>
    <w:rsid w:val="007D476D"/>
    <w:rsid w:val="008115B1"/>
    <w:rsid w:val="0086389E"/>
    <w:rsid w:val="00877B6F"/>
    <w:rsid w:val="00884727"/>
    <w:rsid w:val="00914BCF"/>
    <w:rsid w:val="009352EC"/>
    <w:rsid w:val="0095098C"/>
    <w:rsid w:val="009D596A"/>
    <w:rsid w:val="009E324B"/>
    <w:rsid w:val="00A91BC5"/>
    <w:rsid w:val="00AA6872"/>
    <w:rsid w:val="00AE08E7"/>
    <w:rsid w:val="00B231BC"/>
    <w:rsid w:val="00B24CF4"/>
    <w:rsid w:val="00B460A7"/>
    <w:rsid w:val="00B54B88"/>
    <w:rsid w:val="00B666FA"/>
    <w:rsid w:val="00B74896"/>
    <w:rsid w:val="00BB0E45"/>
    <w:rsid w:val="00BB62C9"/>
    <w:rsid w:val="00BD0BAE"/>
    <w:rsid w:val="00C05BE5"/>
    <w:rsid w:val="00CB01E2"/>
    <w:rsid w:val="00CD0B29"/>
    <w:rsid w:val="00DA4592"/>
    <w:rsid w:val="00DD50EE"/>
    <w:rsid w:val="00F524A2"/>
    <w:rsid w:val="00F61126"/>
    <w:rsid w:val="00F72C2E"/>
    <w:rsid w:val="00FA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0DC52D46-040E-4201-8B87-B93D64B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1A8"/>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A16FE"/>
    <w:pPr>
      <w:ind w:left="720"/>
      <w:contextualSpacing/>
    </w:pPr>
  </w:style>
  <w:style w:type="paragraph" w:customStyle="1" w:styleId="1">
    <w:name w:val="Обычный1"/>
    <w:uiPriority w:val="99"/>
    <w:rsid w:val="002B6BE9"/>
    <w:pPr>
      <w:widowControl w:val="0"/>
      <w:snapToGrid w:val="0"/>
      <w:spacing w:line="480" w:lineRule="auto"/>
      <w:ind w:left="40" w:firstLine="720"/>
      <w:jc w:val="both"/>
    </w:pPr>
    <w:rPr>
      <w:rFonts w:ascii="Times New Roman" w:hAnsi="Times New Roman" w:cs="Times New Roman"/>
      <w:sz w:val="24"/>
    </w:rPr>
  </w:style>
  <w:style w:type="paragraph" w:styleId="a4">
    <w:name w:val="Body Text Indent"/>
    <w:basedOn w:val="a"/>
    <w:link w:val="a5"/>
    <w:uiPriority w:val="99"/>
    <w:rsid w:val="001122BC"/>
    <w:pPr>
      <w:spacing w:after="0" w:line="240" w:lineRule="auto"/>
      <w:ind w:right="-483" w:firstLine="851"/>
      <w:jc w:val="both"/>
    </w:pPr>
    <w:rPr>
      <w:rFonts w:ascii="Times New Roman" w:hAnsi="Times New Roman"/>
      <w:sz w:val="28"/>
      <w:szCs w:val="20"/>
      <w:lang w:val="uk-UA"/>
    </w:rPr>
  </w:style>
  <w:style w:type="character" w:customStyle="1" w:styleId="a5">
    <w:name w:val="Основной текст с отступом Знак"/>
    <w:link w:val="a4"/>
    <w:uiPriority w:val="99"/>
    <w:locked/>
    <w:rsid w:val="001122BC"/>
    <w:rPr>
      <w:rFonts w:ascii="Times New Roman" w:hAnsi="Times New Roman" w:cs="Times New Roman"/>
      <w:sz w:val="20"/>
      <w:szCs w:val="20"/>
      <w:lang w:val="uk-UA" w:eastAsia="x-none"/>
    </w:rPr>
  </w:style>
  <w:style w:type="paragraph" w:customStyle="1" w:styleId="CharCharCharChar">
    <w:name w:val="Char Знак Знак Char Знак Знак Char Знак Знак Char Знак Знак Знак Знак Знак Знак Знак Знак Знак Знак"/>
    <w:basedOn w:val="a"/>
    <w:uiPriority w:val="99"/>
    <w:rsid w:val="001122BC"/>
    <w:pPr>
      <w:spacing w:after="0" w:line="240" w:lineRule="auto"/>
    </w:pPr>
    <w:rPr>
      <w:rFonts w:ascii="Verdana" w:hAnsi="Verdana" w:cs="Verdana"/>
      <w:sz w:val="20"/>
      <w:szCs w:val="20"/>
      <w:lang w:val="en-US" w:eastAsia="en-US"/>
    </w:rPr>
  </w:style>
  <w:style w:type="paragraph" w:styleId="a6">
    <w:name w:val="Plain Text"/>
    <w:basedOn w:val="a"/>
    <w:link w:val="a7"/>
    <w:uiPriority w:val="99"/>
    <w:rsid w:val="001122BC"/>
    <w:pPr>
      <w:spacing w:after="0" w:line="240" w:lineRule="auto"/>
    </w:pPr>
    <w:rPr>
      <w:rFonts w:ascii="Courier New" w:hAnsi="Courier New"/>
      <w:sz w:val="20"/>
      <w:szCs w:val="20"/>
    </w:rPr>
  </w:style>
  <w:style w:type="character" w:customStyle="1" w:styleId="a7">
    <w:name w:val="Текст Знак"/>
    <w:link w:val="a6"/>
    <w:uiPriority w:val="99"/>
    <w:locked/>
    <w:rsid w:val="001122BC"/>
    <w:rPr>
      <w:rFonts w:ascii="Courier New" w:hAnsi="Courier New" w:cs="Times New Roman"/>
      <w:sz w:val="20"/>
      <w:szCs w:val="20"/>
    </w:rPr>
  </w:style>
  <w:style w:type="paragraph" w:styleId="a8">
    <w:name w:val="Balloon Text"/>
    <w:basedOn w:val="a"/>
    <w:link w:val="a9"/>
    <w:uiPriority w:val="99"/>
    <w:semiHidden/>
    <w:rsid w:val="001122B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1122BC"/>
    <w:rPr>
      <w:rFonts w:ascii="Tahoma" w:hAnsi="Tahoma" w:cs="Tahoma"/>
      <w:sz w:val="16"/>
      <w:szCs w:val="16"/>
    </w:rPr>
  </w:style>
  <w:style w:type="paragraph" w:styleId="2">
    <w:name w:val="Body Text Indent 2"/>
    <w:basedOn w:val="a"/>
    <w:link w:val="20"/>
    <w:uiPriority w:val="99"/>
    <w:semiHidden/>
    <w:rsid w:val="00BD0BAE"/>
    <w:pPr>
      <w:spacing w:after="120" w:line="480" w:lineRule="auto"/>
      <w:ind w:left="283"/>
    </w:pPr>
  </w:style>
  <w:style w:type="character" w:customStyle="1" w:styleId="20">
    <w:name w:val="Основной текст с отступом 2 Знак"/>
    <w:link w:val="2"/>
    <w:uiPriority w:val="99"/>
    <w:semiHidden/>
    <w:locked/>
    <w:rsid w:val="00BD0BAE"/>
    <w:rPr>
      <w:rFonts w:cs="Times New Roman"/>
    </w:rPr>
  </w:style>
  <w:style w:type="table" w:styleId="aa">
    <w:name w:val="Table Grid"/>
    <w:basedOn w:val="a1"/>
    <w:uiPriority w:val="99"/>
    <w:rsid w:val="00BD0BA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B666FA"/>
    <w:rPr>
      <w:rFonts w:cs="Times New Roman"/>
      <w:color w:val="0000FF"/>
      <w:u w:val="single"/>
    </w:rPr>
  </w:style>
  <w:style w:type="paragraph" w:styleId="ac">
    <w:name w:val="header"/>
    <w:basedOn w:val="a"/>
    <w:link w:val="ad"/>
    <w:uiPriority w:val="99"/>
    <w:rsid w:val="00AA6872"/>
    <w:pPr>
      <w:tabs>
        <w:tab w:val="center" w:pos="4153"/>
        <w:tab w:val="right" w:pos="8306"/>
      </w:tabs>
    </w:pPr>
  </w:style>
  <w:style w:type="character" w:customStyle="1" w:styleId="ad">
    <w:name w:val="Верхний колонтитул Знак"/>
    <w:link w:val="ac"/>
    <w:uiPriority w:val="99"/>
    <w:semiHidden/>
    <w:locked/>
    <w:rPr>
      <w:rFonts w:cs="Times New Roman"/>
    </w:rPr>
  </w:style>
  <w:style w:type="paragraph" w:styleId="ae">
    <w:name w:val="footer"/>
    <w:basedOn w:val="a"/>
    <w:link w:val="af"/>
    <w:uiPriority w:val="99"/>
    <w:rsid w:val="00AA6872"/>
    <w:pPr>
      <w:tabs>
        <w:tab w:val="center" w:pos="4153"/>
        <w:tab w:val="right" w:pos="8306"/>
      </w:tabs>
    </w:pPr>
  </w:style>
  <w:style w:type="character" w:customStyle="1" w:styleId="af">
    <w:name w:val="Нижний колонтитул Знак"/>
    <w:link w:val="ae"/>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029312">
      <w:marLeft w:val="0"/>
      <w:marRight w:val="0"/>
      <w:marTop w:val="0"/>
      <w:marBottom w:val="0"/>
      <w:divBdr>
        <w:top w:val="none" w:sz="0" w:space="0" w:color="auto"/>
        <w:left w:val="none" w:sz="0" w:space="0" w:color="auto"/>
        <w:bottom w:val="none" w:sz="0" w:space="0" w:color="auto"/>
        <w:right w:val="none" w:sz="0" w:space="0" w:color="auto"/>
      </w:divBdr>
    </w:div>
    <w:div w:id="1784029313">
      <w:marLeft w:val="0"/>
      <w:marRight w:val="0"/>
      <w:marTop w:val="0"/>
      <w:marBottom w:val="0"/>
      <w:divBdr>
        <w:top w:val="none" w:sz="0" w:space="0" w:color="auto"/>
        <w:left w:val="none" w:sz="0" w:space="0" w:color="auto"/>
        <w:bottom w:val="none" w:sz="0" w:space="0" w:color="auto"/>
        <w:right w:val="none" w:sz="0" w:space="0" w:color="auto"/>
      </w:divBdr>
    </w:div>
    <w:div w:id="1784029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_____Microsoft_Excel_97-20033.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ckrada.com" TargetMode="Externa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Excel_97-20034.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Hewlett-Packard</Company>
  <LinksUpToDate>false</LinksUpToDate>
  <CharactersWithSpaces>15488</CharactersWithSpaces>
  <SharedDoc>false</SharedDoc>
  <HLinks>
    <vt:vector size="6" baseType="variant">
      <vt:variant>
        <vt:i4>3145781</vt:i4>
      </vt:variant>
      <vt:variant>
        <vt:i4>6</vt:i4>
      </vt:variant>
      <vt:variant>
        <vt:i4>0</vt:i4>
      </vt:variant>
      <vt:variant>
        <vt:i4>5</vt:i4>
      </vt:variant>
      <vt:variant>
        <vt:lpwstr>http://www.ckrada.com/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admin</cp:lastModifiedBy>
  <cp:revision>2</cp:revision>
  <dcterms:created xsi:type="dcterms:W3CDTF">2014-03-26T05:58:00Z</dcterms:created>
  <dcterms:modified xsi:type="dcterms:W3CDTF">2014-03-26T05:58:00Z</dcterms:modified>
</cp:coreProperties>
</file>