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left="709"/>
        <w:jc w:val="both"/>
        <w:rPr>
          <w:b/>
          <w:bCs/>
          <w:caps/>
          <w:kern w:val="28"/>
          <w:sz w:val="28"/>
          <w:szCs w:val="28"/>
        </w:rPr>
      </w:pPr>
      <w:r w:rsidRPr="006A0BB9">
        <w:rPr>
          <w:b/>
          <w:bCs/>
          <w:caps/>
          <w:kern w:val="28"/>
          <w:sz w:val="28"/>
          <w:szCs w:val="28"/>
        </w:rPr>
        <w:t>ИНДИВИДУАЛЬНЫЕ ПРЕДПРИНИМАТЕЛИ: ПРИМЕНЕНИЕ СИСТЕМЫ УПЛАТЫ ЕДИНОГО НАЛОГА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Система уплаты единого налога была введена в республике в 2001 году и носила характер обязательной. При этом ее применение изначально было ориентировано не на всех субъектов хозяйствования, а только на индивидуальных предпринимателей.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К настоящему моменту названная система налогообложения претерпела некоторые изменения, в том числе и в части ее обязательности.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 xml:space="preserve">Учитывая, что по состоянию на 1 января </w:t>
      </w:r>
      <w:smartTag w:uri="urn:schemas-microsoft-com:office:smarttags" w:element="metricconverter">
        <w:smartTagPr>
          <w:attr w:name="ProductID" w:val="2007 г"/>
        </w:smartTagPr>
        <w:r w:rsidRPr="006A0BB9">
          <w:rPr>
            <w:kern w:val="28"/>
            <w:sz w:val="28"/>
            <w:szCs w:val="28"/>
          </w:rPr>
          <w:t>2007 г</w:t>
        </w:r>
      </w:smartTag>
      <w:r w:rsidRPr="006A0BB9">
        <w:rPr>
          <w:kern w:val="28"/>
          <w:sz w:val="28"/>
          <w:szCs w:val="28"/>
        </w:rPr>
        <w:t>. систему уплаты единого налога применяют около 60 процентов индивидуальных предпринимателей, остановимся на данной теме более подробно.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Прежде всего, обозначим нормативные правовые акты, регулирующие порядок применения рассматриваемой системы налогообложения. Это: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Указ Президента Республики Беларусь от 18.06.2005 № 285 "О некоторых мерах по регулированию предпринимательской деятельности" (с учетом дополнений и изменений, внесенных Указом Президента Республики Беларусь от 29.12.2006 № 760) (далее - Указ);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утвержденное вышеназванным Указом Положение о едином налоге с индивидуальных предпринимателей и иных физических лиц (далее - Положение);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Инструкция о порядке исчисления и уплаты единого налога с индивидуальных предпринимателей и иных физических лиц (утверждена постановлением Министерства по налогам и сборам Республики Беларусь от 05.07.2005 № 73) (далее - Инструкция);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Перечень видов товаров, относящихся к товарным группам, перечисленным в перечне видов деятельности, при осуществлении которых индивидуальные предприниматели и иные физические лица уплачивают единый налог, и базовых ставок единого налога, утвержденном Указом Президента Республики Беларусь от 18.06.2005 № 285 (утвержден постановлением Совета Министров Республики Беларусь от 13.07.2005 № 772) (далее - Перечень видов товаров).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Помимо указанных актов применяются решения областных (Минского городского) Советов депутатов об установлении ставок единого налога (далее - решения).</w:t>
      </w:r>
    </w:p>
    <w:p w:rsidR="00282255" w:rsidRP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aps/>
          <w:kern w:val="28"/>
          <w:sz w:val="28"/>
          <w:szCs w:val="28"/>
        </w:rPr>
      </w:pPr>
      <w:r>
        <w:rPr>
          <w:bCs/>
          <w:caps/>
          <w:kern w:val="28"/>
          <w:sz w:val="28"/>
          <w:szCs w:val="28"/>
          <w:lang w:val="en-US"/>
        </w:rPr>
        <w:br w:type="page"/>
      </w:r>
      <w:r w:rsidR="00282255" w:rsidRPr="006A0BB9">
        <w:rPr>
          <w:bCs/>
          <w:caps/>
          <w:kern w:val="28"/>
          <w:sz w:val="28"/>
          <w:szCs w:val="28"/>
        </w:rPr>
        <w:t>ПЛАТЕЛЬЩИКИ НАЛОГА</w:t>
      </w:r>
    </w:p>
    <w:p w:rsid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Главным признаком, определяющим индивидуальных предпринимателей плательщиками единого налога является осуществление ими деятельности, связанной с: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- оказанием потребителям услуг (выполнением работ);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- розничной торговлей;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- общественным питанием.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 этой связи необходимо отметить, что Положением не ограничена форма расчетов (наличная или безналичная) физических лиц с индивидуальными предпринимателями за выполняемые работы (оказываемые услуги), реализуемые товары. То есть для определения критериев плательщиков единого налога определяющим является факт реализации товаров (работ, услуг) физическим лицам, а не форма расчетов.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Соответственно при реализации товаров (работ, услуг) юридическим лицам и индивидуальным предпринимателям (также независимо от того, осуществляется ли реализация за наличный либо безналичный расчет) система уплаты единого налога не применяется.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Однако осуществление предпринимателями деятельности в перечисленных сферах не всегда означает признание его плательщиком единого налога.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Для того чтобы признать индивидуального предпринимателя плательщиком единого налога в каждой из перечисленных сфер деятельности следует соблюсти дополнительные условия.</w:t>
      </w:r>
    </w:p>
    <w:p w:rsidR="00282255" w:rsidRP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aps/>
          <w:kern w:val="28"/>
          <w:sz w:val="28"/>
          <w:szCs w:val="28"/>
        </w:rPr>
      </w:pPr>
      <w:r w:rsidRPr="006A0BB9">
        <w:rPr>
          <w:bCs/>
          <w:caps/>
          <w:kern w:val="28"/>
          <w:sz w:val="28"/>
          <w:szCs w:val="28"/>
        </w:rPr>
        <w:br w:type="page"/>
      </w:r>
      <w:r w:rsidR="00282255" w:rsidRPr="006A0BB9">
        <w:rPr>
          <w:bCs/>
          <w:caps/>
          <w:kern w:val="28"/>
          <w:sz w:val="28"/>
          <w:szCs w:val="28"/>
        </w:rPr>
        <w:t>Оказание потребителям услуг (выполнение работ)</w:t>
      </w:r>
    </w:p>
    <w:p w:rsid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Индивидуальные предприниматели, осуществляющие деятельность в данной сфере, должны уплачивать единый налог только при осуществлении тех видов деятельности, которые поименованы в утвержденном Указом перечне видов деятельности, при осуществлении которых индивидуальные предприниматели и иные физические лица уплачивают единый налог, и базовых ставок единого налога (далее - Перечень).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Упомянутый Перечень является исчерпывающим. В связи с этим осуществление индивидуальными предпринимателями не предусмотренных Перечнем видов деятельности не подпадает под применение системы уплаты единого налога.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Соответственно, если какие-то из предусмотренных Перечнем видов в последующем будут исключаться, то предприниматели должны будут переходить на применение либо общего порядка налогообложения, либо упрощенной системы налогообложения (при соблюдении установленных законодательством условий о размере получаемой выручки).</w:t>
      </w:r>
    </w:p>
    <w:p w:rsidR="00282255" w:rsidRP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aps/>
          <w:kern w:val="28"/>
          <w:sz w:val="28"/>
          <w:szCs w:val="28"/>
        </w:rPr>
      </w:pPr>
      <w:r>
        <w:rPr>
          <w:bCs/>
          <w:caps/>
          <w:kern w:val="28"/>
          <w:sz w:val="28"/>
          <w:szCs w:val="28"/>
          <w:lang w:val="en-US"/>
        </w:rPr>
        <w:br w:type="page"/>
      </w:r>
      <w:r w:rsidR="00282255" w:rsidRPr="006A0BB9">
        <w:rPr>
          <w:bCs/>
          <w:caps/>
          <w:kern w:val="28"/>
          <w:sz w:val="28"/>
          <w:szCs w:val="28"/>
        </w:rPr>
        <w:t>Розничная торговля</w:t>
      </w:r>
    </w:p>
    <w:p w:rsid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 розничной торговле применение рассматриваемой системы налогообложения осуществляется при соблюдении нескольких условий, касающихся видов реализуемых товаров, а также площади используемых торговых объектов.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 отношении реализуемых товаров предусмотрены ограничения по их видам. То есть при продаже определенных видов товаров, указанных в перечне, единый налог не уплачивается. Это: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пиво и алкогольные напитки;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все виды изделий из натурального меха;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мебель;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электрохолодильники бытовые и морозильники, машины стиральные бытовые;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телевизионные приемники цветного и черно-белого изображения;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компьютеры бытовые персональные, ноутбуки, их составные части и узлы;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мобильные телефоны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драгоценные металлы и драгоценные камни и изделия из них;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специфические товары;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табачные изделия;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нефтепродукты, реализуемые через автозаправочные станции;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газеты и журналы;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ценные бумаги.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Ограничения, касающиеся видов реализуемых товаров, не исключают применения системы уплаты единого налога в торговом объекте, в котором наряду с иными реализуются перечисленные выше товары. В таком случае предпринимателю следует по торговому объекту уплачивать единый налог, а по реализации товаров, не облагаемых единым налогом, применять общий порядок налогообложения (либо упрощенную систему налогообложения). Это же правило применяется и при реализации в установленных случаях товаров при развозной и разносной торговле, а также при розничной торговле в предусмотренных законодательством формах, осуществляемых без наличия торгового объекта (в частности, торговля посредством размещения рекламных объявлений в СМИ и через Интернет).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Что касается торговых объектов, в которых может осуществляться розничная продажа товаров, то в целях уплаты единого налога ограничений по их типам не существует.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То есть система уплаты единого налога применяется при реализации определенных Положением видов товаров в любых торговых объектах - в магазинах, на торговых местах на рынках, в расположенном на торговом месте ином торговом объекте. Также ее применение предусмотрено при продаже товаров с использованием торговых автоматов, при развозной и разносной торговле, а также при розничной торговле в предусмотренных законодательством формах, осуществляемых без наличия торгового объекта.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Однако следует учитывать, что для применения системы уплаты единого налога в отношении отдельных торговых объектов установлены ограничения по площади. Установленные ограничения различны в зависимости от типа таких объектов: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 xml:space="preserve">для магазина торговая и общая площадь не должны превышать соответственно 15 и </w:t>
      </w:r>
      <w:smartTag w:uri="urn:schemas-microsoft-com:office:smarttags" w:element="metricconverter">
        <w:smartTagPr>
          <w:attr w:name="ProductID" w:val="100 кв. метров"/>
        </w:smartTagPr>
        <w:r w:rsidRPr="006A0BB9">
          <w:rPr>
            <w:kern w:val="28"/>
            <w:sz w:val="28"/>
            <w:szCs w:val="28"/>
          </w:rPr>
          <w:t>100 кв. метров</w:t>
        </w:r>
      </w:smartTag>
      <w:r w:rsidRPr="006A0BB9">
        <w:rPr>
          <w:kern w:val="28"/>
          <w:sz w:val="28"/>
          <w:szCs w:val="28"/>
        </w:rPr>
        <w:t xml:space="preserve"> (включительно);</w:t>
      </w:r>
    </w:p>
    <w:p w:rsidR="00282255" w:rsidRPr="006A0BB9" w:rsidRDefault="00282255" w:rsidP="006A0BB9">
      <w:pPr>
        <w:pBdr>
          <w:bottom w:val="single" w:sz="6" w:space="3" w:color="9E9E9E"/>
          <w:right w:val="single" w:sz="6" w:space="3" w:color="9E9E9E"/>
        </w:pBdr>
        <w:shd w:val="clear" w:color="auto" w:fill="EFEFEF"/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Примечание. Положение определяет магазин как специально оборудованное стационарное здание (или его часть), которое предназначено для продажи товаров и оказания услуг покупателям, имеющее специально оборудованное основное помещение, предназначенное для обслуживания покупателей, занятое оборудованием для демонстрации товаров, а при необходимости - помещения для оказания услуг.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 xml:space="preserve">для расположенного на торговом месте иного торгового объекта общая площадь не должна превышать </w:t>
      </w:r>
      <w:smartTag w:uri="urn:schemas-microsoft-com:office:smarttags" w:element="metricconverter">
        <w:smartTagPr>
          <w:attr w:name="ProductID" w:val="100 кв. метров"/>
        </w:smartTagPr>
        <w:r w:rsidRPr="006A0BB9">
          <w:rPr>
            <w:kern w:val="28"/>
            <w:sz w:val="28"/>
            <w:szCs w:val="28"/>
          </w:rPr>
          <w:t>100 кв. метров</w:t>
        </w:r>
      </w:smartTag>
      <w:r w:rsidRPr="006A0BB9">
        <w:rPr>
          <w:kern w:val="28"/>
          <w:sz w:val="28"/>
          <w:szCs w:val="28"/>
        </w:rPr>
        <w:t xml:space="preserve"> (включительно).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 качестве иного торгового объекта, в том числе, следует рассматривать павильон с торговым залом (то есть для его оценки не применяется критерий предельного размера торговой площади).</w:t>
      </w:r>
    </w:p>
    <w:p w:rsidR="00282255" w:rsidRPr="006A0BB9" w:rsidRDefault="00282255" w:rsidP="006A0BB9">
      <w:pPr>
        <w:pBdr>
          <w:bottom w:val="single" w:sz="6" w:space="3" w:color="9E9E9E"/>
          <w:right w:val="single" w:sz="6" w:space="3" w:color="9E9E9E"/>
        </w:pBdr>
        <w:shd w:val="clear" w:color="auto" w:fill="EFEFEF"/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Примечание. При определении фактического размера (общей площади) торгового объекта (кроме магазинов, павильонов с торговым залом) не учитывается размер площадей общего пользования (коридоры, тамбуры, переходы, лестничные клетки, лифтовые шахты, санузлы и т.п.).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Общая площадь магазина определяется как площадь всех помещений магазина (все надземные, цокольные и подвальные помещения, включая галереи, тоннели, площадки, антресоли, рампы, переходы в другие помещения и т.д.). аналогично определяется общая площадь павильона с торговым залом.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 xml:space="preserve">Одновременно Положением установлены ограничения по общей площади используемых "вспомогательных" объектов для производства, переработки и хранения товаров, предназначенных для торговли в любом из предусмотренных торговых объектов - в магазине, ином торговом объекте, торговом месте на рынке. Такая площадь по каждому из перечисленных "вспомогательных" объектов не может превышать </w:t>
      </w:r>
      <w:smartTag w:uri="urn:schemas-microsoft-com:office:smarttags" w:element="metricconverter">
        <w:smartTagPr>
          <w:attr w:name="ProductID" w:val="100 кв. метров"/>
        </w:smartTagPr>
        <w:r w:rsidRPr="006A0BB9">
          <w:rPr>
            <w:kern w:val="28"/>
            <w:sz w:val="28"/>
            <w:szCs w:val="28"/>
          </w:rPr>
          <w:t>100 кв. метров</w:t>
        </w:r>
      </w:smartTag>
      <w:r w:rsidRPr="006A0BB9">
        <w:rPr>
          <w:kern w:val="28"/>
          <w:sz w:val="28"/>
          <w:szCs w:val="28"/>
        </w:rPr>
        <w:t xml:space="preserve"> (включительно).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То есть при осуществлении розничной торговли применение системы уплаты единого налога возможно при соблюдении пределов площади как торгового (кроме торговых мест на рынках), так и "вспомогательных" объектов.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kern w:val="28"/>
          <w:sz w:val="28"/>
          <w:szCs w:val="28"/>
        </w:rPr>
      </w:pPr>
      <w:r w:rsidRPr="006A0BB9">
        <w:rPr>
          <w:bCs/>
          <w:iCs/>
          <w:kern w:val="28"/>
          <w:sz w:val="28"/>
          <w:szCs w:val="28"/>
        </w:rPr>
        <w:t>Пример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 xml:space="preserve">Индивидуальный предприниматель осуществляет розничную торговлю продовольственными товарами в павильоне без торгового зала, общая площадь которого составляет </w:t>
      </w:r>
      <w:smartTag w:uri="urn:schemas-microsoft-com:office:smarttags" w:element="metricconverter">
        <w:smartTagPr>
          <w:attr w:name="ProductID" w:val="30 кв. метров"/>
        </w:smartTagPr>
        <w:r w:rsidRPr="006A0BB9">
          <w:rPr>
            <w:kern w:val="28"/>
            <w:sz w:val="28"/>
            <w:szCs w:val="28"/>
          </w:rPr>
          <w:t>30 кв. метров</w:t>
        </w:r>
      </w:smartTag>
      <w:r w:rsidRPr="006A0BB9">
        <w:rPr>
          <w:kern w:val="28"/>
          <w:sz w:val="28"/>
          <w:szCs w:val="28"/>
        </w:rPr>
        <w:t xml:space="preserve">. Для хранения товаров используется складское помещение общей площадью </w:t>
      </w:r>
      <w:smartTag w:uri="urn:schemas-microsoft-com:office:smarttags" w:element="metricconverter">
        <w:smartTagPr>
          <w:attr w:name="ProductID" w:val="105 кв. метров"/>
        </w:smartTagPr>
        <w:r w:rsidRPr="006A0BB9">
          <w:rPr>
            <w:kern w:val="28"/>
            <w:sz w:val="28"/>
            <w:szCs w:val="28"/>
          </w:rPr>
          <w:t>105 кв. метров</w:t>
        </w:r>
      </w:smartTag>
      <w:r w:rsidRPr="006A0BB9">
        <w:rPr>
          <w:kern w:val="28"/>
          <w:sz w:val="28"/>
          <w:szCs w:val="28"/>
        </w:rPr>
        <w:t>. В такой ситуации система уплаты единого налога не применяется.</w:t>
      </w:r>
    </w:p>
    <w:p w:rsidR="00282255" w:rsidRP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aps/>
          <w:kern w:val="28"/>
          <w:sz w:val="28"/>
          <w:szCs w:val="28"/>
        </w:rPr>
      </w:pPr>
      <w:r>
        <w:rPr>
          <w:bCs/>
          <w:caps/>
          <w:kern w:val="28"/>
          <w:sz w:val="28"/>
          <w:szCs w:val="28"/>
          <w:lang w:val="en-US"/>
        </w:rPr>
        <w:br w:type="page"/>
      </w:r>
      <w:r w:rsidR="00282255" w:rsidRPr="006A0BB9">
        <w:rPr>
          <w:bCs/>
          <w:caps/>
          <w:kern w:val="28"/>
          <w:sz w:val="28"/>
          <w:szCs w:val="28"/>
        </w:rPr>
        <w:t>Общественное питание</w:t>
      </w:r>
    </w:p>
    <w:p w:rsid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Индивидуальные предприниматели, осуществляющие деятельность в сфере общественного питания, будут признаваться плательщиками единого налога при одновременном соблюдении двух условий.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Во-первых, если эта деятельность осуществляется через торговые объекты, относящиеся к мелкорозничной торговой сети общественного питания (мини-кафе, летние и сезонные кафе).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Во-вторых, если в указанных торговых объектах не осуществляется торговля алкогольными напитками, пивом, табачными изделиями.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 несоблюдении указанных условий (когда в торговых объектах, относящихся к мелкорозничной торговой сети общественного питания, осуществляется торговля алкогольными напитками, пивом, табачными изделиями либо общественное питание осуществляется через торговые объекты, не относящиеся к мелкорозничной торговой сети общественного питания) система уплаты единого налога не применяется.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Введение рассматриваемой системы налогообложения осуществлялось с целью упрощения порядка уплаты налогов. То есть основные налоговые платежи, уплачиваемые ранее при осуществлении деятельности, связанной с реализацией товаров (работ, услуг) потребителям, были заменены одним - единым налогом. При этом размер уплачиваемого единого налога поставлен в зависимость лишь от физических характеристик осуществляемой деятельности: при розничной торговле - ассортимента и происхождения реализуемых товаров, фактического размера торгового объекта, продолжительности периода реализации (при продаже товаров вне стационарной торговой сети), а при оказании услуг (выполнении работ) - вида реализуемых услуг (работ), места их реализации и количества привлекаемых к реализации физических лиц (а при осуществлении в отдельных случаях транспортных перевозок - количества используемых транспортных средств). Учесть такие физические показатели при исчислении налога возможно, применив соответствующую ставку налога и скорректировав ее в необходимых случаях на повышающие (понижающие) коэффициенты.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 настоящее время, применяя систему уплаты единого налога, индивидуальные предприниматели освобождаются от уплаты: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подоходного налога с физических лиц на доходы, получаемые ими при осуществлении видов деятельности, перечисленных в Перечене видов товаров, относящихся к товарным группам, перечисленным в перечне видов деятельности, при осуществлении которых индивидуальные предприниматели и иные физические лица уплачивают единый налог, и базовых ставок единого налога, утвержденном Указом Президента Республики Беларусь от 18.06.2005 № 285 (утвержден постановлением Совета Министров Республики Беларусь от 13.07.2005 № 772) (далее - Перечень видов товаров);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налога на добавленную стоимость (далее - НДС), за исключением налога, уплачиваемого на товары, ввозимые на таможенную территорию Республики Беларусь.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 xml:space="preserve">В отношении НДС, уплачиваемого на товары, ввозимые на таможенную территорию Республики Беларусь из Российской Федерации, для плательщиков единого налога Положением до 31 декабря </w:t>
      </w:r>
      <w:smartTag w:uri="urn:schemas-microsoft-com:office:smarttags" w:element="metricconverter">
        <w:smartTagPr>
          <w:attr w:name="ProductID" w:val="2008 г"/>
        </w:smartTagPr>
        <w:r w:rsidRPr="006A0BB9">
          <w:rPr>
            <w:kern w:val="28"/>
            <w:sz w:val="28"/>
            <w:szCs w:val="28"/>
          </w:rPr>
          <w:t>2008 г</w:t>
        </w:r>
      </w:smartTag>
      <w:r w:rsidRPr="006A0BB9">
        <w:rPr>
          <w:kern w:val="28"/>
          <w:sz w:val="28"/>
          <w:szCs w:val="28"/>
        </w:rPr>
        <w:t>. предусмотрено два варианта его уплаты: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- в фиксированной сумме - по ввезенным на территорию Республики Беларусь с территории Российской Федерации товарам, при розничной торговле которыми уплачивается единый налог, в случае отсутствия документов на эти товары (договоров, на основании которых товар ввозится с территории Российской Федерации на территорию Республики Беларусь, транспортных документов (товаросопроводительных документов), подтверждающих перемещение товаров с территории Российской Федерации на территорию Республики Беларусь, счетов-фактур налогоплательщиков Российской Федерации);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- в установленном законодательством порядке (по ставке 18 процентов от стоимости ввозимых товаров, определяемой в порядке, установленном Положением о порядке взимания косвенных налогов и механизме контроля за их уплатой при перемещении товаров между Республикой Беларусь и Российской Федерацией) - по ввезенным на территорию Республики Беларусь с территории Российской Федерации товарам, не предназначенным для розничной торговли, а также товарам, приобретаемым для розничной продажи, на которые имеются все необходимые документы на приобретение;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- налога за использование природных ресурсов (экологического налога);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сбора на организацию заготовки и использования стеклянной тары и тары на основе бумаги и картона в качестве вторичного сырья;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местных налогов и сборов, взимаемых при осуществлении видов деятельности, указанных в Перечне.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Иные налоги индивидуальные предприниматели должны уплачивать в общеустановленном порядке. Наиболее типичными для "единщиков" в настоящее время являются налог на недвижимость, налог на землю, налог на приобретение автотранспортных средств.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Также при применении системы уплаты единого налога следует обращать особое внимание на введение новых видов налогов. Индивидуальные предприниматели-"единщики" не будут являться их плательщиками, если только в законодательном акте, которым вводятся такие налоги, имеются соответствующие положения.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Помимо замены нескольких видов налоговых платежей одним система уплаты единого налога предусматривает упрощение порядка ведения учета предпринимательской деятельности (о чем будет сказано ниже), упразднение в отдельных случаях таможенных процедур.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Так, в соответствии с Указом товары, происходящие из третьих стран и выпущенные в свободное обращение в Российской Федерации (за исключением подакцизных товаров, подлежащих маркировке акцизными марками), при розничной торговле которыми (при реализации которых через объекты общественного питания) индивидуальные предприниматели уплачивают единый налог, не подлежат таможенному оформлению и обложению таможенной пошлиной (сборами) при их ввозе на территорию Республики Беларусь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 xml:space="preserve">Здесь также необходимо отметить, что в настоящее время система уплаты единого налога является обязательной не во всех случаях. Положение предусматривает возможность выбора системы налогообложения (право выбора предусмотрено до 31 декабря </w:t>
      </w:r>
      <w:smartTag w:uri="urn:schemas-microsoft-com:office:smarttags" w:element="metricconverter">
        <w:smartTagPr>
          <w:attr w:name="ProductID" w:val="2008 г"/>
        </w:smartTagPr>
        <w:r w:rsidRPr="006A0BB9">
          <w:rPr>
            <w:kern w:val="28"/>
            <w:sz w:val="28"/>
            <w:szCs w:val="28"/>
          </w:rPr>
          <w:t>2008 г</w:t>
        </w:r>
      </w:smartTag>
      <w:r w:rsidRPr="006A0BB9">
        <w:rPr>
          <w:kern w:val="28"/>
          <w:sz w:val="28"/>
          <w:szCs w:val="28"/>
        </w:rPr>
        <w:t>.). Однако правом на такой выбор могут воспользоваться лишь индивидуальные предприниматели, осуществляющие деятельность в сфере розничной торговли, при наличии у них документов на все реализуемые товары. В такой ситуации индивидуальные предприниматели вправе не применять систему уплаты единого налога, а уплачивать налоги, сборы (пошлины) в соответствии с законодательными актами по всем реализуемым товарам (то есть применять либо общий порядок налогообложения, либо при соблюдении установленных законодательством условий о размере получаемой выручки - упрощенную систему налогообложения. Сделать это возможно на основании заявления, представляемого индивидуальным предпринимателем в налоговый орган по месту постановки на учет до начала месяца, с которого будут уплачиваться налоги, сборы (пошлины).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Следует обратить внимание, что отказ от системы уплаты единого налога не возможен в отношении отдельных торговых объектов. Наличие необходимых документов на приобретение товаров рассматривается по всем реализуемым товарам, а не по товарам, реализуемым в отдельных торговых объектах.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kern w:val="28"/>
          <w:sz w:val="28"/>
          <w:szCs w:val="28"/>
        </w:rPr>
      </w:pPr>
      <w:r w:rsidRPr="006A0BB9">
        <w:rPr>
          <w:bCs/>
          <w:iCs/>
          <w:kern w:val="28"/>
          <w:sz w:val="28"/>
          <w:szCs w:val="28"/>
        </w:rPr>
        <w:t>Пример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Индивидуальный предприниматель занимается розничной продажей продуктов питания в двух павильонах, показатели площади которых удовлетворяют установленным критериям для торговых объектов, по которым уплачивается единый налог. В одном из павильонов реализуются товары, на которые имеются все необходимые документы, подтверждающие их приобретение, в другом такие документы по части товаров отсутствуют.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 данной ситуации индивидуальный предприниматель не сможет отказаться от системы уплаты единого налога и перейти на иную систему налогообложения (общеустановленную или упрощенную) по одному из павильонов, в котором имеются документы на реализуемые товары. Такой переход был бы возможен в случае наличия необходимых документов на реализуемые в обоих павильонах товары.</w:t>
      </w:r>
    </w:p>
    <w:p w:rsidR="00282255" w:rsidRP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aps/>
          <w:kern w:val="28"/>
          <w:sz w:val="28"/>
          <w:szCs w:val="28"/>
        </w:rPr>
      </w:pPr>
      <w:r>
        <w:rPr>
          <w:bCs/>
          <w:caps/>
          <w:kern w:val="28"/>
          <w:sz w:val="28"/>
          <w:szCs w:val="28"/>
          <w:lang w:val="en-US"/>
        </w:rPr>
        <w:br w:type="page"/>
      </w:r>
      <w:r w:rsidR="00282255" w:rsidRPr="006A0BB9">
        <w:rPr>
          <w:bCs/>
          <w:caps/>
          <w:kern w:val="28"/>
          <w:sz w:val="28"/>
          <w:szCs w:val="28"/>
        </w:rPr>
        <w:t>СТАВКИ ЕДИНОГО НАЛОГА</w:t>
      </w:r>
    </w:p>
    <w:p w:rsid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Ставки единого налога установлены (в евро) соответствующими решениями Минского городского и областных Советов депутатов в пределах базовых ставок, определенных в Перечне.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 этом, предусмотренные в перечне базовые ставки единого налога разделены по населенным пунктам: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bCs/>
          <w:kern w:val="28"/>
          <w:sz w:val="28"/>
          <w:szCs w:val="28"/>
        </w:rPr>
        <w:t>г.</w:t>
      </w:r>
      <w:r w:rsidRPr="006A0BB9">
        <w:rPr>
          <w:kern w:val="28"/>
          <w:sz w:val="28"/>
          <w:szCs w:val="28"/>
        </w:rPr>
        <w:t xml:space="preserve"> Минск, Минский район;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гг. Брест, Гродно;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гг. Витебск, Гомель, Могилев;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иные города областного подчинения;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другие населенные пункты.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Соответственно в решениях ставки дифференцированы в зависимости от населенных пунктов.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Следует отметить, что в решениях наряду со ставками единого налога могут быть установлены повышающие либо понижающие коэффициенты, применяемые к этим ставкам. Причем их наличие вовсе не обязательно, но если они все же установлены, то, скорее всего, они различаются в зависимости от области (г.Минска). Поэтому при расчете налога важно в соответствующем решении обратить внимание не только на ставку налога, но и на наличие коэффициентов.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Характерными для всех решений областных Советов депутатов являются понижающие коэффициенты к ставкам единого налога при оказании платных услуг населению в сельских населенных пунктах, поселках городского типа и городах районного подчинения. Обязательное их наличие предусмотрено Положением.</w:t>
      </w:r>
    </w:p>
    <w:p w:rsidR="00282255" w:rsidRP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aps/>
          <w:kern w:val="28"/>
          <w:sz w:val="28"/>
          <w:szCs w:val="28"/>
        </w:rPr>
      </w:pPr>
      <w:r>
        <w:rPr>
          <w:bCs/>
          <w:caps/>
          <w:kern w:val="28"/>
          <w:sz w:val="28"/>
          <w:szCs w:val="28"/>
          <w:lang w:val="en-US"/>
        </w:rPr>
        <w:br w:type="page"/>
      </w:r>
      <w:r w:rsidR="00282255" w:rsidRPr="006A0BB9">
        <w:rPr>
          <w:bCs/>
          <w:caps/>
          <w:kern w:val="28"/>
          <w:sz w:val="28"/>
          <w:szCs w:val="28"/>
        </w:rPr>
        <w:t>ЛЬГОТЫ ПО ЕДИНОМУ НАЛОГУ</w:t>
      </w:r>
    </w:p>
    <w:p w:rsidR="006A0BB9" w:rsidRDefault="006A0BB9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  <w:lang w:val="en-US"/>
        </w:rPr>
      </w:pP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Отдельные категории плательщиков имеют право на льготы по единому налогу. Установленные решениями Минского городского и областных Советов депутатов ставки единого налога понижаются для: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bCs/>
          <w:kern w:val="28"/>
          <w:sz w:val="28"/>
          <w:szCs w:val="28"/>
        </w:rPr>
        <w:t>1.</w:t>
      </w:r>
      <w:r w:rsidRPr="006A0BB9">
        <w:rPr>
          <w:kern w:val="28"/>
          <w:sz w:val="28"/>
          <w:szCs w:val="28"/>
        </w:rPr>
        <w:t xml:space="preserve"> физических лиц, впервые зарегистрированных в качестве индивидуальных предпринимателей, - на 25 процентов в первые три месяца, начиная с месяца, в котором индивидуальным предпринимателем начата предпринимательская деятельность, включая последний день месяца, в котором истекает право на льготу;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bCs/>
          <w:kern w:val="28"/>
          <w:sz w:val="28"/>
          <w:szCs w:val="28"/>
        </w:rPr>
        <w:t>2.</w:t>
      </w:r>
      <w:r w:rsidRPr="006A0BB9">
        <w:rPr>
          <w:kern w:val="28"/>
          <w:sz w:val="28"/>
          <w:szCs w:val="28"/>
        </w:rPr>
        <w:t xml:space="preserve"> плательщиков единого налога, достигших возраста: мужчины - 60 лет, женщины - 55 лет, независимо от вида получаемой пенсии, а также плательщиков-инвалидов - на 20 процентов начиная с месяца, следующего за месяцем, в котором возникло право на льготу;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bCs/>
          <w:kern w:val="28"/>
          <w:sz w:val="28"/>
          <w:szCs w:val="28"/>
        </w:rPr>
        <w:t>3.</w:t>
      </w:r>
      <w:r w:rsidRPr="006A0BB9">
        <w:rPr>
          <w:kern w:val="28"/>
          <w:sz w:val="28"/>
          <w:szCs w:val="28"/>
        </w:rPr>
        <w:t xml:space="preserve"> плательщиков единого налога - родителей (усыновителей) в многодетных семьях с тремя и более детьми в возрасте до 18 лет - на 20 процентов начиная с месяца, следующего за месяцем, в котором возникло право на льготу, включая последний день месяца, в котором утрачено такое право;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bCs/>
          <w:kern w:val="28"/>
          <w:sz w:val="28"/>
          <w:szCs w:val="28"/>
        </w:rPr>
        <w:t>4.</w:t>
      </w:r>
      <w:r w:rsidRPr="006A0BB9">
        <w:rPr>
          <w:kern w:val="28"/>
          <w:sz w:val="28"/>
          <w:szCs w:val="28"/>
        </w:rPr>
        <w:t xml:space="preserve"> плательщиков единого налога, воспитывающих детей-инвалидов в возрасте до 18 лет, - на 20 процентов начиная с месяца, следующего за месяцем, в котором возникло право на льготу, включая последний день месяца, в котором ребенок-инвалид достиг 18-летнего возраста.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Если индивидуальный предприниматель претендует на получение льготы одновременно по нескольким основаниям (двум и более), то ставка налога понижается на 45 процентов (независимо от арифметической суммы предусмотренных размеров льгот по соответствующим основаниям).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Пример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Индивидуальный предприниматель воспитывает троих детей в возрасте до 18 лет, один из которых является инвалидом. В рассматриваемой ситуации ставка единого налога будет понижаться на 45 процентов.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 таком же размере понижалась ставки налога, если бы наряду с указанными основаниями индивидуальный предприниматель дополнительно претендовал на получение льготы как впервые зарегистрированный.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 использовании льготы индивидуальный предприниматель не должен забывать об обязанности одновременного представления с налоговой деклараций (расчетом) по единому налогу документов, подтверждающих право на льготы. В последующих налоговых периодах для получения льготы по тому же основанию подтверждающие документы прилагать к соответствующим налоговым декларациям (расчетам) не надо.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Применение льгот по единому налогу в зависимости от сферы деятельности имеет свои особенности. Так, она применяется:</w:t>
      </w:r>
    </w:p>
    <w:p w:rsidR="00282255" w:rsidRPr="006A0BB9" w:rsidRDefault="00282255" w:rsidP="005670FF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 розничной торговле (при осуществлении общественного питания) - по выбору плательщика по одному торговому объекту (в том числе относящемуся к мелкорозничной торговой сети общественного питания) или торговому месту на рынке.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Это не касается случаев осуществления розничной торговли индивидуальным предпринимателем без привлечения к реализации физических лиц. В таких случаях льготы применяются к общей сумме налога, исчисленной за календарный месяц по торговым объектам, торговым местам на рынке, на которых этим предпринимателем осуществляется реализация товаров;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 оказании потребителям услуг (выполнении работ) - по "основной" сумме налога без учета суммы налога, уплачиваемой по привлекаемым предпринимателем физическим лицам.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Использование льготы по налогу производится посредством применения коэффициента льготы. Его расчет производится следующим образом: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КЛ = (100-Л)/100,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где КЛ - коэффициент льготы;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Л - размер льготы в процентах.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Рассчитанный коэффициент льготы отражается по строке 5 пункта 3 налоговой декларации (расчета) по единому налогу.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В соответствии с Положением о едином налоге с индивидуальных предпринимателей и иных физических лиц, утвержденным Указом Президента Республики Беларусь от 18.06.2005 № 285 "О некоторых мерах по регулированию предпринимательской деятельности" (далее - Положение), возможно получение льготы (льгот) в следующих размерах:</w:t>
      </w:r>
    </w:p>
    <w:p w:rsidR="00282255" w:rsidRPr="006A0BB9" w:rsidRDefault="00282255" w:rsidP="005670FF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20 процентов (при наличии у предпринимателя права на одну из льгот, указанных выше в пунктах 2-4);</w:t>
      </w:r>
    </w:p>
    <w:p w:rsidR="00282255" w:rsidRPr="006A0BB9" w:rsidRDefault="00282255" w:rsidP="005670FF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25 процентов (при наличии у предпринимателя права на льготу, указанную выше в пункте 1);</w:t>
      </w:r>
    </w:p>
    <w:p w:rsidR="00282255" w:rsidRPr="006A0BB9" w:rsidRDefault="00282255" w:rsidP="005670FF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45 процентов (при наличии у предпринимателя права на две и более из льгот, указанных выше в пунктах 1-4).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Коэффициенты льготы соответственно составят:</w:t>
      </w:r>
    </w:p>
    <w:p w:rsidR="00282255" w:rsidRPr="006A0BB9" w:rsidRDefault="00282255" w:rsidP="005670FF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0,8 ((100-20)/100);</w:t>
      </w:r>
    </w:p>
    <w:p w:rsidR="00282255" w:rsidRPr="006A0BB9" w:rsidRDefault="00282255" w:rsidP="005670FF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0,75 ((100-25)/100);</w:t>
      </w:r>
    </w:p>
    <w:p w:rsidR="00282255" w:rsidRPr="006A0BB9" w:rsidRDefault="00282255" w:rsidP="005670FF">
      <w:pPr>
        <w:autoSpaceDE w:val="0"/>
        <w:autoSpaceDN w:val="0"/>
        <w:adjustRightInd w:val="0"/>
        <w:spacing w:line="360" w:lineRule="auto"/>
        <w:ind w:left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0,55 ((100-45)/100).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Если для условий осуществления деятельности индивидуального предпринимателя предусмотрено применение повышающих коэффициентов, то коэффициент льготы применяется к исчисленной с учетом повышающих (понижающих) коэффициентов ставке налога.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При реализации продукции животноводства (кроме пушного звероводства), пчеловодства и растениеводства (за исключением цветов и семян цветов) индивидуальные предприниматели вовсе освобождаются от уплаты единого налога. Такое освобождение производится при условии наличия в торговых местах на рынках и в торговых объектах справки, выданной местным исполнительным и распорядительным органом, подтверждающей, что продаваемая этими лицами продукция произведена на земельном участке, предоставленном им в соответствии с законодательством для ведения личного подсобного хозяйства, садоводства, огородничества (в отношении продукции пчеловодства - при условии предъявления ветеринарно-санитарного паспорта пасеки или свидетельства, оформленного на основании этого паспорта.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Отнесение товаров к семенам осуществляется в соответствии с Законом Республики Беларусь от 14 февраля 1997 года "О семенах"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  <w:r w:rsidRPr="006A0BB9">
        <w:rPr>
          <w:kern w:val="28"/>
          <w:sz w:val="28"/>
          <w:szCs w:val="28"/>
        </w:rPr>
        <w:t>Также от уплаты единого налога освобождаются индивидуальные предприниматели, реализующие лекарственные растения, ягоды, грибы, орехи, другую дикорастущую продукцию.</w:t>
      </w:r>
    </w:p>
    <w:p w:rsidR="00282255" w:rsidRPr="006A0BB9" w:rsidRDefault="00282255" w:rsidP="005670FF">
      <w:pPr>
        <w:spacing w:line="360" w:lineRule="auto"/>
        <w:ind w:firstLine="1418"/>
        <w:jc w:val="both"/>
        <w:rPr>
          <w:b/>
          <w:kern w:val="28"/>
          <w:sz w:val="28"/>
          <w:szCs w:val="28"/>
        </w:rPr>
      </w:pPr>
      <w:r w:rsidRPr="006A0BB9">
        <w:rPr>
          <w:sz w:val="28"/>
          <w:szCs w:val="28"/>
        </w:rPr>
        <w:br w:type="page"/>
      </w:r>
      <w:r w:rsidRPr="006A0BB9">
        <w:rPr>
          <w:b/>
          <w:kern w:val="28"/>
          <w:sz w:val="28"/>
          <w:szCs w:val="28"/>
        </w:rPr>
        <w:t>СПИСОК ИСПОЛЬЗОВАННЫХ ИСТОЧНИКОВ</w:t>
      </w:r>
    </w:p>
    <w:p w:rsidR="00282255" w:rsidRPr="006A0BB9" w:rsidRDefault="00282255" w:rsidP="006A0BB9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282255" w:rsidRPr="005670FF" w:rsidRDefault="00282255" w:rsidP="005670FF">
      <w:pPr>
        <w:pStyle w:val="HTML"/>
        <w:numPr>
          <w:ilvl w:val="0"/>
          <w:numId w:val="4"/>
        </w:numPr>
        <w:tabs>
          <w:tab w:val="clear" w:pos="1832"/>
          <w:tab w:val="left" w:pos="1418"/>
        </w:tabs>
        <w:spacing w:line="360" w:lineRule="auto"/>
        <w:ind w:left="1418" w:hanging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670FF">
        <w:rPr>
          <w:rFonts w:ascii="Times New Roman" w:hAnsi="Times New Roman" w:cs="Times New Roman"/>
          <w:kern w:val="28"/>
          <w:sz w:val="28"/>
          <w:szCs w:val="28"/>
        </w:rPr>
        <w:t xml:space="preserve">Конституция Республики Беларусь 1994 года. Принята на республиканском референдуме </w:t>
      </w:r>
      <w:smartTag w:uri="urn:schemas-microsoft-com:office:smarttags" w:element="date">
        <w:smartTagPr>
          <w:attr w:name="Year" w:val="1996"/>
          <w:attr w:name="Day" w:val="24"/>
          <w:attr w:name="Month" w:val="11"/>
          <w:attr w:name="ls" w:val="trans"/>
        </w:smartTagPr>
        <w:r w:rsidRPr="005670FF">
          <w:rPr>
            <w:rFonts w:ascii="Times New Roman" w:hAnsi="Times New Roman" w:cs="Times New Roman"/>
            <w:kern w:val="28"/>
            <w:sz w:val="28"/>
            <w:szCs w:val="28"/>
          </w:rPr>
          <w:t>24 ноября 1996 года</w:t>
        </w:r>
      </w:smartTag>
      <w:r w:rsidRPr="005670FF">
        <w:rPr>
          <w:rFonts w:ascii="Times New Roman" w:hAnsi="Times New Roman" w:cs="Times New Roman"/>
          <w:kern w:val="28"/>
          <w:sz w:val="28"/>
          <w:szCs w:val="28"/>
        </w:rPr>
        <w:t xml:space="preserve"> (с изменениями и дополнениями, принятыми на республиканских референдумах </w:t>
      </w:r>
      <w:smartTag w:uri="urn:schemas-microsoft-com:office:smarttags" w:element="date">
        <w:smartTagPr>
          <w:attr w:name="Year" w:val="1996"/>
          <w:attr w:name="Day" w:val="24"/>
          <w:attr w:name="Month" w:val="11"/>
          <w:attr w:name="ls" w:val="trans"/>
        </w:smartTagPr>
        <w:r w:rsidRPr="005670FF">
          <w:rPr>
            <w:rFonts w:ascii="Times New Roman" w:hAnsi="Times New Roman" w:cs="Times New Roman"/>
            <w:kern w:val="28"/>
            <w:sz w:val="28"/>
            <w:szCs w:val="28"/>
          </w:rPr>
          <w:t>24 ноября 1996г.</w:t>
        </w:r>
      </w:smartTag>
      <w:r w:rsidRPr="005670FF">
        <w:rPr>
          <w:rFonts w:ascii="Times New Roman" w:hAnsi="Times New Roman" w:cs="Times New Roman"/>
          <w:kern w:val="28"/>
          <w:sz w:val="28"/>
          <w:szCs w:val="28"/>
        </w:rPr>
        <w:t xml:space="preserve"> и </w:t>
      </w:r>
      <w:smartTag w:uri="urn:schemas-microsoft-com:office:smarttags" w:element="date">
        <w:smartTagPr>
          <w:attr w:name="Year" w:val="2004"/>
          <w:attr w:name="Day" w:val="17"/>
          <w:attr w:name="Month" w:val="10"/>
          <w:attr w:name="ls" w:val="trans"/>
        </w:smartTagPr>
        <w:r w:rsidRPr="005670FF">
          <w:rPr>
            <w:rFonts w:ascii="Times New Roman" w:hAnsi="Times New Roman" w:cs="Times New Roman"/>
            <w:kern w:val="28"/>
            <w:sz w:val="28"/>
            <w:szCs w:val="28"/>
          </w:rPr>
          <w:t>17 октября 2004г.</w:t>
        </w:r>
      </w:smartTag>
      <w:r w:rsidRPr="005670FF">
        <w:rPr>
          <w:rFonts w:ascii="Times New Roman" w:hAnsi="Times New Roman" w:cs="Times New Roman"/>
          <w:kern w:val="28"/>
          <w:sz w:val="28"/>
          <w:szCs w:val="28"/>
        </w:rPr>
        <w:t>). Минск «Беларусь» 2004г.</w:t>
      </w:r>
    </w:p>
    <w:p w:rsidR="00282255" w:rsidRPr="005670FF" w:rsidRDefault="00282255" w:rsidP="005670FF">
      <w:pPr>
        <w:pStyle w:val="HTML"/>
        <w:numPr>
          <w:ilvl w:val="0"/>
          <w:numId w:val="4"/>
        </w:numPr>
        <w:tabs>
          <w:tab w:val="clear" w:pos="1832"/>
          <w:tab w:val="left" w:pos="1418"/>
        </w:tabs>
        <w:spacing w:line="360" w:lineRule="auto"/>
        <w:ind w:left="1418" w:hanging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670FF">
        <w:rPr>
          <w:rFonts w:ascii="Times New Roman" w:hAnsi="Times New Roman" w:cs="Times New Roman"/>
          <w:kern w:val="28"/>
          <w:sz w:val="28"/>
          <w:szCs w:val="28"/>
        </w:rPr>
        <w:t xml:space="preserve">Гражданский кодекс Республики Беларусь от </w:t>
      </w:r>
      <w:smartTag w:uri="urn:schemas-microsoft-com:office:smarttags" w:element="date">
        <w:smartTagPr>
          <w:attr w:name="Year" w:val="1998"/>
          <w:attr w:name="Day" w:val="19"/>
          <w:attr w:name="Month" w:val="11"/>
          <w:attr w:name="ls" w:val="trans"/>
        </w:smartTagPr>
        <w:r w:rsidRPr="005670FF">
          <w:rPr>
            <w:rFonts w:ascii="Times New Roman" w:hAnsi="Times New Roman" w:cs="Times New Roman"/>
            <w:kern w:val="28"/>
            <w:sz w:val="28"/>
            <w:szCs w:val="28"/>
          </w:rPr>
          <w:t>19 ноября 1998г.</w:t>
        </w:r>
      </w:smartTag>
      <w:r w:rsidRPr="005670FF">
        <w:rPr>
          <w:rFonts w:ascii="Times New Roman" w:hAnsi="Times New Roman" w:cs="Times New Roman"/>
          <w:kern w:val="28"/>
          <w:sz w:val="28"/>
          <w:szCs w:val="28"/>
        </w:rPr>
        <w:t>: с комментариями к разделам / Коммент. В. Ф. Чигира // Мн.: Амалфея, 1999.</w:t>
      </w:r>
    </w:p>
    <w:p w:rsidR="00282255" w:rsidRPr="005670FF" w:rsidRDefault="00282255" w:rsidP="005670FF">
      <w:pPr>
        <w:pStyle w:val="HTML"/>
        <w:numPr>
          <w:ilvl w:val="0"/>
          <w:numId w:val="4"/>
        </w:numPr>
        <w:tabs>
          <w:tab w:val="clear" w:pos="1832"/>
          <w:tab w:val="left" w:pos="1418"/>
        </w:tabs>
        <w:spacing w:line="360" w:lineRule="auto"/>
        <w:ind w:left="1418" w:hanging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670FF">
        <w:rPr>
          <w:rFonts w:ascii="Times New Roman" w:hAnsi="Times New Roman" w:cs="Times New Roman"/>
          <w:kern w:val="28"/>
          <w:sz w:val="28"/>
          <w:szCs w:val="28"/>
        </w:rPr>
        <w:t xml:space="preserve">Налоговый кодекс Республики Беларусь от </w:t>
      </w:r>
      <w:smartTag w:uri="urn:schemas-microsoft-com:office:smarttags" w:element="date">
        <w:smartTagPr>
          <w:attr w:name="Year" w:val="2002"/>
          <w:attr w:name="Day" w:val="19"/>
          <w:attr w:name="Month" w:val="12"/>
          <w:attr w:name="ls" w:val="trans"/>
        </w:smartTagPr>
        <w:r w:rsidRPr="005670FF">
          <w:rPr>
            <w:rFonts w:ascii="Times New Roman" w:hAnsi="Times New Roman" w:cs="Times New Roman"/>
            <w:iCs/>
            <w:kern w:val="28"/>
            <w:sz w:val="28"/>
            <w:szCs w:val="28"/>
          </w:rPr>
          <w:t xml:space="preserve">19 декабря </w:t>
        </w:r>
        <w:smartTag w:uri="urn:schemas-microsoft-com:office:smarttags" w:element="metricconverter">
          <w:smartTagPr>
            <w:attr w:name="ProductID" w:val="2002 г"/>
          </w:smartTagPr>
          <w:r w:rsidRPr="005670FF">
            <w:rPr>
              <w:rFonts w:ascii="Times New Roman" w:hAnsi="Times New Roman" w:cs="Times New Roman"/>
              <w:iCs/>
              <w:kern w:val="28"/>
              <w:sz w:val="28"/>
              <w:szCs w:val="28"/>
            </w:rPr>
            <w:t>2002 г</w:t>
          </w:r>
        </w:smartTag>
        <w:r w:rsidRPr="005670FF">
          <w:rPr>
            <w:rFonts w:ascii="Times New Roman" w:hAnsi="Times New Roman" w:cs="Times New Roman"/>
            <w:iCs/>
            <w:kern w:val="28"/>
            <w:sz w:val="28"/>
            <w:szCs w:val="28"/>
          </w:rPr>
          <w:t>.</w:t>
        </w:r>
      </w:smartTag>
      <w:r w:rsidRPr="005670FF">
        <w:rPr>
          <w:rFonts w:ascii="Times New Roman" w:hAnsi="Times New Roman" w:cs="Times New Roman"/>
          <w:iCs/>
          <w:kern w:val="28"/>
          <w:sz w:val="28"/>
          <w:szCs w:val="28"/>
        </w:rPr>
        <w:t xml:space="preserve"> №166-З. Принят Палатой представителей </w:t>
      </w:r>
      <w:smartTag w:uri="urn:schemas-microsoft-com:office:smarttags" w:element="date">
        <w:smartTagPr>
          <w:attr w:name="Year" w:val="2002"/>
          <w:attr w:name="Day" w:val="15"/>
          <w:attr w:name="Month" w:val="11"/>
          <w:attr w:name="ls" w:val="trans"/>
        </w:smartTagPr>
        <w:r w:rsidRPr="005670FF">
          <w:rPr>
            <w:rFonts w:ascii="Times New Roman" w:hAnsi="Times New Roman" w:cs="Times New Roman"/>
            <w:iCs/>
            <w:kern w:val="28"/>
            <w:sz w:val="28"/>
            <w:szCs w:val="28"/>
          </w:rPr>
          <w:t>15 ноября 2002 года</w:t>
        </w:r>
      </w:smartTag>
      <w:r w:rsidRPr="005670FF">
        <w:rPr>
          <w:rFonts w:ascii="Times New Roman" w:hAnsi="Times New Roman" w:cs="Times New Roman"/>
          <w:iCs/>
          <w:kern w:val="28"/>
          <w:sz w:val="28"/>
          <w:szCs w:val="28"/>
        </w:rPr>
        <w:t xml:space="preserve">. Одобрен Советом Республики </w:t>
      </w:r>
      <w:smartTag w:uri="urn:schemas-microsoft-com:office:smarttags" w:element="date">
        <w:smartTagPr>
          <w:attr w:name="Year" w:val="2002"/>
          <w:attr w:name="Day" w:val="2"/>
          <w:attr w:name="Month" w:val="12"/>
          <w:attr w:name="ls" w:val="trans"/>
        </w:smartTagPr>
        <w:r w:rsidRPr="005670FF">
          <w:rPr>
            <w:rFonts w:ascii="Times New Roman" w:hAnsi="Times New Roman" w:cs="Times New Roman"/>
            <w:iCs/>
            <w:kern w:val="28"/>
            <w:sz w:val="28"/>
            <w:szCs w:val="28"/>
          </w:rPr>
          <w:t>2 декабря 2002 года</w:t>
        </w:r>
      </w:smartTag>
      <w:r w:rsidRPr="005670FF">
        <w:rPr>
          <w:rFonts w:ascii="Times New Roman" w:hAnsi="Times New Roman" w:cs="Times New Roman"/>
          <w:iCs/>
          <w:kern w:val="28"/>
          <w:sz w:val="28"/>
          <w:szCs w:val="28"/>
        </w:rPr>
        <w:t xml:space="preserve">. (Национальный реестр правовых актов Республики Беларусь, </w:t>
      </w:r>
      <w:smartTag w:uri="urn:schemas-microsoft-com:office:smarttags" w:element="date">
        <w:smartTagPr>
          <w:attr w:name="Year" w:val="2003"/>
          <w:attr w:name="Day" w:val="13"/>
          <w:attr w:name="Month" w:val="01"/>
          <w:attr w:name="ls" w:val="trans"/>
        </w:smartTagPr>
        <w:r w:rsidRPr="005670FF">
          <w:rPr>
            <w:rFonts w:ascii="Times New Roman" w:hAnsi="Times New Roman" w:cs="Times New Roman"/>
            <w:iCs/>
            <w:kern w:val="28"/>
            <w:sz w:val="28"/>
            <w:szCs w:val="28"/>
          </w:rPr>
          <w:t>13.01.2003</w:t>
        </w:r>
      </w:smartTag>
      <w:r w:rsidRPr="005670FF">
        <w:rPr>
          <w:rFonts w:ascii="Times New Roman" w:hAnsi="Times New Roman" w:cs="Times New Roman"/>
          <w:iCs/>
          <w:kern w:val="28"/>
          <w:sz w:val="28"/>
          <w:szCs w:val="28"/>
        </w:rPr>
        <w:t xml:space="preserve">, № 4, рег. № 2/920 от </w:t>
      </w:r>
      <w:smartTag w:uri="urn:schemas-microsoft-com:office:smarttags" w:element="date">
        <w:smartTagPr>
          <w:attr w:name="Year" w:val="2003"/>
          <w:attr w:name="Day" w:val="02"/>
          <w:attr w:name="Month" w:val="01"/>
          <w:attr w:name="ls" w:val="trans"/>
        </w:smartTagPr>
        <w:r w:rsidRPr="005670FF">
          <w:rPr>
            <w:rFonts w:ascii="Times New Roman" w:hAnsi="Times New Roman" w:cs="Times New Roman"/>
            <w:iCs/>
            <w:kern w:val="28"/>
            <w:sz w:val="28"/>
            <w:szCs w:val="28"/>
          </w:rPr>
          <w:t>02.01.2003</w:t>
        </w:r>
      </w:smartTag>
      <w:r w:rsidRPr="005670FF">
        <w:rPr>
          <w:rFonts w:ascii="Times New Roman" w:hAnsi="Times New Roman" w:cs="Times New Roman"/>
          <w:iCs/>
          <w:kern w:val="28"/>
          <w:sz w:val="28"/>
          <w:szCs w:val="28"/>
        </w:rPr>
        <w:t>)</w:t>
      </w:r>
      <w:r w:rsidRPr="005670FF">
        <w:rPr>
          <w:rFonts w:ascii="Times New Roman" w:hAnsi="Times New Roman" w:cs="Times New Roman"/>
          <w:kern w:val="28"/>
          <w:sz w:val="28"/>
          <w:szCs w:val="28"/>
        </w:rPr>
        <w:t xml:space="preserve"> с учетом изменений.</w:t>
      </w:r>
    </w:p>
    <w:p w:rsidR="00282255" w:rsidRPr="005670FF" w:rsidRDefault="00282255" w:rsidP="005670FF">
      <w:pPr>
        <w:pStyle w:val="HTML"/>
        <w:numPr>
          <w:ilvl w:val="0"/>
          <w:numId w:val="4"/>
        </w:numPr>
        <w:tabs>
          <w:tab w:val="clear" w:pos="1832"/>
          <w:tab w:val="left" w:pos="1418"/>
        </w:tabs>
        <w:spacing w:line="360" w:lineRule="auto"/>
        <w:ind w:left="1418" w:hanging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0F0E">
        <w:rPr>
          <w:rFonts w:ascii="Times New Roman" w:hAnsi="Times New Roman" w:cs="Times New Roman"/>
          <w:kern w:val="28"/>
          <w:sz w:val="28"/>
          <w:szCs w:val="28"/>
        </w:rPr>
        <w:t>Веремейко Юрий</w:t>
      </w:r>
      <w:r w:rsidRPr="005670FF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CA0F0E">
        <w:rPr>
          <w:rFonts w:ascii="Times New Roman" w:hAnsi="Times New Roman" w:cs="Times New Roman"/>
          <w:kern w:val="28"/>
          <w:sz w:val="28"/>
          <w:szCs w:val="28"/>
        </w:rPr>
        <w:t>Косов Андрей</w:t>
      </w:r>
      <w:r w:rsidRPr="005670FF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CA0F0E">
        <w:rPr>
          <w:rFonts w:ascii="Times New Roman" w:hAnsi="Times New Roman" w:cs="Times New Roman"/>
          <w:kern w:val="28"/>
          <w:sz w:val="28"/>
          <w:szCs w:val="28"/>
        </w:rPr>
        <w:t>Фадеева Елена</w:t>
      </w:r>
      <w:r w:rsidRPr="005670FF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  <w:r w:rsidRPr="005670FF">
        <w:rPr>
          <w:rFonts w:ascii="Times New Roman" w:hAnsi="Times New Roman" w:cs="Times New Roman"/>
          <w:bCs/>
          <w:kern w:val="28"/>
          <w:sz w:val="28"/>
          <w:szCs w:val="28"/>
        </w:rPr>
        <w:t xml:space="preserve">Комментарий к Налоговому кодексу Республики Беларусь (Общая часть), </w:t>
      </w:r>
      <w:r w:rsidRPr="005670FF">
        <w:rPr>
          <w:rStyle w:val="gray1"/>
          <w:rFonts w:ascii="Times New Roman" w:hAnsi="Times New Roman"/>
          <w:color w:val="auto"/>
          <w:kern w:val="28"/>
          <w:sz w:val="28"/>
          <w:szCs w:val="28"/>
        </w:rPr>
        <w:t>Издательство</w:t>
      </w:r>
      <w:r w:rsidRPr="005670FF">
        <w:rPr>
          <w:rFonts w:ascii="Times New Roman" w:hAnsi="Times New Roman" w:cs="Times New Roman"/>
          <w:kern w:val="28"/>
          <w:sz w:val="28"/>
          <w:szCs w:val="28"/>
        </w:rPr>
        <w:t>: Тесей. Минск.</w:t>
      </w:r>
      <w:r w:rsidRPr="005670FF">
        <w:rPr>
          <w:rFonts w:ascii="Times New Roman" w:hAnsi="Times New Roman" w:cs="Times New Roman"/>
          <w:bCs/>
          <w:kern w:val="28"/>
          <w:sz w:val="28"/>
          <w:szCs w:val="28"/>
        </w:rPr>
        <w:t xml:space="preserve"> 2007г.</w:t>
      </w:r>
    </w:p>
    <w:p w:rsidR="00282255" w:rsidRPr="005670FF" w:rsidRDefault="00282255" w:rsidP="005670FF">
      <w:pPr>
        <w:pStyle w:val="HTML"/>
        <w:numPr>
          <w:ilvl w:val="0"/>
          <w:numId w:val="4"/>
        </w:numPr>
        <w:tabs>
          <w:tab w:val="clear" w:pos="1832"/>
          <w:tab w:val="left" w:pos="1418"/>
        </w:tabs>
        <w:spacing w:line="360" w:lineRule="auto"/>
        <w:ind w:left="1418" w:hanging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670FF">
        <w:rPr>
          <w:rStyle w:val="orange1"/>
          <w:rFonts w:ascii="Times New Roman" w:hAnsi="Times New Roman"/>
          <w:color w:val="auto"/>
          <w:kern w:val="28"/>
          <w:sz w:val="28"/>
          <w:szCs w:val="28"/>
        </w:rPr>
        <w:t>Кишкевич А.Д., Пилипенко А.А.</w:t>
      </w:r>
      <w:r w:rsidRPr="005670FF">
        <w:rPr>
          <w:rFonts w:ascii="Times New Roman" w:hAnsi="Times New Roman" w:cs="Times New Roman"/>
          <w:kern w:val="28"/>
          <w:sz w:val="28"/>
          <w:szCs w:val="28"/>
        </w:rPr>
        <w:t xml:space="preserve">: Налоговое право Республики Беларусь. </w:t>
      </w:r>
      <w:r w:rsidRPr="005670FF">
        <w:rPr>
          <w:rStyle w:val="gray1"/>
          <w:rFonts w:ascii="Times New Roman" w:hAnsi="Times New Roman"/>
          <w:color w:val="auto"/>
          <w:kern w:val="28"/>
          <w:sz w:val="28"/>
          <w:szCs w:val="28"/>
        </w:rPr>
        <w:t>Издательство</w:t>
      </w:r>
      <w:r w:rsidRPr="005670FF">
        <w:rPr>
          <w:rFonts w:ascii="Times New Roman" w:hAnsi="Times New Roman" w:cs="Times New Roman"/>
          <w:kern w:val="28"/>
          <w:sz w:val="28"/>
          <w:szCs w:val="28"/>
        </w:rPr>
        <w:t>: Тесей. Минск. 2002. 304с.</w:t>
      </w:r>
    </w:p>
    <w:p w:rsidR="00282255" w:rsidRPr="005670FF" w:rsidRDefault="00282255" w:rsidP="005670FF">
      <w:pPr>
        <w:pStyle w:val="HTML"/>
        <w:numPr>
          <w:ilvl w:val="0"/>
          <w:numId w:val="4"/>
        </w:numPr>
        <w:tabs>
          <w:tab w:val="clear" w:pos="1832"/>
          <w:tab w:val="left" w:pos="1418"/>
        </w:tabs>
        <w:spacing w:line="360" w:lineRule="auto"/>
        <w:ind w:left="1418" w:hanging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670FF">
        <w:rPr>
          <w:rFonts w:ascii="Times New Roman" w:hAnsi="Times New Roman" w:cs="Times New Roman"/>
          <w:kern w:val="28"/>
          <w:sz w:val="28"/>
          <w:szCs w:val="28"/>
        </w:rPr>
        <w:t>Л.А. Ханкевич</w:t>
      </w:r>
      <w:r w:rsidRPr="005670FF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5670FF">
        <w:rPr>
          <w:rFonts w:ascii="Times New Roman" w:hAnsi="Times New Roman" w:cs="Times New Roman"/>
          <w:kern w:val="28"/>
          <w:sz w:val="28"/>
          <w:szCs w:val="28"/>
        </w:rPr>
        <w:t>«Финансовое право Республики Беларусь». Учебное пособие / Мн. Издательство «Амалфея» 2002г.</w:t>
      </w:r>
    </w:p>
    <w:p w:rsidR="00282255" w:rsidRPr="005670FF" w:rsidRDefault="00282255" w:rsidP="005670FF">
      <w:pPr>
        <w:pStyle w:val="HTML"/>
        <w:numPr>
          <w:ilvl w:val="0"/>
          <w:numId w:val="4"/>
        </w:numPr>
        <w:tabs>
          <w:tab w:val="clear" w:pos="1832"/>
          <w:tab w:val="left" w:pos="1418"/>
        </w:tabs>
        <w:spacing w:line="360" w:lineRule="auto"/>
        <w:ind w:left="1418" w:hanging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670FF">
        <w:rPr>
          <w:rFonts w:ascii="Times New Roman" w:hAnsi="Times New Roman" w:cs="Times New Roman"/>
          <w:kern w:val="28"/>
          <w:sz w:val="28"/>
          <w:szCs w:val="28"/>
        </w:rPr>
        <w:t>Маньковский И.А. Налоговое право Республики Беларусь. Общие положения: Практическое пособие. – Мн.: «Молодежное научное общество», 2000. 160с.</w:t>
      </w:r>
    </w:p>
    <w:p w:rsidR="00282255" w:rsidRPr="005670FF" w:rsidRDefault="00282255" w:rsidP="005670FF">
      <w:pPr>
        <w:pStyle w:val="HTML"/>
        <w:numPr>
          <w:ilvl w:val="0"/>
          <w:numId w:val="4"/>
        </w:numPr>
        <w:tabs>
          <w:tab w:val="clear" w:pos="1832"/>
          <w:tab w:val="left" w:pos="1418"/>
        </w:tabs>
        <w:spacing w:line="360" w:lineRule="auto"/>
        <w:ind w:left="1418" w:hanging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670FF">
        <w:rPr>
          <w:rFonts w:ascii="Times New Roman" w:hAnsi="Times New Roman" w:cs="Times New Roman"/>
          <w:kern w:val="28"/>
          <w:sz w:val="28"/>
          <w:szCs w:val="28"/>
        </w:rPr>
        <w:t>Финансовое право. Учебник / Под ред. проф. О.Н. Горбуновой Издательство «Юристъ» М., 2003.</w:t>
      </w:r>
    </w:p>
    <w:p w:rsidR="00282255" w:rsidRPr="005670FF" w:rsidRDefault="00282255" w:rsidP="005670FF">
      <w:pPr>
        <w:numPr>
          <w:ilvl w:val="0"/>
          <w:numId w:val="4"/>
        </w:numPr>
        <w:tabs>
          <w:tab w:val="left" w:pos="1418"/>
        </w:tabs>
        <w:overflowPunct w:val="0"/>
        <w:autoSpaceDE w:val="0"/>
        <w:autoSpaceDN w:val="0"/>
        <w:adjustRightInd w:val="0"/>
        <w:spacing w:line="360" w:lineRule="auto"/>
        <w:ind w:left="1418" w:hanging="709"/>
        <w:jc w:val="both"/>
        <w:textAlignment w:val="baseline"/>
        <w:rPr>
          <w:kern w:val="28"/>
          <w:sz w:val="28"/>
          <w:szCs w:val="28"/>
        </w:rPr>
      </w:pPr>
      <w:r w:rsidRPr="005670FF">
        <w:rPr>
          <w:kern w:val="28"/>
          <w:sz w:val="28"/>
          <w:szCs w:val="28"/>
        </w:rPr>
        <w:t>Финансовое право. Серия «Учебники, учебные пособия» / Под ред. проф. В.М. Мандрина Ростов-на-Дону Издательство «Феникс», 2002.</w:t>
      </w:r>
    </w:p>
    <w:p w:rsidR="00282255" w:rsidRPr="005670FF" w:rsidRDefault="00282255" w:rsidP="005670FF">
      <w:pPr>
        <w:pStyle w:val="HTML"/>
        <w:numPr>
          <w:ilvl w:val="0"/>
          <w:numId w:val="4"/>
        </w:numPr>
        <w:tabs>
          <w:tab w:val="clear" w:pos="1832"/>
          <w:tab w:val="left" w:pos="1418"/>
        </w:tabs>
        <w:spacing w:line="360" w:lineRule="auto"/>
        <w:ind w:left="1418" w:hanging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670FF">
        <w:rPr>
          <w:rFonts w:ascii="Times New Roman" w:hAnsi="Times New Roman" w:cs="Times New Roman"/>
          <w:kern w:val="28"/>
          <w:sz w:val="28"/>
          <w:szCs w:val="28"/>
        </w:rPr>
        <w:t>Ханкевич ЛА. Налоги и налоговое право Республики Беларусь. Мн., 1999.</w:t>
      </w:r>
      <w:bookmarkStart w:id="0" w:name="_GoBack"/>
      <w:bookmarkEnd w:id="0"/>
    </w:p>
    <w:sectPr w:rsidR="00282255" w:rsidRPr="005670FF" w:rsidSect="006A0BB9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BDD" w:rsidRDefault="000F2BDD">
      <w:r>
        <w:separator/>
      </w:r>
    </w:p>
  </w:endnote>
  <w:endnote w:type="continuationSeparator" w:id="0">
    <w:p w:rsidR="000F2BDD" w:rsidRDefault="000F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BDD" w:rsidRDefault="000F2BDD">
      <w:r>
        <w:separator/>
      </w:r>
    </w:p>
  </w:footnote>
  <w:footnote w:type="continuationSeparator" w:id="0">
    <w:p w:rsidR="000F2BDD" w:rsidRDefault="000F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5E" w:rsidRDefault="0072715E" w:rsidP="00ED13F6">
    <w:pPr>
      <w:pStyle w:val="a3"/>
      <w:framePr w:wrap="around" w:vAnchor="text" w:hAnchor="margin" w:xAlign="right" w:y="1"/>
      <w:rPr>
        <w:rStyle w:val="a5"/>
      </w:rPr>
    </w:pPr>
  </w:p>
  <w:p w:rsidR="0072715E" w:rsidRDefault="0072715E" w:rsidP="0072715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5E" w:rsidRDefault="00CA0F0E" w:rsidP="00ED13F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72715E" w:rsidRDefault="0072715E" w:rsidP="0072715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50E00"/>
    <w:multiLevelType w:val="multilevel"/>
    <w:tmpl w:val="4C3C35FF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/>
        <w:b/>
        <w:color w:val="000080"/>
        <w:sz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</w:abstractNum>
  <w:abstractNum w:abstractNumId="1">
    <w:nsid w:val="48DD1C81"/>
    <w:multiLevelType w:val="hybridMultilevel"/>
    <w:tmpl w:val="9AE49BAC"/>
    <w:lvl w:ilvl="0" w:tplc="B6BCF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4D592D"/>
    <w:multiLevelType w:val="multilevel"/>
    <w:tmpl w:val="78A899D5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/>
        <w:b/>
        <w:color w:val="000080"/>
        <w:sz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</w:abstractNum>
  <w:abstractNum w:abstractNumId="3">
    <w:nsid w:val="77CDD871"/>
    <w:multiLevelType w:val="multilevel"/>
    <w:tmpl w:val="730F2349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/>
        <w:b/>
        <w:color w:val="000080"/>
        <w:sz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15E"/>
    <w:rsid w:val="000F2BDD"/>
    <w:rsid w:val="001720FD"/>
    <w:rsid w:val="00282255"/>
    <w:rsid w:val="00303D5E"/>
    <w:rsid w:val="005670FF"/>
    <w:rsid w:val="006A0BB9"/>
    <w:rsid w:val="006B19D2"/>
    <w:rsid w:val="006D0CBF"/>
    <w:rsid w:val="0072715E"/>
    <w:rsid w:val="00A20966"/>
    <w:rsid w:val="00BC4067"/>
    <w:rsid w:val="00CA0F0E"/>
    <w:rsid w:val="00E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0FDB5F-924A-42BB-8C91-049B39F5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1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2715E"/>
    <w:rPr>
      <w:rFonts w:cs="Times New Roman"/>
    </w:rPr>
  </w:style>
  <w:style w:type="paragraph" w:styleId="HTML">
    <w:name w:val="HTML Preformatted"/>
    <w:basedOn w:val="a"/>
    <w:link w:val="HTML0"/>
    <w:uiPriority w:val="99"/>
    <w:rsid w:val="00282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character" w:styleId="a6">
    <w:name w:val="Hyperlink"/>
    <w:uiPriority w:val="99"/>
    <w:rsid w:val="00282255"/>
    <w:rPr>
      <w:rFonts w:cs="Times New Roman"/>
      <w:color w:val="0000FF"/>
      <w:u w:val="single"/>
    </w:rPr>
  </w:style>
  <w:style w:type="character" w:customStyle="1" w:styleId="orange1">
    <w:name w:val="orange1"/>
    <w:rsid w:val="00282255"/>
    <w:rPr>
      <w:rFonts w:cs="Times New Roman"/>
      <w:color w:val="FF9900"/>
    </w:rPr>
  </w:style>
  <w:style w:type="character" w:customStyle="1" w:styleId="gray1">
    <w:name w:val="gray1"/>
    <w:rsid w:val="0028225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3718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ИНДИВИДУАЛЬНЫЕ ПРЕДПРИНИМАТЕЛИ: ПРИМЕНЕНИЕ СИСТЕ-МЫ УПЛАТЫ ЕДИНОГО НАЛОГА</vt:lpstr>
    </vt:vector>
  </TitlesOfParts>
  <Company>Microsoft</Company>
  <LinksUpToDate>false</LinksUpToDate>
  <CharactersWithSpaces>24863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ИНДИВИДУАЛЬНЫЕ ПРЕДПРИНИМАТЕЛИ: ПРИМЕНЕНИЕ СИСТЕ-МЫ УПЛАТЫ ЕДИНОГО НАЛОГА</dc:title>
  <dc:subject/>
  <dc:creator>Admin</dc:creator>
  <cp:keywords/>
  <dc:description/>
  <cp:lastModifiedBy>admin</cp:lastModifiedBy>
  <cp:revision>2</cp:revision>
  <dcterms:created xsi:type="dcterms:W3CDTF">2014-03-12T14:19:00Z</dcterms:created>
  <dcterms:modified xsi:type="dcterms:W3CDTF">2014-03-12T14:19:00Z</dcterms:modified>
</cp:coreProperties>
</file>