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3D" w:rsidRDefault="00A3523D" w:rsidP="00363ADF">
      <w:pPr>
        <w:pStyle w:val="6"/>
        <w:jc w:val="left"/>
      </w:pPr>
      <w:r>
        <w:t>СОДЕРЖАНИЕ</w:t>
      </w:r>
    </w:p>
    <w:p w:rsidR="00A3523D" w:rsidRDefault="00A3523D" w:rsidP="00363ADF">
      <w:pPr>
        <w:spacing w:line="360" w:lineRule="auto"/>
        <w:rPr>
          <w:sz w:val="28"/>
        </w:rPr>
      </w:pPr>
    </w:p>
    <w:p w:rsidR="00A3523D" w:rsidRDefault="00A3523D" w:rsidP="00363ADF">
      <w:pPr>
        <w:spacing w:line="360" w:lineRule="auto"/>
        <w:rPr>
          <w:sz w:val="28"/>
        </w:rPr>
      </w:pPr>
      <w:r>
        <w:rPr>
          <w:sz w:val="28"/>
        </w:rPr>
        <w:t>Введение</w:t>
      </w:r>
    </w:p>
    <w:p w:rsidR="00A3523D" w:rsidRDefault="00150226" w:rsidP="00363ADF">
      <w:pPr>
        <w:numPr>
          <w:ilvl w:val="0"/>
          <w:numId w:val="4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Создание международных стандартов бухгалтерского учета.</w:t>
      </w:r>
      <w:r w:rsidR="00363ADF">
        <w:rPr>
          <w:sz w:val="28"/>
        </w:rPr>
        <w:t xml:space="preserve"> </w:t>
      </w:r>
      <w:r>
        <w:rPr>
          <w:sz w:val="28"/>
        </w:rPr>
        <w:t>Комитет по международным стандартам</w:t>
      </w:r>
    </w:p>
    <w:p w:rsidR="00150226" w:rsidRDefault="00150226" w:rsidP="00363ADF">
      <w:pPr>
        <w:numPr>
          <w:ilvl w:val="0"/>
          <w:numId w:val="4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Основные</w:t>
      </w:r>
      <w:r w:rsidR="003849D7">
        <w:rPr>
          <w:sz w:val="28"/>
        </w:rPr>
        <w:t xml:space="preserve"> к</w:t>
      </w:r>
      <w:r>
        <w:rPr>
          <w:sz w:val="28"/>
        </w:rPr>
        <w:t>онцепции бухгалтерской информации</w:t>
      </w:r>
    </w:p>
    <w:p w:rsidR="00A3523D" w:rsidRDefault="00A3523D" w:rsidP="00363ADF">
      <w:pPr>
        <w:numPr>
          <w:ilvl w:val="0"/>
          <w:numId w:val="4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Задачи</w:t>
      </w:r>
    </w:p>
    <w:p w:rsidR="00363ADF" w:rsidRDefault="00A3523D" w:rsidP="00363ADF">
      <w:pPr>
        <w:numPr>
          <w:ilvl w:val="0"/>
          <w:numId w:val="4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Заключение</w:t>
      </w:r>
    </w:p>
    <w:p w:rsidR="00A3523D" w:rsidRDefault="00A3523D" w:rsidP="00363ADF">
      <w:pPr>
        <w:numPr>
          <w:ilvl w:val="0"/>
          <w:numId w:val="4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Список литературы</w:t>
      </w:r>
    </w:p>
    <w:p w:rsidR="001A0140" w:rsidRDefault="00363ADF" w:rsidP="00363ADF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0"/>
        </w:rPr>
        <w:br w:type="page"/>
      </w:r>
      <w:r w:rsidR="00F10936">
        <w:rPr>
          <w:sz w:val="28"/>
          <w:szCs w:val="28"/>
        </w:rPr>
        <w:t>Введение</w:t>
      </w:r>
    </w:p>
    <w:p w:rsidR="00363ADF" w:rsidRDefault="00363ADF" w:rsidP="00363ADF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7F78D6" w:rsidRPr="007F78D6" w:rsidRDefault="007F78D6" w:rsidP="00363ADF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F78D6">
        <w:rPr>
          <w:sz w:val="28"/>
          <w:szCs w:val="28"/>
        </w:rPr>
        <w:t>Начавшаяся в 1988–1989 г.г. организация совместных предприятий, инвестиции иностранного капитала в деятельность Россий</w:t>
      </w:r>
      <w:r>
        <w:rPr>
          <w:sz w:val="28"/>
          <w:szCs w:val="28"/>
        </w:rPr>
        <w:t>ских предприятий были,</w:t>
      </w:r>
      <w:r w:rsidRPr="007F78D6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благоприятны для России в целом.</w:t>
      </w:r>
      <w:r w:rsidRPr="007F78D6">
        <w:rPr>
          <w:sz w:val="28"/>
          <w:szCs w:val="28"/>
        </w:rPr>
        <w:t xml:space="preserve"> Спустя недолгое время не только изменилась направленность иностранных инвестиций, но и замедлился приток иностранного капитала, в частности, в предприятия малого и среднего бизнеса. Одной из причин этого явилась жесткая система бухгалтерс</w:t>
      </w:r>
      <w:r>
        <w:rPr>
          <w:sz w:val="28"/>
          <w:szCs w:val="28"/>
        </w:rPr>
        <w:t>кой отчетности, присущая России</w:t>
      </w:r>
      <w:r w:rsidR="002371DC">
        <w:rPr>
          <w:sz w:val="28"/>
          <w:szCs w:val="28"/>
        </w:rPr>
        <w:t>.</w:t>
      </w:r>
      <w:r w:rsidRPr="007F78D6">
        <w:rPr>
          <w:sz w:val="28"/>
          <w:szCs w:val="28"/>
        </w:rPr>
        <w:t xml:space="preserve"> </w:t>
      </w:r>
      <w:r w:rsidR="002371DC">
        <w:rPr>
          <w:sz w:val="28"/>
          <w:szCs w:val="28"/>
        </w:rPr>
        <w:t>П</w:t>
      </w:r>
      <w:r w:rsidRPr="007F78D6">
        <w:rPr>
          <w:sz w:val="28"/>
          <w:szCs w:val="28"/>
        </w:rPr>
        <w:t xml:space="preserve">ри том, что совместные предприятия должны были вести отчетность в соответствие с нормами страны–партнера. В то же время, выход российских предприятий на валютные, сырьевые и т.п. международные биржи </w:t>
      </w:r>
      <w:r>
        <w:rPr>
          <w:sz w:val="28"/>
          <w:szCs w:val="28"/>
        </w:rPr>
        <w:t>был затруднен</w:t>
      </w:r>
      <w:r w:rsidRPr="007F78D6">
        <w:rPr>
          <w:sz w:val="28"/>
          <w:szCs w:val="28"/>
        </w:rPr>
        <w:t>. Таким образом, изменение системы общественных отношений предопределило необходимость адекватной трансформации учета, поскольку данный процесс отставал от общего процесса экономических реформ России.</w:t>
      </w:r>
    </w:p>
    <w:p w:rsidR="007F78D6" w:rsidRPr="007F78D6" w:rsidRDefault="007F78D6" w:rsidP="00363ADF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F78D6">
        <w:rPr>
          <w:sz w:val="28"/>
          <w:szCs w:val="28"/>
        </w:rPr>
        <w:t xml:space="preserve">6 марта </w:t>
      </w:r>
      <w:smartTag w:uri="urn:schemas-microsoft-com:office:smarttags" w:element="metricconverter">
        <w:smartTagPr>
          <w:attr w:name="ProductID" w:val="1998 г"/>
        </w:smartTagPr>
        <w:r w:rsidRPr="007F78D6">
          <w:rPr>
            <w:sz w:val="28"/>
            <w:szCs w:val="28"/>
          </w:rPr>
          <w:t>1998 г</w:t>
        </w:r>
      </w:smartTag>
      <w:r w:rsidRPr="007F78D6">
        <w:rPr>
          <w:sz w:val="28"/>
          <w:szCs w:val="28"/>
        </w:rPr>
        <w:t xml:space="preserve">. Правительством РФ было принято Постановление № 283 «Об утверждении программы реформирования бухгалтерского учета в соответствии с Международными Стандартами Финансовой Отчетности». Программой реформирования предполагалось приведение отечественной системы учета в соответствие с требованиями рыночной экономики и международными стандартами финансовой отчетности, что трактовалось не как перенос в Россию каких-либо иных национальных стандартов с целью их непосредственного использования, а как адаптация международных стандартов для использования в России, с учетом национальных особенностей и сложившейся практики. </w:t>
      </w:r>
    </w:p>
    <w:p w:rsidR="00363ADF" w:rsidRDefault="007F78D6" w:rsidP="00363ADF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F78D6">
        <w:rPr>
          <w:sz w:val="28"/>
          <w:szCs w:val="28"/>
        </w:rPr>
        <w:t>В перечень важных причин, определявших необходимость перехода в России на новую, иную систему финансовой отчетности можно включить интересы зарубежных партнеров; интересы совладельцев и акционеров, необходимость публичности и достоверности финансовой информации; возможность выхода нашей страны на международный рынок сырья и капитала.</w:t>
      </w:r>
      <w:r w:rsidR="002371DC">
        <w:rPr>
          <w:sz w:val="28"/>
          <w:szCs w:val="28"/>
        </w:rPr>
        <w:t xml:space="preserve"> </w:t>
      </w:r>
      <w:r>
        <w:rPr>
          <w:sz w:val="28"/>
          <w:szCs w:val="28"/>
        </w:rPr>
        <w:t>В контрольной работе будут раскрыты вопросы создания международных стандартов бухгалтерского учета, основные концепции бухгалтерской информации.</w:t>
      </w:r>
    </w:p>
    <w:p w:rsidR="00D22A0B" w:rsidRPr="00306E15" w:rsidRDefault="00363ADF" w:rsidP="00363ADF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06E15">
        <w:rPr>
          <w:sz w:val="28"/>
          <w:szCs w:val="28"/>
        </w:rPr>
        <w:t>1.Создание международных стандартов бухгалтерского учета. Коми</w:t>
      </w:r>
      <w:r w:rsidR="00F10936">
        <w:rPr>
          <w:sz w:val="28"/>
          <w:szCs w:val="28"/>
        </w:rPr>
        <w:t>тет по международным стандартам</w:t>
      </w:r>
    </w:p>
    <w:p w:rsidR="00363ADF" w:rsidRDefault="00363ADF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338DA" w:rsidRPr="007F3A68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 xml:space="preserve">Комитет по международным стандартам финансовой отчётности был основан в </w:t>
      </w:r>
      <w:smartTag w:uri="urn:schemas-microsoft-com:office:smarttags" w:element="metricconverter">
        <w:smartTagPr>
          <w:attr w:name="ProductID" w:val="1973 г"/>
        </w:smartTagPr>
        <w:r w:rsidRPr="007F3A68">
          <w:rPr>
            <w:color w:val="000000"/>
            <w:sz w:val="28"/>
            <w:szCs w:val="28"/>
          </w:rPr>
          <w:t>1973 г</w:t>
        </w:r>
      </w:smartTag>
      <w:r w:rsidRPr="007F3A68">
        <w:rPr>
          <w:color w:val="000000"/>
          <w:sz w:val="28"/>
          <w:szCs w:val="28"/>
        </w:rPr>
        <w:t>. в результате соглашения профессиональных организаций 10 стран: Австралии, Канады, Франции, Германии, Японии, Мексики, Нидерландов, Великобритании, Ирландии и США. КМСФО это независимая частная организация, членами которой в настоящий момент являются 143 объединения бухгалтеров (включая 5 ассоциированных и 4 дочерних членов) из 104 стран общей численностью более 2 млн. человек. Согласно Уставу основные цели КМСФО это:</w:t>
      </w:r>
    </w:p>
    <w:p w:rsidR="004338DA" w:rsidRPr="007F3A68" w:rsidRDefault="004338DA" w:rsidP="00363ADF">
      <w:pPr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“формулировать и публиковать, исходя из общественных интересов, стандарты финансовой отчётности, которые должны соблюдаться при подготовке и представлении финансовых отчётов, и стимулировать их повсеместное принятие и соблюдение</w:t>
      </w:r>
    </w:p>
    <w:p w:rsidR="004338DA" w:rsidRPr="007F3A68" w:rsidRDefault="004338DA" w:rsidP="00363ADF">
      <w:pPr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проводить работу по улучшению и гармонизации норм, стандартов учёта и процедур, связанных с представлением финансовых отчётов”</w:t>
      </w:r>
    </w:p>
    <w:p w:rsidR="004338DA" w:rsidRPr="00041B8B" w:rsidRDefault="004338DA" w:rsidP="00363ADF">
      <w:pPr>
        <w:spacing w:line="360" w:lineRule="auto"/>
        <w:ind w:firstLine="720"/>
        <w:jc w:val="both"/>
        <w:rPr>
          <w:rFonts w:ascii="Verdana" w:hAnsi="Verdana"/>
          <w:b/>
          <w:bCs/>
          <w:color w:val="000000"/>
          <w:sz w:val="21"/>
          <w:szCs w:val="21"/>
        </w:rPr>
      </w:pPr>
      <w:r w:rsidRPr="007F3A68">
        <w:rPr>
          <w:color w:val="000000"/>
          <w:sz w:val="28"/>
          <w:szCs w:val="28"/>
        </w:rPr>
        <w:t>Работа КМСФО финансируется за счёт взносов профессиональных объединений бухгалтеров, различных компаний, финансовых организаций, а также за счёт прибыли от публикаций стандартов.</w:t>
      </w:r>
    </w:p>
    <w:p w:rsidR="004338DA" w:rsidRPr="007F3A68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Структура Комитета состоит из 5 уровней:</w:t>
      </w:r>
    </w:p>
    <w:p w:rsidR="004338DA" w:rsidRPr="007F3A68" w:rsidRDefault="004338DA" w:rsidP="00363ADF">
      <w:pPr>
        <w:numPr>
          <w:ilvl w:val="0"/>
          <w:numId w:val="15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Правление Комитета (IASC Board)</w:t>
      </w:r>
    </w:p>
    <w:p w:rsidR="004338DA" w:rsidRPr="007F3A68" w:rsidRDefault="004338DA" w:rsidP="00363ADF">
      <w:pPr>
        <w:numPr>
          <w:ilvl w:val="0"/>
          <w:numId w:val="15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Консультативная группа (Consultative group)</w:t>
      </w:r>
    </w:p>
    <w:p w:rsidR="004338DA" w:rsidRPr="007F3A68" w:rsidRDefault="004338DA" w:rsidP="00363ADF">
      <w:pPr>
        <w:numPr>
          <w:ilvl w:val="0"/>
          <w:numId w:val="15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Консультативный Совет по стандартам (Advisory Council)</w:t>
      </w:r>
    </w:p>
    <w:p w:rsidR="004338DA" w:rsidRPr="007F3A68" w:rsidRDefault="004338DA" w:rsidP="00363ADF">
      <w:pPr>
        <w:numPr>
          <w:ilvl w:val="0"/>
          <w:numId w:val="15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Постоянный Комитет по интерпретациям (Standing Interpretations Committee)</w:t>
      </w:r>
    </w:p>
    <w:p w:rsidR="004338DA" w:rsidRPr="00041B8B" w:rsidRDefault="004338DA" w:rsidP="00363ADF">
      <w:pPr>
        <w:numPr>
          <w:ilvl w:val="0"/>
          <w:numId w:val="15"/>
        </w:numPr>
        <w:spacing w:line="360" w:lineRule="auto"/>
        <w:ind w:left="0" w:firstLine="720"/>
        <w:jc w:val="both"/>
        <w:rPr>
          <w:rFonts w:ascii="Verdana" w:hAnsi="Verdana"/>
          <w:color w:val="000000"/>
          <w:sz w:val="21"/>
          <w:szCs w:val="21"/>
        </w:rPr>
      </w:pPr>
      <w:r w:rsidRPr="007F3A68">
        <w:rPr>
          <w:color w:val="000000"/>
          <w:sz w:val="28"/>
          <w:szCs w:val="28"/>
        </w:rPr>
        <w:t>Рабочая группа по вопросам стратегии (Strategy Working Party)</w:t>
      </w:r>
    </w:p>
    <w:p w:rsidR="004338DA" w:rsidRPr="00041B8B" w:rsidRDefault="004338DA" w:rsidP="00363ADF">
      <w:pPr>
        <w:spacing w:line="360" w:lineRule="auto"/>
        <w:ind w:firstLine="720"/>
        <w:jc w:val="both"/>
        <w:rPr>
          <w:rFonts w:ascii="Verdana" w:hAnsi="Verdana"/>
          <w:color w:val="000000"/>
          <w:sz w:val="21"/>
          <w:szCs w:val="21"/>
        </w:rPr>
      </w:pPr>
      <w:r w:rsidRPr="007F3A68">
        <w:rPr>
          <w:color w:val="000000"/>
          <w:sz w:val="28"/>
          <w:szCs w:val="28"/>
        </w:rPr>
        <w:t>Правление КМСФО – это главный орган управления Комитетом и представления международных стандартов финансовой отчётности.</w:t>
      </w:r>
    </w:p>
    <w:p w:rsidR="004338DA" w:rsidRPr="007F3A68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 xml:space="preserve">Консультативная группа была основана в </w:t>
      </w:r>
      <w:smartTag w:uri="urn:schemas-microsoft-com:office:smarttags" w:element="metricconverter">
        <w:smartTagPr>
          <w:attr w:name="ProductID" w:val="1981 г"/>
        </w:smartTagPr>
        <w:r w:rsidRPr="007F3A68">
          <w:rPr>
            <w:color w:val="000000"/>
            <w:sz w:val="28"/>
            <w:szCs w:val="28"/>
          </w:rPr>
          <w:t>1981 г</w:t>
        </w:r>
      </w:smartTag>
      <w:r w:rsidRPr="007F3A68">
        <w:rPr>
          <w:color w:val="000000"/>
          <w:sz w:val="28"/>
          <w:szCs w:val="28"/>
        </w:rPr>
        <w:t>. и включает представителей международных организаций – разработчиков и пользователей финансовой отчётности; фондовых бирж; органов, регулирующих рынки ценных бумаг и межправительственных организаций. Консультативная группа регулярно встречается с Правлением КМСФО для обсуждения вопросов касательно новых проектов Комитета, рабочей программы и стратегии КМСФО. Группа играет важную роль при подготовке и принятии международных стандартов.</w:t>
      </w:r>
    </w:p>
    <w:p w:rsidR="004338DA" w:rsidRPr="007F3A68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 xml:space="preserve">Ещё один орган КМСФО это – Консультативный (или Попечительский) Совет по стандартам, созданный в </w:t>
      </w:r>
      <w:smartTag w:uri="urn:schemas-microsoft-com:office:smarttags" w:element="metricconverter">
        <w:smartTagPr>
          <w:attr w:name="ProductID" w:val="1995 г"/>
        </w:smartTagPr>
        <w:r w:rsidRPr="007F3A68">
          <w:rPr>
            <w:color w:val="000000"/>
            <w:sz w:val="28"/>
            <w:szCs w:val="28"/>
          </w:rPr>
          <w:t>1995 г</w:t>
        </w:r>
      </w:smartTag>
      <w:r w:rsidRPr="007F3A68">
        <w:rPr>
          <w:color w:val="000000"/>
          <w:sz w:val="28"/>
          <w:szCs w:val="28"/>
        </w:rPr>
        <w:t>. В Консультативный Совет входят самые известные специалисты, занимающие высокие позиции в бухгалтерской профессии и бизнесе. Основной задачей Совета является содействие повсеместному принятию международных стандартов и укрепление авторитета КМСФО. Консультативный Совет выполняет следующие функции:</w:t>
      </w:r>
    </w:p>
    <w:p w:rsidR="004338DA" w:rsidRPr="007F3A68" w:rsidRDefault="004338DA" w:rsidP="00363ADF">
      <w:pPr>
        <w:numPr>
          <w:ilvl w:val="0"/>
          <w:numId w:val="18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рассмотрение и комментирование стратегии и плана Правления с точки зрения их соответствия потребностям членов Комитета</w:t>
      </w:r>
    </w:p>
    <w:p w:rsidR="004338DA" w:rsidRPr="007F3A68" w:rsidRDefault="004338DA" w:rsidP="00363ADF">
      <w:pPr>
        <w:numPr>
          <w:ilvl w:val="0"/>
          <w:numId w:val="18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подготовка годового отчёта по эффективности деятельности Правления в процессе достижения его целей и исполнения обязанностей</w:t>
      </w:r>
    </w:p>
    <w:p w:rsidR="004338DA" w:rsidRPr="007F3A68" w:rsidRDefault="004338DA" w:rsidP="00363ADF">
      <w:pPr>
        <w:numPr>
          <w:ilvl w:val="0"/>
          <w:numId w:val="18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способствование участию и одобрению работы КМСФО представителями бухгалтерской профессии, деловыми кругами, пользователями финансовой отчётности и другими заинтересованными лицами</w:t>
      </w:r>
    </w:p>
    <w:p w:rsidR="004338DA" w:rsidRPr="007F3A68" w:rsidRDefault="004338DA" w:rsidP="00363ADF">
      <w:pPr>
        <w:numPr>
          <w:ilvl w:val="0"/>
          <w:numId w:val="18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поиск источников финансирования работы Комитета таким образом, чтобы это не влияли на независимость Комитета</w:t>
      </w:r>
    </w:p>
    <w:p w:rsidR="004338DA" w:rsidRPr="007F3A68" w:rsidRDefault="004338DA" w:rsidP="00363ADF">
      <w:pPr>
        <w:numPr>
          <w:ilvl w:val="0"/>
          <w:numId w:val="18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>рассмотрение бюджета и финансовой отчётности КМСФО</w:t>
      </w:r>
    </w:p>
    <w:p w:rsidR="004338DA" w:rsidRPr="00041B8B" w:rsidRDefault="004338DA" w:rsidP="00363ADF">
      <w:pPr>
        <w:spacing w:line="360" w:lineRule="auto"/>
        <w:ind w:firstLine="720"/>
        <w:jc w:val="both"/>
        <w:rPr>
          <w:rFonts w:ascii="Verdana" w:hAnsi="Verdana"/>
          <w:color w:val="000000"/>
          <w:sz w:val="21"/>
          <w:szCs w:val="21"/>
        </w:rPr>
      </w:pPr>
      <w:r w:rsidRPr="007F3A68">
        <w:rPr>
          <w:color w:val="000000"/>
          <w:sz w:val="28"/>
          <w:szCs w:val="28"/>
        </w:rPr>
        <w:t>Консультативный Совет гарантирует независимость и объективность Правления в принятии решений по предложенным стандартам. Совет не участвует в самом процессе принятия решений и не стремится влиять на него.</w:t>
      </w:r>
    </w:p>
    <w:p w:rsidR="004338DA" w:rsidRPr="007F3A68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F3A68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7 г"/>
        </w:smartTagPr>
        <w:r w:rsidRPr="007F3A68">
          <w:rPr>
            <w:color w:val="000000"/>
            <w:sz w:val="28"/>
            <w:szCs w:val="28"/>
          </w:rPr>
          <w:t>1997 г</w:t>
        </w:r>
      </w:smartTag>
      <w:r w:rsidRPr="007F3A68">
        <w:rPr>
          <w:color w:val="000000"/>
          <w:sz w:val="28"/>
          <w:szCs w:val="28"/>
        </w:rPr>
        <w:t>. Правление КМСФО одобрило создание Постоянного Комитета по интерпретациям. В его задачи входит рассмотрение вопросов бухгалтерского учёта, которые не получили отражения в существующих стандартах или могут иметь неоднозначное толкование. Работа Комитета осуществляется в тесном взаимодействии с аналогичными национальными комитетами. Комитет занимается неудовлетворительной практикой учёта в рамках международных стандартов и возникновением новых обстоятельств, не учтённых при разработке существующих стандартов. Постоянный Комитет по интерпретациям состоит из 12 голосующих членов, которые принимают Интерпретации. Представители Европейской комиссии и Международной организации комиссий по ценным бумагам являются наблюдателями без права голоса.</w:t>
      </w:r>
    </w:p>
    <w:p w:rsidR="00EF6F2E" w:rsidRPr="00D22A0B" w:rsidRDefault="00EF6F2E" w:rsidP="00363ADF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22A0B">
        <w:rPr>
          <w:sz w:val="28"/>
          <w:szCs w:val="28"/>
        </w:rPr>
        <w:t>Международные стандарты учета определяют правила составления финансовой</w:t>
      </w:r>
      <w:r>
        <w:rPr>
          <w:sz w:val="28"/>
          <w:szCs w:val="28"/>
        </w:rPr>
        <w:t xml:space="preserve"> от</w:t>
      </w:r>
      <w:r w:rsidRPr="00D22A0B">
        <w:rPr>
          <w:sz w:val="28"/>
          <w:szCs w:val="28"/>
        </w:rPr>
        <w:t xml:space="preserve">четности. </w:t>
      </w:r>
      <w:r>
        <w:rPr>
          <w:sz w:val="28"/>
          <w:szCs w:val="28"/>
        </w:rPr>
        <w:t>П</w:t>
      </w:r>
      <w:r w:rsidRPr="00D22A0B">
        <w:rPr>
          <w:sz w:val="28"/>
          <w:szCs w:val="28"/>
        </w:rPr>
        <w:t>римером финансовой отчетности являются отчеты, публикуемые акционерными компаниями США, Великобритании, других стран, в которых приведены данные о состоянии средств предприятия, об источниках их поступления, данные о ликвидности, рентабельности, оборачиваемости капитала, о том, что в конечном счете влияет на котировку акций компании. Следует добавить, что, несмотря на достаточно широкий спектр показателей,  в международной практике набор показателей никогда и нигде не регламентировался</w:t>
      </w:r>
      <w:r>
        <w:rPr>
          <w:sz w:val="28"/>
          <w:szCs w:val="28"/>
        </w:rPr>
        <w:t>.</w:t>
      </w:r>
    </w:p>
    <w:p w:rsidR="004338DA" w:rsidRPr="00EF6F2E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F6F2E">
        <w:rPr>
          <w:color w:val="000000"/>
          <w:sz w:val="28"/>
          <w:szCs w:val="28"/>
        </w:rPr>
        <w:t>Для того чтобы обеспечить самое высокое качество стандартов, а, следовательно, их широкое применение в мире, Комитет выработал многоступенчатую процедуру их разработки и принятия. Разработка международных стандартов осуществляется в 6 этапов.</w:t>
      </w:r>
    </w:p>
    <w:p w:rsidR="004338DA" w:rsidRPr="00EF6F2E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F6F2E">
        <w:rPr>
          <w:color w:val="000000"/>
          <w:sz w:val="28"/>
          <w:szCs w:val="28"/>
        </w:rPr>
        <w:t>1 этап – формирование Подготовительного комитета (Steering Committee). Комитет формируется Правлением из специалистов не менее чем из 3 стран и возглавляется представителем Правления. В Подготовительные комитеты могут также входить представители других организаций, представленных в Правлении, Консультативной группе и эксперты в определённой области.</w:t>
      </w:r>
    </w:p>
    <w:p w:rsidR="004338DA" w:rsidRPr="00EF6F2E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F6F2E">
        <w:rPr>
          <w:color w:val="000000"/>
          <w:sz w:val="28"/>
          <w:szCs w:val="28"/>
        </w:rPr>
        <w:t>2 этап – разработка проекта стандарта. Подготовительный комитет намечает план работы над проектом, затем тщательно изучает практику учёта по данному вопросу в различных странах, в том числе различные учётные приёмы, подходящие различным условиям. По итогам исследования комитет представляет на рассмотрение Правления КМСФО Общий план разработки проекта Международного стандарта финансовой отчётности (Point Outline).</w:t>
      </w:r>
    </w:p>
    <w:p w:rsidR="004338DA" w:rsidRPr="00EF6F2E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F6F2E">
        <w:rPr>
          <w:color w:val="000000"/>
          <w:sz w:val="28"/>
          <w:szCs w:val="28"/>
        </w:rPr>
        <w:t>3 этап – подготовка рабочего проекта положений стандарта. В ходе данного этапа, который обычно длится около 4 месяцев, Подготовительный комитет готовит Проект изложения принципов (Draft Statement of Principles) или другой дискуссионный документ. В нём формулируются основные принципы подготовки следующего документа – Проекта международного стандарта финансовой отчётности (Exposure Draft), а также предлагаются альтернативные решения и аргументы в пользу их принятия или отклонения. Все заинтересованные стороны вправе вносить свои замечания и предложения в рабочий проект. В определённых случаях ещё до Проекта изложения принципов Правление может предложить вопрос на обсуждение.</w:t>
      </w:r>
    </w:p>
    <w:p w:rsidR="004338DA" w:rsidRPr="00EF6F2E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F6F2E">
        <w:rPr>
          <w:color w:val="000000"/>
          <w:sz w:val="28"/>
          <w:szCs w:val="28"/>
        </w:rPr>
        <w:t>4 этап – утверждение Правлением рабочего проекта положений стандарта. После рассмотрения всех замечаний по Рабочему проекту положений Подготовительный комитет согласовывает его окончательный вариант и представляет на утверждение Правления.</w:t>
      </w:r>
    </w:p>
    <w:p w:rsidR="004338DA" w:rsidRPr="00EF6F2E" w:rsidRDefault="004338DA" w:rsidP="00363AD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F6F2E">
        <w:rPr>
          <w:color w:val="000000"/>
          <w:sz w:val="28"/>
          <w:szCs w:val="28"/>
        </w:rPr>
        <w:t>5 этап – составление плана разработки международного стандарта. Подготовительный комитет составляет Проект международного стандарта финансовой отчётности, который после его одобрения двумя третями Правления обычно публикуется, и все стороны могут вносить в него замечания и предложения. Данная стадия может продолжаться от одного до трёх месяцев.</w:t>
      </w:r>
    </w:p>
    <w:p w:rsidR="00EF6F2E" w:rsidRDefault="004338DA" w:rsidP="00363ADF">
      <w:pPr>
        <w:pStyle w:val="ab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F6F2E">
        <w:rPr>
          <w:color w:val="000000"/>
          <w:sz w:val="28"/>
          <w:szCs w:val="28"/>
        </w:rPr>
        <w:t>6 этап – подготовка проекта международного стандарта. Подготовительный комитет рассматривает все замечания и передает проект на рассмотрение Правления. Для принятия и опубликования нового стандарта необходимо, по меньшей мере, 12 голосов членов Правления (из 16). В противном случае Правление может принять решение о проведении дополнительных консультаций и внесении необходимых изменений в проект. На практике это требует составления нового Проекта МСФО.</w:t>
      </w:r>
      <w:r w:rsidR="00EF6F2E" w:rsidRPr="00EF6F2E">
        <w:rPr>
          <w:rFonts w:ascii="Verdana" w:hAnsi="Verdana"/>
          <w:color w:val="000000"/>
          <w:sz w:val="21"/>
          <w:szCs w:val="21"/>
        </w:rPr>
        <w:t xml:space="preserve"> </w:t>
      </w:r>
      <w:r w:rsidR="00EF6F2E" w:rsidRPr="00EF6F2E">
        <w:rPr>
          <w:color w:val="000000"/>
          <w:sz w:val="28"/>
          <w:szCs w:val="28"/>
        </w:rPr>
        <w:t>Правление также может сформировать Подготовительный комитет для внесения корректировок в уже существующие стандарты или их замены на новые стандарты.</w:t>
      </w:r>
    </w:p>
    <w:p w:rsidR="00306E15" w:rsidRDefault="00EF6F2E" w:rsidP="00363ADF">
      <w:pPr>
        <w:spacing w:line="360" w:lineRule="auto"/>
        <w:ind w:firstLine="720"/>
        <w:jc w:val="both"/>
        <w:rPr>
          <w:sz w:val="28"/>
          <w:szCs w:val="28"/>
        </w:rPr>
      </w:pPr>
      <w:r w:rsidRPr="00F33A44">
        <w:rPr>
          <w:color w:val="000000"/>
          <w:sz w:val="28"/>
          <w:szCs w:val="28"/>
        </w:rPr>
        <w:t>В</w:t>
      </w:r>
      <w:r w:rsidR="004338DA" w:rsidRPr="00F33A44">
        <w:rPr>
          <w:rFonts w:ascii="Verdana" w:hAnsi="Verdana"/>
          <w:color w:val="000000"/>
          <w:sz w:val="28"/>
          <w:szCs w:val="28"/>
        </w:rPr>
        <w:t xml:space="preserve"> </w:t>
      </w:r>
      <w:r w:rsidRPr="00F33A44">
        <w:rPr>
          <w:sz w:val="28"/>
          <w:szCs w:val="28"/>
        </w:rPr>
        <w:t xml:space="preserve"> конце </w:t>
      </w:r>
      <w:smartTag w:uri="urn:schemas-microsoft-com:office:smarttags" w:element="metricconverter">
        <w:smartTagPr>
          <w:attr w:name="ProductID" w:val="1997 г"/>
        </w:smartTagPr>
        <w:r w:rsidRPr="00F33A44">
          <w:rPr>
            <w:sz w:val="28"/>
            <w:szCs w:val="28"/>
          </w:rPr>
          <w:t>1997 г</w:t>
        </w:r>
      </w:smartTag>
      <w:r w:rsidRPr="00F33A44">
        <w:rPr>
          <w:sz w:val="28"/>
          <w:szCs w:val="28"/>
        </w:rPr>
        <w:t>. в РФ был создан Институт профессиональных бухгалтеров России. Хотя сама по себе идея создания Института профессиональных бухгалтеров зародилась в России еще в конце XIX века, она так и не была реализована. Согласно</w:t>
      </w:r>
      <w:r w:rsidRPr="00F33A44">
        <w:rPr>
          <w:b/>
          <w:sz w:val="28"/>
          <w:szCs w:val="28"/>
        </w:rPr>
        <w:t xml:space="preserve"> </w:t>
      </w:r>
      <w:r w:rsidRPr="00F33A44">
        <w:rPr>
          <w:sz w:val="28"/>
          <w:szCs w:val="28"/>
        </w:rPr>
        <w:t>п</w:t>
      </w:r>
      <w:r w:rsidRPr="00F33A44">
        <w:rPr>
          <w:rStyle w:val="ac"/>
          <w:b w:val="0"/>
          <w:sz w:val="28"/>
          <w:szCs w:val="28"/>
        </w:rPr>
        <w:t>оложению о Комитете по международным стандартам финансовой</w:t>
      </w:r>
      <w:r w:rsidR="002371DC">
        <w:rPr>
          <w:rStyle w:val="ac"/>
          <w:b w:val="0"/>
          <w:sz w:val="28"/>
          <w:szCs w:val="28"/>
        </w:rPr>
        <w:t xml:space="preserve"> </w:t>
      </w:r>
      <w:r w:rsidRPr="00F33A44">
        <w:rPr>
          <w:rStyle w:val="ac"/>
          <w:b w:val="0"/>
          <w:sz w:val="28"/>
          <w:szCs w:val="28"/>
        </w:rPr>
        <w:t xml:space="preserve">отчетности ИПБ России: </w:t>
      </w:r>
      <w:r w:rsidRPr="00F33A44">
        <w:rPr>
          <w:sz w:val="28"/>
          <w:szCs w:val="28"/>
        </w:rPr>
        <w:br/>
        <w:t xml:space="preserve">Комитет по Международным стандартам финансовой отчетности Института профессиональных бухгалтеров России (далее - Комитет) призван содействовать формированию позиций Института профессиональных бухгалтеров России (далее - ИПБ России) и его членов по важнейшим вопросам теории и практики применения Международных стандартов финансовой отчетности (далее - МСФО) экономическими субъектами, оказанию членам ИПБ России методической, консультационной помощи, содействие в переподготовке и повышению квалификации по указанным вопросам. </w:t>
      </w:r>
      <w:r w:rsidRPr="00F33A44">
        <w:rPr>
          <w:sz w:val="28"/>
          <w:szCs w:val="28"/>
        </w:rPr>
        <w:br/>
      </w:r>
      <w:r w:rsidR="00F33A44" w:rsidRPr="00F33A44">
        <w:rPr>
          <w:sz w:val="28"/>
          <w:szCs w:val="28"/>
        </w:rPr>
        <w:t>Комитет в своей деятельности руководствуется настоящим Положением и Уставом ИПБ России, законодательными и иными актами Российской Федерации.</w:t>
      </w:r>
    </w:p>
    <w:p w:rsidR="00306E15" w:rsidRDefault="00306E15" w:rsidP="00363ADF">
      <w:pPr>
        <w:spacing w:line="360" w:lineRule="auto"/>
        <w:ind w:firstLine="720"/>
        <w:jc w:val="both"/>
        <w:rPr>
          <w:sz w:val="28"/>
          <w:szCs w:val="28"/>
        </w:rPr>
      </w:pPr>
      <w:r w:rsidRPr="00F33A44">
        <w:rPr>
          <w:sz w:val="28"/>
          <w:szCs w:val="28"/>
        </w:rPr>
        <w:t>Основными задачами Комитета являются:</w:t>
      </w:r>
    </w:p>
    <w:p w:rsidR="00F10936" w:rsidRDefault="00306E15" w:rsidP="00363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3A44">
        <w:rPr>
          <w:sz w:val="28"/>
          <w:szCs w:val="28"/>
        </w:rPr>
        <w:t>Анализ и обобщение практ</w:t>
      </w:r>
      <w:r w:rsidR="00F10936">
        <w:rPr>
          <w:sz w:val="28"/>
          <w:szCs w:val="28"/>
        </w:rPr>
        <w:t xml:space="preserve">ики применения МСФО в России. </w:t>
      </w:r>
    </w:p>
    <w:p w:rsidR="00F10936" w:rsidRDefault="00306E15" w:rsidP="00F1093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3A44">
        <w:rPr>
          <w:sz w:val="28"/>
          <w:szCs w:val="28"/>
        </w:rPr>
        <w:t>Организация работы с документами Правления КМСФО, касающихся разработки новых и совершенствов</w:t>
      </w:r>
      <w:r w:rsidR="00F10936">
        <w:rPr>
          <w:sz w:val="28"/>
          <w:szCs w:val="28"/>
        </w:rPr>
        <w:t xml:space="preserve">ания существующих МСФО с учетом </w:t>
      </w:r>
      <w:r w:rsidRPr="00F33A44">
        <w:rPr>
          <w:sz w:val="28"/>
          <w:szCs w:val="28"/>
        </w:rPr>
        <w:t>потребностей российских предприятий.</w:t>
      </w:r>
    </w:p>
    <w:p w:rsidR="00306E15" w:rsidRDefault="00306E15" w:rsidP="00F1093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3A44">
        <w:rPr>
          <w:sz w:val="28"/>
          <w:szCs w:val="28"/>
        </w:rPr>
        <w:t xml:space="preserve">Организация научно-исследовательских работ в области теории и практики </w:t>
      </w:r>
      <w:r>
        <w:rPr>
          <w:sz w:val="28"/>
          <w:szCs w:val="28"/>
        </w:rPr>
        <w:t>п</w:t>
      </w:r>
      <w:r w:rsidRPr="00F33A44">
        <w:rPr>
          <w:sz w:val="28"/>
          <w:szCs w:val="28"/>
        </w:rPr>
        <w:t>рименения МСФО, проведения методологических и методических разработок, в частности, проектов практических рекомендаций по применению МСФО, учебных планов и программ подготовки и повышения квалификации бухгалтеров.</w:t>
      </w:r>
    </w:p>
    <w:p w:rsidR="00363ADF" w:rsidRDefault="00306E15" w:rsidP="00363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3A44">
        <w:rPr>
          <w:sz w:val="28"/>
          <w:szCs w:val="28"/>
        </w:rPr>
        <w:t>Изучение, обобщение и распространение передового отечественного и зарубежного опыт</w:t>
      </w:r>
      <w:r>
        <w:rPr>
          <w:sz w:val="28"/>
          <w:szCs w:val="28"/>
        </w:rPr>
        <w:t xml:space="preserve">а по применению МСФО. </w:t>
      </w:r>
    </w:p>
    <w:p w:rsidR="00363ADF" w:rsidRDefault="00306E15" w:rsidP="00363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3A44">
        <w:rPr>
          <w:sz w:val="28"/>
          <w:szCs w:val="28"/>
        </w:rPr>
        <w:t xml:space="preserve">Распространение информации, организация семинаров по вопросам изменения существующих и принятия </w:t>
      </w:r>
      <w:r>
        <w:rPr>
          <w:sz w:val="28"/>
          <w:szCs w:val="28"/>
        </w:rPr>
        <w:t>новых МСФО Комитетом по МСФО.</w:t>
      </w:r>
    </w:p>
    <w:p w:rsidR="00363ADF" w:rsidRDefault="00306E15" w:rsidP="00363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3A44">
        <w:rPr>
          <w:sz w:val="28"/>
          <w:szCs w:val="28"/>
        </w:rPr>
        <w:t>Организация перевода на русский язык ежегодных сборников МСФО, а также методической литературы по их применению.</w:t>
      </w:r>
    </w:p>
    <w:p w:rsidR="002A4D01" w:rsidRDefault="002A4D01" w:rsidP="00363ADF">
      <w:pPr>
        <w:spacing w:line="360" w:lineRule="auto"/>
        <w:ind w:firstLine="720"/>
        <w:jc w:val="both"/>
        <w:rPr>
          <w:sz w:val="28"/>
          <w:szCs w:val="28"/>
        </w:rPr>
      </w:pPr>
      <w:r w:rsidRPr="00F33A44">
        <w:rPr>
          <w:sz w:val="28"/>
          <w:szCs w:val="28"/>
        </w:rPr>
        <w:t>Комитет работает под руководством Президентского Совета ИПБ России, утверждает свои предложения и рекомендации на заседании Президентского Совета ИПБ России.</w:t>
      </w:r>
    </w:p>
    <w:p w:rsidR="00363ADF" w:rsidRDefault="00363ADF" w:rsidP="00363ADF">
      <w:pPr>
        <w:spacing w:line="360" w:lineRule="auto"/>
        <w:ind w:firstLine="720"/>
        <w:jc w:val="both"/>
        <w:rPr>
          <w:sz w:val="28"/>
          <w:szCs w:val="28"/>
        </w:rPr>
      </w:pPr>
    </w:p>
    <w:p w:rsidR="00306E15" w:rsidRDefault="00306E15" w:rsidP="00363A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концепции бухгалтерской информации.</w:t>
      </w:r>
    </w:p>
    <w:p w:rsidR="00363ADF" w:rsidRDefault="00363ADF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 xml:space="preserve">В конце 1990-х - начале 2000-х гг. в области бухгалтерского учета и отчетности в Российской Федерации произошли значительные изменения, во многом предопределенные Программой реформирования бухгалтерского учета в соответствии с Международными стандартами финансовой отчетности, утвержденной Постановлением Правительства Российской Федерации от 6 марта </w:t>
      </w:r>
      <w:smartTag w:uri="urn:schemas-microsoft-com:office:smarttags" w:element="metricconverter">
        <w:smartTagPr>
          <w:attr w:name="ProductID" w:val="1998 г"/>
        </w:smartTagPr>
        <w:r w:rsidRPr="001A0140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1A0140">
        <w:rPr>
          <w:rFonts w:ascii="Times New Roman" w:hAnsi="Times New Roman" w:cs="Times New Roman"/>
          <w:sz w:val="28"/>
          <w:szCs w:val="28"/>
        </w:rPr>
        <w:t>. N 283.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Изменения в системе бухгалтерского учета и отчетности были направлены на обеспечение формирования информации о финансовом положении и финансовых результатах деятельности хозяйствующих субъектов, полезной заинтересованным пользователям. В качестве основного инструмента реформирования бухгалтерского учета и отчетности были приняты Международные стандарты финансовой отчетности (далее - МСФО). В бухгалтерской отчетности раскрывается информация: об аффилированных лицах, событиях после отчетной даты, условных фактах хозяйственной деятельности, прекращаемой деятельности, обесценении финансовых и других активов, по сегментам и др. Хозяйствующие субъекты используют в бухгалтерском учете и отчетности способы оценки активов и обязательств, ориентированные на условия рыночной экономики. Крупнейшие хозяйствующие субъекты (нефтяной, газовой, электроэнергетической, металлургической, автомобилестроительной, химической промышленности, банковского сектора) подготавливают консолидированную финансовую отчетность по МСФО или иным международно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0140">
        <w:rPr>
          <w:rFonts w:ascii="Times New Roman" w:hAnsi="Times New Roman" w:cs="Times New Roman"/>
          <w:sz w:val="28"/>
          <w:szCs w:val="28"/>
        </w:rPr>
        <w:t>признаваемым стандартам. Получил развитие рынок аудиторских услуг. Возрос престиж бухгалтерской профессии, возникла аудиторская профессия. Появился ряд профессиональных общественных объединений, отдельные из которых стали членами Международной федерации бухгалтеров.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В то же время, несмотря на определенные успехи в развитии, в бухгалтерском учете и отчетности имеются серьезные проблемы, которые проявляются: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а) в отсутствии официального статуса бухгалтерской отчетности, составляемой по МСФО, а также необходимой инфраструктуры применения МСФО;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б) в формальном подходе регулирующих органов и хозяйствующих субъектов ко многим категориям, принципам и требованиям бухгалтерского учета и отчетности, отвечающим условиям рыночной экономики;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в) в неоправданно высоких затратах хозяйствующих субъектов на подготовку консолидированной финансовой отчетности по МСФО путем трансформации бухгалтерской отчетности, подготовленной по российским правилам;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г) в значительном административном бремени хозяйствующих субъектов по представлению избыточной отчетности органам государственной власти, а также излишних затратах из-за необходимости параллельно с бухгалтерским учетом вести налоговый учет;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д) в слабости системы контроля качества бухгалтерской отчетности, в том числе в невысоком качестве аудита бухгалтерской отчетности;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е) в недостаточности участия профессиональных общественных объединений и другой заинтересованной общественности, включая пользователей бухгалтерской отчетности, в регулировании бухгалтерского учета и отчетности, а также в развитии бухгалтерской и аудиторской профессии;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ж) в низком уровне профессиональной подготовки большей части бухгалтеров и аудиторов, а также недостаточности навыков использования информации, подготовленной по МСФО.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Сложившаяся система бухгалтерского учета и отчетности не обеспечивает в полной мере надлежащее качество и надежность формируемой в ней информации, а также существенно ограничивает возможности полезного использования этой информации.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В настоящее время складываются благоприятные условия для дальнейшего развития бухгалтерского учета и отчетности в Российской Федерации. Введены в действие нормативные правовые акты, охватывающие большинство объектов бухгалтерского учета и отчетности. В профессиональном сообществе накоплены определенные навыки и опыт ведения бухгалтерского учета и отчетности в рыночных условиях. В обществе созрело понимание необходимости повышения темпов перехода к использованию МСФО.</w:t>
      </w:r>
    </w:p>
    <w:p w:rsidR="001A0140" w:rsidRPr="001A0140" w:rsidRDefault="001A0140" w:rsidP="00363ADF">
      <w:pPr>
        <w:pStyle w:val="consnonformat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1A0140">
        <w:rPr>
          <w:rFonts w:ascii="Times New Roman" w:hAnsi="Times New Roman" w:cs="Times New Roman"/>
          <w:sz w:val="28"/>
          <w:szCs w:val="28"/>
        </w:rPr>
        <w:t>елью развития бухгалтерского учета и отчетности на среднесрочную перспективу (2004 - 2010 гг.) является создание приемлемых условий и предпосылок последовательного и успешного выполнения системой бухгалтерского учета и отчетности присущих ей функций в экономике Российской Федерации. В частности, функции формирования информации о деятельности хозяйствующих субъектов, полезной для принятия экономических решений заинтересованными внешними и внутренними пользователями (собственниками, инвесторами, кредиторами, органами государственной власти, управленческим персоналом хозяйствующих субъектов и др.). Суть дальнейшего развития состоит в активизации использования МСФО для реализации этой функции путем создания необходимой инфраструктуры и построения эффективного учетного процесса.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Дальнейшее развитие бухгалтерского учета и отчетности необходимо осуществлять по следующим основным направлениям: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1) повышение качества информации, формируемой в бухгалтерском учете и отчетности;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2) создание инфраструктуры применения МСФО;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3) изменение системы регулирования бухгалтерского учета и отчетности;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4) усиление контроля качества бухгалтерской отчетности;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5) существенное повышение квалификации специалистов, занятых организацией и ведением бухгалтерского учета и отчетности, аудитом бухгалтерской отчетности, а также пользователей бухгалтерской отчетности.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Бухгалтерский учет должен развиваться как часть единой системы учета и отчетности в Российской Федерации, которая включает также статистический и оперативно-технический учет. Важнейшим фактором, обеспечивающим единство этой системы, является первичный учет как источник данных для последующего накапливания, систематизации и обобщения их в соответствии с задачами, требованиями и методологией каждого вида учета.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В процессе развития особую актуальность для поддержания единства и целостности системы бухгалтерского учета и отчетности приобретает обеспечение стабильности этой системы. Первостепенное значение в этом имеет выявление рисков развития (неадекватность реальной экономической ситуации, несопоставимость информации, непоследовательность регулирования, однобокость развития и др.). Предотвращение или смягчение последствий этих рисков требует осуществления органами государственной власти и профессиональным сообществом комплекса соответствующих мер.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Как показывает отечественный и мировой опыт, развитие бухгалтерского учета и отчетности должно происходить в тесной связи с изменениями экономической ситуации в стране и отвечать характеру и уровню развития хозяйственного механизма. Недопустимо неоправданное затягивание процессов преобразования бухгалтерского учета и отчетности. В то же время форсирование изменений в бухгалтерском учете и отчетности вне связи с изменениями в хозяйственном механизме и реальным функционированием рыночных институтов может привести к снижению качества финансовой информации в экономике, дискредитации МСФО, а также ослаблению финансовой дисциплины. Кроме того, переход на МСФО требует времени для практической отработки новых методов и процедур сбора и обработки информации.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Изменения в бухгалтерском учете и отчетности, в частности переход на МСФО, должны происходить постепенно с учетом возможностей, потребностей и готовности профессиональной и другой заинтересованной общественности, а также органов государственной власти.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Предусмотренные Концепцией основные направления развития бухгалтерского учета и отчетности относятся ко всем отраслям и сферам экономики Российской Федерации. Вместе с тем реализация их в некоторых отраслях и сферах экономики (в частности, в некоммерческих организациях, банковской системе) имеет определенные особенности.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Основное направление развития бухгалтерского учета и отчетности - повышение качества информации, формируемой в них. Мировой опыт показывает, что характеристики, определяющие полезность информации, достигаются непосредственным использованием МСФО или применением их в качестве основы построения национальной системы бухгалтерского учета и отчетности.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Современный бухгалтерский учет представляет собой информационную базу, на основе которой хозяйствующие субъекты подготавливают бухгалтерскую отчетность юридического лица (далее - индивидуальную бухгалтерскую отчетность) и консолидированную финансовую отчетность. Кроме того, информация, формируемая в бухгалтерском учете, используется для составления управленческой, налоговой, статистической отчетности, отчетности перед надзорными органами. При необходимости на основе данной информации должны составляться также другие виды отчетности.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В связи с этим главная задача в области бухгалтерского учета заключается в обеспечении относительной независимости организации учетного процесса от какого-либо определенного вида отчетности. Принципы и требования к организации учетного процесса, а также базовые правила бухгалтерского учета должны устанавливаться с учетом принципов и требований МСФО таким образом, чтобы хозяйствующие субъекты имели возможность формировать информацию для разных видов отчетности, в том числе по МСФО. Некоторые категории хозяйствующих субъектов могут применять упрощенные процедуры бухгалтерского учета.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Индивидуальная бухгалтерская отчетность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140">
        <w:rPr>
          <w:rFonts w:ascii="Times New Roman" w:hAnsi="Times New Roman" w:cs="Times New Roman"/>
          <w:sz w:val="28"/>
          <w:szCs w:val="28"/>
        </w:rPr>
        <w:t xml:space="preserve"> как элемент метода бухгалтерского учета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140">
        <w:rPr>
          <w:rFonts w:ascii="Times New Roman" w:hAnsi="Times New Roman" w:cs="Times New Roman"/>
          <w:sz w:val="28"/>
          <w:szCs w:val="28"/>
        </w:rPr>
        <w:t xml:space="preserve"> выполняет две функции: информационную и контрольную. С одной стороны, она характеризует финансовое положение и финансовый результат деятельности хозяйствующего субъекта. С другой стороны, она обеспечивает системный контроль правильности и точности данных бухгалтерского учета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140">
        <w:rPr>
          <w:rFonts w:ascii="Times New Roman" w:hAnsi="Times New Roman" w:cs="Times New Roman"/>
          <w:sz w:val="28"/>
          <w:szCs w:val="28"/>
        </w:rPr>
        <w:t xml:space="preserve"> при завершении каждого учетного цикла. В связи с этим все хозяйствующие субъекты должны составлять индивидуальную бухгалтерскую отчетность за каждый отчетный период.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Индивидуальная бухгалтерская отчетность предназначена для: выявления конечного финансового результата деятельности хозяйствующего субъекта - чистой прибыли (убытка) и распределения ее между собственниками; представления в надзорные органы; выявления признаков банкротства хозяйствующих субъектов; формирования единой государственной базы статистического наблюдения и макроэкономических показателей; использования в управлении хозяйствующим субъектом, судопроизводстве и при налогообложении. Она также может использоваться для иных целей.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Главная задача в области индивидуальной бухгалтерской отчетности заключается в обеспечении гарантированного доступа заинтересованным пользователям к качественной, надежной и сопоставимой персонифицированной информации о хозяйствующих субъектах. Для решения этой задачи индивидуальную бухгалтерскую отчетность необходимо составлять по российским стандартам, разрабатываемым на основе МСФО. В перспективе с учетом накопленного опыта целесообразно оценить возможность составления определенным кругом хозяйствующих субъектов индивидуальной бухгалтерской отчетности непосредственно по МСФО (вместо российских стандартов).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В отдельных случаях в российских стандартах может предусматриваться несколько альтернативных подходов к формированию и представлению информации в бухгалтерской отчетности. Однако для повышения сопоставимости бухгалтерской отчетности разных хозяйствующих субъектов количество таких случаев должно быть ограничено и в дальнейшем его следует неуклонно сокращать.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Российские стандарты могут предусматривать разный объем информации, раскрываемой в индивидуальной бухгалтерской отчетности отдельными категориями хозяйствующих субъектов, в частности, возможно составление упрощенной бухгалтерской отчетности.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Консолидированная финансовая отчетность как разновидность бухгалтерской отчетности предназначена для характеристики финансового положения и финансового результата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140">
        <w:rPr>
          <w:rFonts w:ascii="Times New Roman" w:hAnsi="Times New Roman" w:cs="Times New Roman"/>
          <w:sz w:val="28"/>
          <w:szCs w:val="28"/>
        </w:rPr>
        <w:t xml:space="preserve"> деятельности группы хозяйствующих субъектов, основанной на отношениях контроля. Консолидированная финансовая отчетность выполняет исключительно информационную функцию и представляется заинтересованным внешним пользователям. Данная отчетность должна стать одним из основных источников финансовой информации для принятия экономических решений этими пользователями.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Главная задача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140">
        <w:rPr>
          <w:rFonts w:ascii="Times New Roman" w:hAnsi="Times New Roman" w:cs="Times New Roman"/>
          <w:sz w:val="28"/>
          <w:szCs w:val="28"/>
        </w:rPr>
        <w:t xml:space="preserve"> в области консолидированной финансовой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0140">
        <w:rPr>
          <w:rFonts w:ascii="Times New Roman" w:hAnsi="Times New Roman" w:cs="Times New Roman"/>
          <w:sz w:val="28"/>
          <w:szCs w:val="28"/>
        </w:rPr>
        <w:t>заключается в обеспечении гарантированного доступа заинтересованным пользователям к качественной, надежной и сопоставимой информации о группе хозяйствующих субъектов. Для решения этой задачи необходимо установить обязательное составление консолидированной финансовой отчетности по МСФО, а также обязательный аудит и публикацию ее.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Управленческая отчетность предназначена для использования в управлении хозяйствующим субъектом (руководством, другим управленческим персоналом). В связи с этим содержание, периодичность, сроки, формы и порядок ее составления определяются самостоятельно хозяйствующим субъектом. Вместе с тем передовая практика управления показывает, что наиболее полезным и эффективным является такое построение управленческой отчетности, при котором содержание и порядок составления 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140">
        <w:rPr>
          <w:rFonts w:ascii="Times New Roman" w:hAnsi="Times New Roman" w:cs="Times New Roman"/>
          <w:sz w:val="28"/>
          <w:szCs w:val="28"/>
        </w:rPr>
        <w:t xml:space="preserve"> основываются на тех же принципах, на каких составляется индивидуальная бухгалтерская и консолидированная финансовая отчетность.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Главная задача в области управленческой отчетности заключается в широком распространении передового опыта ее организации, а также опыта использования ее в управлении хозяйствующим субъектом.</w:t>
      </w:r>
    </w:p>
    <w:p w:rsidR="001A0140" w:rsidRPr="001A0140" w:rsidRDefault="001A0140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140">
        <w:rPr>
          <w:rFonts w:ascii="Times New Roman" w:hAnsi="Times New Roman" w:cs="Times New Roman"/>
          <w:sz w:val="28"/>
          <w:szCs w:val="28"/>
        </w:rPr>
        <w:t>Налоговая отчетность (налоговые декларации) предназначена для фискальных целей и обязательна для составления хозяйствующими субъектами, круг которых установлен налоговым законодательством. Налоговая отчетность должна составляться на основе информации, формируемой в бухгалтерском учете, путем корректировки ее по правилам налогового законодательства.</w:t>
      </w:r>
    </w:p>
    <w:p w:rsidR="002A4D01" w:rsidRPr="00F33A44" w:rsidRDefault="001A0140" w:rsidP="00FE7CE4">
      <w:pPr>
        <w:spacing w:line="360" w:lineRule="auto"/>
        <w:ind w:firstLine="720"/>
        <w:jc w:val="both"/>
        <w:rPr>
          <w:sz w:val="28"/>
          <w:szCs w:val="28"/>
        </w:rPr>
      </w:pPr>
      <w:r w:rsidRPr="001A0140">
        <w:rPr>
          <w:sz w:val="28"/>
          <w:szCs w:val="28"/>
        </w:rPr>
        <w:t>Главная задача в области налоговой отчетности заключается в снижении затрат на ее формирование путем существенного приближения правил налогового учета к правилам бу</w:t>
      </w:r>
      <w:r w:rsidR="00FE7CE4">
        <w:rPr>
          <w:sz w:val="28"/>
          <w:szCs w:val="28"/>
        </w:rPr>
        <w:t>хгалтерского учета.</w:t>
      </w:r>
    </w:p>
    <w:p w:rsidR="00A3523D" w:rsidRDefault="00363AD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1F3DD3">
        <w:rPr>
          <w:sz w:val="28"/>
        </w:rPr>
        <w:t>Задача 1.</w:t>
      </w:r>
    </w:p>
    <w:p w:rsidR="001F3DD3" w:rsidRDefault="001F3DD3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Рассчитать коэффициент л</w:t>
      </w:r>
      <w:r w:rsidR="00363ADF">
        <w:rPr>
          <w:sz w:val="28"/>
        </w:rPr>
        <w:t xml:space="preserve">иквидности на основании данных </w:t>
      </w:r>
      <w:r>
        <w:rPr>
          <w:sz w:val="28"/>
        </w:rPr>
        <w:t>таблицы.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8"/>
        <w:gridCol w:w="1939"/>
        <w:gridCol w:w="1903"/>
      </w:tblGrid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Тыс.долл</w:t>
            </w: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Тыс.долл</w:t>
            </w:r>
          </w:p>
        </w:tc>
      </w:tr>
      <w:tr w:rsidR="001F3DD3" w:rsidRPr="00363ADF" w:rsidTr="00363ADF">
        <w:trPr>
          <w:trHeight w:val="970"/>
        </w:trPr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Активы:</w:t>
            </w:r>
          </w:p>
          <w:p w:rsidR="001F3DD3" w:rsidRPr="00363ADF" w:rsidRDefault="001F3DD3" w:rsidP="00363ADF">
            <w:pPr>
              <w:spacing w:line="360" w:lineRule="auto"/>
            </w:pPr>
            <w:r w:rsidRPr="00363ADF">
              <w:t>Денежные средства и легко реализуемые ценные бумаги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</w:p>
          <w:p w:rsidR="001F3DD3" w:rsidRPr="00363ADF" w:rsidRDefault="001F3DD3" w:rsidP="00363ADF">
            <w:pPr>
              <w:spacing w:line="360" w:lineRule="auto"/>
            </w:pPr>
          </w:p>
          <w:p w:rsidR="001F3DD3" w:rsidRPr="00363ADF" w:rsidRDefault="001F3DD3" w:rsidP="00363ADF">
            <w:pPr>
              <w:spacing w:line="360" w:lineRule="auto"/>
            </w:pPr>
            <w:r w:rsidRPr="00363ADF">
              <w:t>416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Счета к получению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1117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Запасы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872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Расходы будущих периодов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273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Всего текущих активов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2678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Инвестиции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1953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Недвижимое имущество и оборудование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4727</w:t>
            </w: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Минус начисленная амортизация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  <w:rPr>
                <w:u w:val="single"/>
              </w:rPr>
            </w:pPr>
            <w:r w:rsidRPr="00363ADF">
              <w:rPr>
                <w:u w:val="single"/>
              </w:rPr>
              <w:t>2711</w:t>
            </w: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2016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Специальные инструменты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171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Гудвилл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  <w:rPr>
                <w:u w:val="single"/>
              </w:rPr>
            </w:pPr>
            <w:r w:rsidRPr="00363ADF">
              <w:rPr>
                <w:u w:val="single"/>
              </w:rPr>
              <w:t>594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Всего активов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1F3DD3" w:rsidP="00363ADF">
            <w:pPr>
              <w:spacing w:line="360" w:lineRule="auto"/>
              <w:rPr>
                <w:b/>
              </w:rPr>
            </w:pPr>
            <w:r w:rsidRPr="00363ADF">
              <w:rPr>
                <w:b/>
              </w:rPr>
              <w:t>7412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Текущие обязательства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3F21E0" w:rsidP="00363ADF">
            <w:pPr>
              <w:spacing w:line="360" w:lineRule="auto"/>
            </w:pPr>
            <w:r w:rsidRPr="00363ADF">
              <w:t>2285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Долгосрочные обязательства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3F21E0" w:rsidP="00363ADF">
            <w:pPr>
              <w:spacing w:line="360" w:lineRule="auto"/>
            </w:pPr>
            <w:r w:rsidRPr="00363ADF">
              <w:t>1965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1F3DD3" w:rsidP="00363ADF">
            <w:pPr>
              <w:spacing w:line="360" w:lineRule="auto"/>
            </w:pPr>
            <w:r w:rsidRPr="00363ADF">
              <w:t>Акционерный капитал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3F21E0" w:rsidP="00363ADF">
            <w:pPr>
              <w:spacing w:line="360" w:lineRule="auto"/>
            </w:pPr>
            <w:r w:rsidRPr="00363ADF">
              <w:t>3162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3F21E0" w:rsidP="00363ADF">
            <w:pPr>
              <w:spacing w:line="360" w:lineRule="auto"/>
            </w:pPr>
            <w:r w:rsidRPr="00363ADF">
              <w:t>Привилегированные акции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3F21E0" w:rsidP="00363ADF">
            <w:pPr>
              <w:spacing w:line="360" w:lineRule="auto"/>
            </w:pPr>
            <w:r w:rsidRPr="00363ADF">
              <w:t>25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3F21E0" w:rsidP="00363ADF">
            <w:pPr>
              <w:spacing w:line="360" w:lineRule="auto"/>
            </w:pPr>
            <w:r w:rsidRPr="00363ADF">
              <w:t>Обыкновенные акции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3F21E0" w:rsidP="00363ADF">
            <w:pPr>
              <w:spacing w:line="360" w:lineRule="auto"/>
            </w:pPr>
            <w:r w:rsidRPr="00363ADF">
              <w:t>54</w:t>
            </w:r>
          </w:p>
        </w:tc>
      </w:tr>
      <w:tr w:rsidR="001F3DD3" w:rsidRPr="00363ADF" w:rsidTr="00363ADF">
        <w:tc>
          <w:tcPr>
            <w:tcW w:w="2993" w:type="pct"/>
          </w:tcPr>
          <w:p w:rsidR="001F3DD3" w:rsidRPr="00363ADF" w:rsidRDefault="003F21E0" w:rsidP="00363ADF">
            <w:pPr>
              <w:spacing w:line="360" w:lineRule="auto"/>
            </w:pPr>
            <w:r w:rsidRPr="00363ADF">
              <w:t>Дополнительный оплаченный капитал</w:t>
            </w:r>
          </w:p>
        </w:tc>
        <w:tc>
          <w:tcPr>
            <w:tcW w:w="1013" w:type="pct"/>
          </w:tcPr>
          <w:p w:rsidR="001F3DD3" w:rsidRPr="00363ADF" w:rsidRDefault="001F3DD3" w:rsidP="00363ADF">
            <w:pPr>
              <w:spacing w:line="360" w:lineRule="auto"/>
            </w:pPr>
          </w:p>
        </w:tc>
        <w:tc>
          <w:tcPr>
            <w:tcW w:w="995" w:type="pct"/>
          </w:tcPr>
          <w:p w:rsidR="001F3DD3" w:rsidRPr="00363ADF" w:rsidRDefault="003F21E0" w:rsidP="00363ADF">
            <w:pPr>
              <w:spacing w:line="360" w:lineRule="auto"/>
            </w:pPr>
            <w:r w:rsidRPr="00363ADF">
              <w:t>667</w:t>
            </w:r>
          </w:p>
        </w:tc>
      </w:tr>
      <w:tr w:rsidR="003F21E0" w:rsidRPr="00363ADF" w:rsidTr="00363ADF">
        <w:tc>
          <w:tcPr>
            <w:tcW w:w="2993" w:type="pct"/>
          </w:tcPr>
          <w:p w:rsidR="003F21E0" w:rsidRPr="00363ADF" w:rsidRDefault="003F21E0" w:rsidP="00363ADF">
            <w:pPr>
              <w:spacing w:line="360" w:lineRule="auto"/>
            </w:pPr>
            <w:r w:rsidRPr="00363ADF">
              <w:t>Нераспределенная прибыль</w:t>
            </w:r>
          </w:p>
        </w:tc>
        <w:tc>
          <w:tcPr>
            <w:tcW w:w="1013" w:type="pct"/>
          </w:tcPr>
          <w:p w:rsidR="003F21E0" w:rsidRPr="00363ADF" w:rsidRDefault="003F21E0" w:rsidP="00363ADF">
            <w:pPr>
              <w:spacing w:line="360" w:lineRule="auto"/>
            </w:pPr>
          </w:p>
        </w:tc>
        <w:tc>
          <w:tcPr>
            <w:tcW w:w="995" w:type="pct"/>
          </w:tcPr>
          <w:p w:rsidR="003F21E0" w:rsidRPr="00363ADF" w:rsidRDefault="003F21E0" w:rsidP="00363ADF">
            <w:pPr>
              <w:spacing w:line="360" w:lineRule="auto"/>
            </w:pPr>
            <w:r w:rsidRPr="00363ADF">
              <w:t>2416</w:t>
            </w:r>
          </w:p>
        </w:tc>
      </w:tr>
      <w:tr w:rsidR="003F21E0" w:rsidRPr="00363ADF" w:rsidTr="00363ADF">
        <w:tc>
          <w:tcPr>
            <w:tcW w:w="2993" w:type="pct"/>
          </w:tcPr>
          <w:p w:rsidR="003F21E0" w:rsidRPr="00363ADF" w:rsidRDefault="003F21E0" w:rsidP="00363ADF">
            <w:pPr>
              <w:spacing w:line="360" w:lineRule="auto"/>
            </w:pPr>
            <w:r w:rsidRPr="00363ADF">
              <w:t>Всего пассивов</w:t>
            </w:r>
          </w:p>
        </w:tc>
        <w:tc>
          <w:tcPr>
            <w:tcW w:w="1013" w:type="pct"/>
          </w:tcPr>
          <w:p w:rsidR="003F21E0" w:rsidRPr="00363ADF" w:rsidRDefault="003F21E0" w:rsidP="00363ADF">
            <w:pPr>
              <w:spacing w:line="360" w:lineRule="auto"/>
            </w:pPr>
          </w:p>
        </w:tc>
        <w:tc>
          <w:tcPr>
            <w:tcW w:w="995" w:type="pct"/>
          </w:tcPr>
          <w:p w:rsidR="003F21E0" w:rsidRPr="00363ADF" w:rsidRDefault="003F21E0" w:rsidP="00363ADF">
            <w:pPr>
              <w:spacing w:line="360" w:lineRule="auto"/>
              <w:rPr>
                <w:b/>
              </w:rPr>
            </w:pPr>
            <w:r w:rsidRPr="00363ADF">
              <w:rPr>
                <w:b/>
              </w:rPr>
              <w:t>7412</w:t>
            </w:r>
          </w:p>
        </w:tc>
      </w:tr>
    </w:tbl>
    <w:p w:rsidR="001F3DD3" w:rsidRDefault="001F3DD3" w:rsidP="00363ADF">
      <w:pPr>
        <w:spacing w:line="360" w:lineRule="auto"/>
        <w:ind w:firstLine="720"/>
        <w:jc w:val="both"/>
        <w:rPr>
          <w:sz w:val="28"/>
        </w:rPr>
      </w:pPr>
    </w:p>
    <w:p w:rsidR="00A3523D" w:rsidRDefault="003F21E0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Решение:</w:t>
      </w:r>
    </w:p>
    <w:p w:rsidR="00AE699F" w:rsidRPr="00AE699F" w:rsidRDefault="00AE699F" w:rsidP="00363ADF">
      <w:pPr>
        <w:pStyle w:val="33"/>
        <w:spacing w:after="0" w:line="360" w:lineRule="auto"/>
        <w:ind w:left="0" w:firstLine="720"/>
        <w:jc w:val="both"/>
        <w:rPr>
          <w:sz w:val="28"/>
          <w:szCs w:val="28"/>
        </w:rPr>
      </w:pPr>
      <w:r w:rsidRPr="00AE699F">
        <w:rPr>
          <w:sz w:val="28"/>
          <w:szCs w:val="28"/>
        </w:rPr>
        <w:t xml:space="preserve">Термин “ликвидность” в буквальном смысле слова означает легкость реализации, продажи, превращения материальных ценностей в денежные средства. Активы </w:t>
      </w:r>
      <w:r>
        <w:rPr>
          <w:sz w:val="28"/>
          <w:szCs w:val="28"/>
        </w:rPr>
        <w:t>организации</w:t>
      </w:r>
      <w:r w:rsidRPr="00AE699F">
        <w:rPr>
          <w:sz w:val="28"/>
          <w:szCs w:val="28"/>
        </w:rPr>
        <w:t xml:space="preserve"> в зависимости от легкости превращения их в денежную форму определяются как ликвидные или неликвидные средства.</w:t>
      </w:r>
    </w:p>
    <w:p w:rsidR="003F21E0" w:rsidRDefault="003F21E0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Рассчитаем коэффициент ликвидности по следующей формуле:</w:t>
      </w:r>
    </w:p>
    <w:p w:rsidR="003F21E0" w:rsidRDefault="003F21E0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ликвид. = ТА/ТП,  где</w:t>
      </w:r>
    </w:p>
    <w:p w:rsidR="003F21E0" w:rsidRDefault="003F21E0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 – текущие активы</w:t>
      </w:r>
    </w:p>
    <w:p w:rsidR="003F21E0" w:rsidRDefault="003F21E0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ТП – текущие пассивы</w:t>
      </w:r>
    </w:p>
    <w:p w:rsidR="003F21E0" w:rsidRDefault="003F21E0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 ликвид. = 2678 / 2285 = 1,17 </w:t>
      </w:r>
    </w:p>
    <w:p w:rsidR="00150226" w:rsidRDefault="00150226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Этот показатель выражает способность организации  осуществлять расчеты по всем видам обязательств</w:t>
      </w:r>
      <w:r w:rsidR="0003779B">
        <w:rPr>
          <w:sz w:val="28"/>
        </w:rPr>
        <w:t xml:space="preserve">. Коэффициент ликвидности  равен 1,17, что говорит о способности организации реализовать текущие активы, превращая их в реальные деньги, для погашения текущих пассивов. </w:t>
      </w:r>
    </w:p>
    <w:p w:rsidR="00A3523D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Рассчитаем  коэффициент немедленной ликвидности по формуле: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нем.ликвид. = (ТА – З – РБП) / ТП , где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 – текущие активы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 – запасы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РБП – расходы будущих периодов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ТП – текущие пассивы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нем.ликвид. = ( 2678 – 872 – 273) / 2285 = 1533/2285= 0,67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Рассчитаем коэффициент абсолютной ликвидности по формуле: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абс.ликвид. = А1/ТП, где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А1 – легко реализуемые средства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ТП – текущие пассивы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абс. ликвид. = 416/2285 = 0,18</w:t>
      </w:r>
    </w:p>
    <w:p w:rsidR="00A3523D" w:rsidRDefault="005431C9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Коэффициент абсолютной ликвидности равен 0,18, что свидетельствует о возможности погашения  легко реализуемыми средствами лишь незначительной части  текущих пассивов в ближайшее время.</w:t>
      </w:r>
    </w:p>
    <w:p w:rsidR="002371DC" w:rsidRDefault="002371DC" w:rsidP="00363ADF">
      <w:pPr>
        <w:spacing w:line="360" w:lineRule="auto"/>
        <w:ind w:firstLine="720"/>
        <w:jc w:val="both"/>
        <w:rPr>
          <w:sz w:val="28"/>
        </w:rPr>
      </w:pPr>
    </w:p>
    <w:p w:rsidR="00A3523D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Задача 2.</w:t>
      </w:r>
    </w:p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Компания В занимается разведкой и разработкой нефтяных месторождений и добычей нефти. В течение года компанией было куплено три участка (А.Б и С) Величина затрат, связанных с каждым участком, представлена в таблице. Требуется рассчитать размер истощения на 1 баррель при добыче с трех участков методом:</w:t>
      </w:r>
    </w:p>
    <w:p w:rsidR="00AE699F" w:rsidRDefault="00AE699F" w:rsidP="00363ADF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успешных усилий</w:t>
      </w:r>
    </w:p>
    <w:p w:rsidR="00363ADF" w:rsidRDefault="00AE699F" w:rsidP="00363ADF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полной стоимости</w:t>
      </w:r>
    </w:p>
    <w:p w:rsidR="00AE699F" w:rsidRDefault="00363ADF" w:rsidP="00363ADF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84"/>
        <w:gridCol w:w="1489"/>
        <w:gridCol w:w="1458"/>
      </w:tblGrid>
      <w:tr w:rsidR="00E00D9A" w:rsidRPr="00363ADF" w:rsidTr="00363ADF">
        <w:trPr>
          <w:trHeight w:val="332"/>
        </w:trPr>
        <w:tc>
          <w:tcPr>
            <w:tcW w:w="4136" w:type="dxa"/>
          </w:tcPr>
          <w:p w:rsidR="00E00D9A" w:rsidRPr="00363ADF" w:rsidRDefault="00E00D9A" w:rsidP="00363ADF">
            <w:pPr>
              <w:spacing w:line="360" w:lineRule="auto"/>
            </w:pPr>
          </w:p>
        </w:tc>
        <w:tc>
          <w:tcPr>
            <w:tcW w:w="1484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А</w:t>
            </w:r>
          </w:p>
        </w:tc>
        <w:tc>
          <w:tcPr>
            <w:tcW w:w="1489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Б</w:t>
            </w:r>
          </w:p>
        </w:tc>
        <w:tc>
          <w:tcPr>
            <w:tcW w:w="1458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С</w:t>
            </w:r>
          </w:p>
        </w:tc>
      </w:tr>
      <w:tr w:rsidR="00E00D9A" w:rsidRPr="00363ADF" w:rsidTr="00363ADF">
        <w:trPr>
          <w:trHeight w:val="312"/>
        </w:trPr>
        <w:tc>
          <w:tcPr>
            <w:tcW w:w="4136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Стоимость земельных участков в долл. США</w:t>
            </w:r>
          </w:p>
        </w:tc>
        <w:tc>
          <w:tcPr>
            <w:tcW w:w="1484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200000</w:t>
            </w:r>
          </w:p>
        </w:tc>
        <w:tc>
          <w:tcPr>
            <w:tcW w:w="1489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180000</w:t>
            </w:r>
          </w:p>
        </w:tc>
        <w:tc>
          <w:tcPr>
            <w:tcW w:w="1458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350000</w:t>
            </w:r>
          </w:p>
        </w:tc>
      </w:tr>
      <w:tr w:rsidR="00E00D9A" w:rsidRPr="00363ADF" w:rsidTr="00363ADF">
        <w:trPr>
          <w:trHeight w:val="663"/>
        </w:trPr>
        <w:tc>
          <w:tcPr>
            <w:tcW w:w="4136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Затраты на оборудование для освоения скважин в долл. США</w:t>
            </w:r>
          </w:p>
        </w:tc>
        <w:tc>
          <w:tcPr>
            <w:tcW w:w="1484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800000</w:t>
            </w:r>
          </w:p>
        </w:tc>
        <w:tc>
          <w:tcPr>
            <w:tcW w:w="1489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750000</w:t>
            </w:r>
          </w:p>
        </w:tc>
        <w:tc>
          <w:tcPr>
            <w:tcW w:w="1458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1200000</w:t>
            </w:r>
          </w:p>
        </w:tc>
      </w:tr>
      <w:tr w:rsidR="00E00D9A" w:rsidRPr="00363ADF" w:rsidTr="00363ADF">
        <w:trPr>
          <w:trHeight w:val="332"/>
        </w:trPr>
        <w:tc>
          <w:tcPr>
            <w:tcW w:w="4136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Затраты на оплату труда персонала в долл.США</w:t>
            </w:r>
          </w:p>
        </w:tc>
        <w:tc>
          <w:tcPr>
            <w:tcW w:w="1484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950000</w:t>
            </w:r>
          </w:p>
        </w:tc>
        <w:tc>
          <w:tcPr>
            <w:tcW w:w="1489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830000</w:t>
            </w:r>
          </w:p>
        </w:tc>
        <w:tc>
          <w:tcPr>
            <w:tcW w:w="1458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1600000</w:t>
            </w:r>
          </w:p>
        </w:tc>
      </w:tr>
      <w:tr w:rsidR="00E00D9A" w:rsidRPr="00363ADF" w:rsidTr="00363ADF">
        <w:trPr>
          <w:trHeight w:val="332"/>
        </w:trPr>
        <w:tc>
          <w:tcPr>
            <w:tcW w:w="4136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Оценочный потенциал скважин в баррелях</w:t>
            </w:r>
          </w:p>
        </w:tc>
        <w:tc>
          <w:tcPr>
            <w:tcW w:w="1484" w:type="dxa"/>
          </w:tcPr>
          <w:p w:rsidR="00E00D9A" w:rsidRPr="00363ADF" w:rsidRDefault="00E00D9A" w:rsidP="00363ADF">
            <w:pPr>
              <w:spacing w:line="360" w:lineRule="auto"/>
            </w:pPr>
          </w:p>
        </w:tc>
        <w:tc>
          <w:tcPr>
            <w:tcW w:w="1489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1450000</w:t>
            </w:r>
          </w:p>
        </w:tc>
        <w:tc>
          <w:tcPr>
            <w:tcW w:w="1458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2500000</w:t>
            </w:r>
          </w:p>
        </w:tc>
      </w:tr>
      <w:tr w:rsidR="00E00D9A" w:rsidRPr="00363ADF" w:rsidTr="00363ADF">
        <w:trPr>
          <w:trHeight w:val="332"/>
        </w:trPr>
        <w:tc>
          <w:tcPr>
            <w:tcW w:w="4136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Добыто в текущем году</w:t>
            </w:r>
          </w:p>
        </w:tc>
        <w:tc>
          <w:tcPr>
            <w:tcW w:w="1484" w:type="dxa"/>
          </w:tcPr>
          <w:p w:rsidR="00E00D9A" w:rsidRPr="00363ADF" w:rsidRDefault="00E00D9A" w:rsidP="00363ADF">
            <w:pPr>
              <w:spacing w:line="360" w:lineRule="auto"/>
            </w:pPr>
          </w:p>
        </w:tc>
        <w:tc>
          <w:tcPr>
            <w:tcW w:w="1489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75000</w:t>
            </w:r>
          </w:p>
        </w:tc>
        <w:tc>
          <w:tcPr>
            <w:tcW w:w="1458" w:type="dxa"/>
          </w:tcPr>
          <w:p w:rsidR="00E00D9A" w:rsidRPr="00363ADF" w:rsidRDefault="00E00D9A" w:rsidP="00363ADF">
            <w:pPr>
              <w:spacing w:line="360" w:lineRule="auto"/>
            </w:pPr>
            <w:r w:rsidRPr="00363ADF">
              <w:t>1250000</w:t>
            </w:r>
          </w:p>
        </w:tc>
      </w:tr>
    </w:tbl>
    <w:p w:rsidR="00AE699F" w:rsidRDefault="00AE699F" w:rsidP="00363ADF">
      <w:pPr>
        <w:spacing w:line="360" w:lineRule="auto"/>
        <w:ind w:firstLine="720"/>
        <w:jc w:val="both"/>
        <w:rPr>
          <w:sz w:val="28"/>
        </w:rPr>
      </w:pPr>
    </w:p>
    <w:p w:rsidR="00A3523D" w:rsidRDefault="00E00D9A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Решение:</w:t>
      </w:r>
    </w:p>
    <w:p w:rsidR="00E00D9A" w:rsidRDefault="00E00D9A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Затраты на разведку и разработку нефтяных и газовых месторождений отражаются двумя способами:</w:t>
      </w:r>
    </w:p>
    <w:p w:rsidR="00E00D9A" w:rsidRPr="00363ADF" w:rsidRDefault="00E00D9A" w:rsidP="00363ADF">
      <w:pPr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</w:rPr>
      </w:pPr>
      <w:r w:rsidRPr="00363ADF">
        <w:rPr>
          <w:sz w:val="28"/>
        </w:rPr>
        <w:t>учет при успешной работе – в случае успешной разведки стоимость нефтяной скважины является стоимостью всего запаса – эта стоимость превращается во внеоборотные активы и уменьшается в течении всего срока разработки скважин.</w:t>
      </w:r>
      <w:r w:rsidR="00363ADF">
        <w:rPr>
          <w:sz w:val="28"/>
        </w:rPr>
        <w:t xml:space="preserve"> </w:t>
      </w:r>
      <w:r w:rsidRPr="00363ADF">
        <w:rPr>
          <w:sz w:val="28"/>
        </w:rPr>
        <w:t>С другой стороны, если нефть не обнаружена, стоимость разведки сразу списывается в убыток.</w:t>
      </w:r>
      <w:r w:rsidR="00363ADF">
        <w:rPr>
          <w:sz w:val="28"/>
        </w:rPr>
        <w:t xml:space="preserve"> </w:t>
      </w:r>
    </w:p>
    <w:p w:rsidR="00E00D9A" w:rsidRDefault="00E00D9A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 как добычи по скважине А в текущем году не было, посчитаем стоимость участков Б и С</w:t>
      </w:r>
    </w:p>
    <w:p w:rsidR="00E00D9A" w:rsidRDefault="00702037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180000+350000+750000+1200000+830000+1600000 = 4910000 долл.США – стоимость месторождения при методе успешных усилий.</w:t>
      </w:r>
    </w:p>
    <w:p w:rsidR="00702037" w:rsidRDefault="00702037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Рассчитаем истощение на 1 баррель нефти</w:t>
      </w:r>
    </w:p>
    <w:p w:rsidR="00702037" w:rsidRDefault="00702037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Стоимость месторождения/ Оценочный потенциал Б и С =</w:t>
      </w:r>
    </w:p>
    <w:p w:rsidR="00702037" w:rsidRDefault="00702037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4910000/(1450000+2500000) = 1,24 долл.США истощение на 1 баррель</w:t>
      </w:r>
    </w:p>
    <w:p w:rsidR="00E00D9A" w:rsidRDefault="00702037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Рассчитаем истощение с участков Б и С на весь объем добычи:</w:t>
      </w:r>
    </w:p>
    <w:p w:rsidR="00702037" w:rsidRDefault="00702037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Истощение на 1 баррель*( Добыто в текущем году с участков Б и С) =</w:t>
      </w:r>
    </w:p>
    <w:p w:rsidR="00702037" w:rsidRDefault="00702037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1,24* (75000+1250000) = 1643000 долл. США</w:t>
      </w:r>
    </w:p>
    <w:p w:rsidR="00A3523D" w:rsidRDefault="00702037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Найдем остаточную стоимость этих участков =</w:t>
      </w:r>
    </w:p>
    <w:p w:rsidR="00702037" w:rsidRDefault="00702037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Стоимость месторождения – истощение на весь объем добычи с двух участков =4910000 – 1643000 = 3267000долл.США – остаточная стоимость участков.</w:t>
      </w:r>
    </w:p>
    <w:p w:rsidR="005548F1" w:rsidRPr="00363ADF" w:rsidRDefault="00702037" w:rsidP="00363ADF">
      <w:pPr>
        <w:numPr>
          <w:ilvl w:val="0"/>
          <w:numId w:val="12"/>
        </w:numPr>
        <w:spacing w:line="360" w:lineRule="auto"/>
        <w:ind w:left="0" w:firstLine="720"/>
        <w:jc w:val="both"/>
        <w:rPr>
          <w:sz w:val="28"/>
        </w:rPr>
      </w:pPr>
      <w:r w:rsidRPr="00363ADF">
        <w:rPr>
          <w:sz w:val="28"/>
        </w:rPr>
        <w:t>Независимые компании, которые занимаются разработкой нефти настаивают на включении затрат на неудачные изыскания в общую стоимость</w:t>
      </w:r>
      <w:r w:rsidR="005548F1" w:rsidRPr="00363ADF">
        <w:rPr>
          <w:sz w:val="28"/>
        </w:rPr>
        <w:t xml:space="preserve"> разработки нефтяного пласта, согласно такому полностоимостному методу стоимость скважин не дающих нефть учитывается как активы.</w:t>
      </w:r>
      <w:r w:rsidR="00363ADF">
        <w:rPr>
          <w:sz w:val="28"/>
        </w:rPr>
        <w:t xml:space="preserve"> </w:t>
      </w:r>
      <w:r w:rsidR="005548F1" w:rsidRPr="00363ADF">
        <w:rPr>
          <w:sz w:val="28"/>
        </w:rPr>
        <w:t>Итак по методу полной стоимости: стоимость месторождения будет равна сумме затрат всех трех участков. Т.е.  к стоимости участков Б и С  прибавим затраты по участку А.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4910000+200000+800000+950000 = 6860000долл.США – стоимость месторождения при методе полной стоимости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Рассчитаем истощение на 1 баррель нефти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Стоимость месторождения/ Оценочный потенциал Б и С =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6860000/(1450000+2500000) = 2,74 долл.США истощение на 1 баррель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Рассчитаем истощение с  трех участков на весь объем добычи: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Истощение на 1 баррель*( Добыто в текущем году с участков Б и С) =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2,74* (75000+1250000) = 3630500 долл. США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Найдем остаточную стоимость этих участков =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Стоимость месторождения – истощение на весь объем добычи с двух участков =6860000-3630500 = 3229500долл.США – остаточная стоимость участков</w:t>
      </w:r>
    </w:p>
    <w:p w:rsidR="00A3523D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Ответ: </w:t>
      </w:r>
    </w:p>
    <w:p w:rsidR="005548F1" w:rsidRDefault="005548F1" w:rsidP="00363ADF">
      <w:pPr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метод успешных усилий: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Истощение на 1 баррель составило 1,24 долл.США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Истощение со всей добычи  1643000долл.США  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Остаточная стоимость 3267000долл.США</w:t>
      </w:r>
    </w:p>
    <w:p w:rsidR="005548F1" w:rsidRDefault="005548F1" w:rsidP="00363ADF">
      <w:pPr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метод полной стоимости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Истощение на 1 баррель составило 2,74 долл.США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Истощение со всей добычи  </w:t>
      </w:r>
      <w:r w:rsidR="006E2427">
        <w:rPr>
          <w:sz w:val="28"/>
        </w:rPr>
        <w:t>3630500</w:t>
      </w:r>
      <w:r>
        <w:rPr>
          <w:sz w:val="28"/>
        </w:rPr>
        <w:t xml:space="preserve">долл.США  </w:t>
      </w:r>
    </w:p>
    <w:p w:rsidR="005548F1" w:rsidRDefault="005548F1" w:rsidP="00363AD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Остаточная стоимость 3</w:t>
      </w:r>
      <w:r w:rsidR="006E2427">
        <w:rPr>
          <w:sz w:val="28"/>
        </w:rPr>
        <w:t>229500</w:t>
      </w:r>
      <w:r>
        <w:rPr>
          <w:sz w:val="28"/>
        </w:rPr>
        <w:t>долл.США</w:t>
      </w:r>
    </w:p>
    <w:p w:rsidR="00A3523D" w:rsidRDefault="00363ADF" w:rsidP="00363ADF">
      <w:pPr>
        <w:pStyle w:val="5"/>
        <w:ind w:left="0" w:firstLine="720"/>
        <w:jc w:val="both"/>
      </w:pPr>
      <w:r>
        <w:br w:type="page"/>
      </w:r>
      <w:r w:rsidR="00A3523D">
        <w:t>Заключение</w:t>
      </w:r>
    </w:p>
    <w:p w:rsidR="00363ADF" w:rsidRDefault="00363ADF" w:rsidP="00363ADF">
      <w:pPr>
        <w:pStyle w:val="ab"/>
        <w:spacing w:before="0" w:beforeAutospacing="0" w:after="0" w:afterAutospacing="0" w:line="360" w:lineRule="auto"/>
        <w:ind w:firstLine="720"/>
        <w:jc w:val="both"/>
      </w:pPr>
    </w:p>
    <w:p w:rsidR="0093157E" w:rsidRPr="0093157E" w:rsidRDefault="00BD2D47" w:rsidP="00363ADF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D2D47">
        <w:rPr>
          <w:sz w:val="28"/>
          <w:szCs w:val="28"/>
        </w:rPr>
        <w:t xml:space="preserve">Решение задачи создания Международных стандартов бухучета в целом возможно лишь в том случае, когда международные правила достаточно гибки для того, чтобы охватить как можно больше национальных подходов, а последние близки и сопоставимы между собой. </w:t>
      </w:r>
      <w:r>
        <w:rPr>
          <w:sz w:val="28"/>
          <w:szCs w:val="28"/>
        </w:rPr>
        <w:t>В 1973 году был создан Комитет по международным стандартам финансовой отчетности (КМСФО) основной целью, которого является создание и публикация стандартов финансовой отчетности. Разработка международных стандартов осуществляется в 6 этапов.</w:t>
      </w:r>
      <w:r w:rsidR="00E73E29">
        <w:rPr>
          <w:sz w:val="28"/>
          <w:szCs w:val="28"/>
        </w:rPr>
        <w:t xml:space="preserve"> В России  в 1997 году был создан Институт профессиональных бухгалтеров. Основными задачами Комитета по Международным стандартам финансовой отчетности ИПБ России являются: анализ и обобщение практики применения МСФО в России; организация работы с документами Правления КМСФО, касающихся разработки новых и совершенствования существующих МСФО с учетом потребностей российский предприятий и т.д.</w:t>
      </w:r>
      <w:r w:rsidR="00363ADF">
        <w:rPr>
          <w:sz w:val="28"/>
          <w:szCs w:val="28"/>
        </w:rPr>
        <w:t xml:space="preserve"> </w:t>
      </w:r>
      <w:r w:rsidR="0093157E" w:rsidRPr="0093157E">
        <w:rPr>
          <w:sz w:val="28"/>
          <w:szCs w:val="28"/>
        </w:rPr>
        <w:t>Основное направление развития бухгалтерского учета и отчетности - повышение качества информации, формируемой в них. Мировой опыт показывает, что характеристики, определяющие полезность информации, достигаются непосредственным использованием МСФО или применением их в качестве основы построения национальной системы бухгалтерского учета и отчетности.</w:t>
      </w:r>
    </w:p>
    <w:p w:rsidR="0093157E" w:rsidRPr="0093157E" w:rsidRDefault="0093157E" w:rsidP="00363ADF">
      <w:pPr>
        <w:pStyle w:val="consnormal"/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157E">
        <w:rPr>
          <w:rFonts w:ascii="Times New Roman" w:hAnsi="Times New Roman" w:cs="Times New Roman"/>
          <w:sz w:val="28"/>
          <w:szCs w:val="28"/>
        </w:rPr>
        <w:t>Современный бухгалтерский учет представляет собой информационную базу, на основе которой хозяйствующие субъекты подготавливают бухгалтерскую отчетность юридического лица (далее - индивидуальную бухгалтерскую отчетность) и консолидированную финансовую отчетность. Кроме того, информация, формируемая в бухгалтерском учете, используется для составления управленческой, налоговой, статистической отчетности, отчетности перед надзорными органами. При необходимости</w:t>
      </w:r>
      <w:r>
        <w:rPr>
          <w:rFonts w:ascii="Times New Roman" w:hAnsi="Times New Roman" w:cs="Times New Roman"/>
        </w:rPr>
        <w:t xml:space="preserve"> </w:t>
      </w:r>
      <w:r w:rsidRPr="0093157E">
        <w:rPr>
          <w:rFonts w:ascii="Times New Roman" w:hAnsi="Times New Roman" w:cs="Times New Roman"/>
          <w:sz w:val="28"/>
          <w:szCs w:val="28"/>
        </w:rPr>
        <w:t>на основе данной информации должны составляться также другие виды отчетности.</w:t>
      </w:r>
    </w:p>
    <w:p w:rsidR="00A3523D" w:rsidRPr="00363ADF" w:rsidRDefault="00363ADF" w:rsidP="00FE7CE4">
      <w:pPr>
        <w:pStyle w:val="a7"/>
        <w:tabs>
          <w:tab w:val="clear" w:pos="4153"/>
          <w:tab w:val="clear" w:pos="8306"/>
        </w:tabs>
        <w:spacing w:line="360" w:lineRule="auto"/>
        <w:ind w:left="720"/>
        <w:rPr>
          <w:sz w:val="28"/>
          <w:szCs w:val="28"/>
        </w:rPr>
      </w:pPr>
      <w:r>
        <w:rPr>
          <w:sz w:val="28"/>
        </w:rPr>
        <w:br w:type="page"/>
      </w:r>
      <w:r w:rsidR="00A3523D" w:rsidRPr="00363ADF">
        <w:rPr>
          <w:sz w:val="28"/>
          <w:szCs w:val="28"/>
        </w:rPr>
        <w:t>Список литературы</w:t>
      </w:r>
    </w:p>
    <w:p w:rsidR="00A3523D" w:rsidRDefault="00A3523D" w:rsidP="00363ADF">
      <w:pPr>
        <w:spacing w:line="360" w:lineRule="auto"/>
      </w:pPr>
    </w:p>
    <w:p w:rsidR="009B00C0" w:rsidRPr="009B00C0" w:rsidRDefault="009B00C0" w:rsidP="00363ADF">
      <w:pPr>
        <w:spacing w:line="360" w:lineRule="auto"/>
        <w:outlineLvl w:val="0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00C0">
        <w:rPr>
          <w:sz w:val="28"/>
          <w:szCs w:val="28"/>
        </w:rPr>
        <w:t xml:space="preserve">Постановление Правительства РФ № 283 </w:t>
      </w:r>
      <w:r>
        <w:rPr>
          <w:sz w:val="28"/>
          <w:szCs w:val="28"/>
        </w:rPr>
        <w:t>6.03.</w:t>
      </w:r>
      <w:r w:rsidRPr="009B00C0">
        <w:rPr>
          <w:sz w:val="28"/>
          <w:szCs w:val="28"/>
        </w:rPr>
        <w:t>1998 г,</w:t>
      </w:r>
      <w:r>
        <w:rPr>
          <w:sz w:val="28"/>
          <w:szCs w:val="28"/>
        </w:rPr>
        <w:t xml:space="preserve"> «Об утверждении программы реформирования</w:t>
      </w:r>
      <w:r w:rsidR="005624DA">
        <w:rPr>
          <w:sz w:val="28"/>
          <w:szCs w:val="28"/>
        </w:rPr>
        <w:t xml:space="preserve"> бухгалтерского учета в соответствии с Международными Стандартами Финансовой Отчетности.»</w:t>
      </w:r>
    </w:p>
    <w:p w:rsidR="00363ADF" w:rsidRDefault="009B00C0" w:rsidP="00363ADF">
      <w:pPr>
        <w:spacing w:line="360" w:lineRule="auto"/>
        <w:rPr>
          <w:rFonts w:ascii="Verdana" w:hAnsi="Verdana"/>
        </w:rPr>
      </w:pPr>
      <w:r>
        <w:rPr>
          <w:kern w:val="36"/>
          <w:sz w:val="28"/>
          <w:szCs w:val="28"/>
        </w:rPr>
        <w:t xml:space="preserve">2. </w:t>
      </w:r>
      <w:r w:rsidRPr="009B00C0">
        <w:rPr>
          <w:kern w:val="36"/>
          <w:sz w:val="28"/>
          <w:szCs w:val="28"/>
        </w:rPr>
        <w:t>Концепция развития бухгалтерского учета и отчетности в Российской Федерации</w:t>
      </w:r>
      <w:r>
        <w:rPr>
          <w:kern w:val="36"/>
          <w:sz w:val="28"/>
          <w:szCs w:val="28"/>
        </w:rPr>
        <w:t>.</w:t>
      </w:r>
      <w:r w:rsidRPr="009B00C0">
        <w:rPr>
          <w:color w:val="1D228B"/>
          <w:sz w:val="28"/>
          <w:szCs w:val="28"/>
        </w:rPr>
        <w:t xml:space="preserve"> </w:t>
      </w:r>
      <w:r w:rsidRPr="009B00C0">
        <w:rPr>
          <w:sz w:val="28"/>
          <w:szCs w:val="28"/>
        </w:rPr>
        <w:t xml:space="preserve">Одобрена приказом Министра финансов Российской Федерации от 1 июля </w:t>
      </w:r>
      <w:smartTag w:uri="urn:schemas-microsoft-com:office:smarttags" w:element="metricconverter">
        <w:smartTagPr>
          <w:attr w:name="ProductID" w:val="2004 г"/>
        </w:smartTagPr>
        <w:r w:rsidRPr="009B00C0">
          <w:rPr>
            <w:sz w:val="28"/>
            <w:szCs w:val="28"/>
          </w:rPr>
          <w:t>2004 г</w:t>
        </w:r>
      </w:smartTag>
      <w:r w:rsidRPr="009B00C0">
        <w:rPr>
          <w:sz w:val="28"/>
          <w:szCs w:val="28"/>
        </w:rPr>
        <w:t>. N 180</w:t>
      </w:r>
      <w:r w:rsidRPr="009B00C0">
        <w:rPr>
          <w:rFonts w:ascii="Verdana" w:hAnsi="Verdana"/>
        </w:rPr>
        <w:t xml:space="preserve"> </w:t>
      </w:r>
    </w:p>
    <w:p w:rsidR="005624DA" w:rsidRDefault="009B00C0" w:rsidP="00363ADF">
      <w:pPr>
        <w:spacing w:line="360" w:lineRule="auto"/>
        <w:rPr>
          <w:sz w:val="28"/>
          <w:szCs w:val="28"/>
        </w:rPr>
      </w:pPr>
      <w:r w:rsidRPr="009B00C0">
        <w:rPr>
          <w:sz w:val="28"/>
          <w:szCs w:val="28"/>
        </w:rPr>
        <w:t>3.</w:t>
      </w:r>
      <w:r w:rsidR="005624DA">
        <w:rPr>
          <w:sz w:val="28"/>
          <w:szCs w:val="28"/>
        </w:rPr>
        <w:t xml:space="preserve"> Мюллер Г., Гернон Х., Миик Г., Учет: международная перспектива. –М.: Финансы и статистика, 1996г.</w:t>
      </w:r>
    </w:p>
    <w:p w:rsidR="009B00C0" w:rsidRDefault="009B00C0" w:rsidP="00363ADF">
      <w:pPr>
        <w:spacing w:line="360" w:lineRule="auto"/>
        <w:rPr>
          <w:sz w:val="28"/>
        </w:rPr>
      </w:pPr>
      <w:r>
        <w:rPr>
          <w:sz w:val="28"/>
          <w:szCs w:val="28"/>
        </w:rPr>
        <w:t xml:space="preserve"> </w:t>
      </w:r>
      <w:r w:rsidR="005624DA">
        <w:rPr>
          <w:sz w:val="28"/>
          <w:szCs w:val="28"/>
        </w:rPr>
        <w:t xml:space="preserve">4. </w:t>
      </w:r>
      <w:r>
        <w:rPr>
          <w:sz w:val="28"/>
        </w:rPr>
        <w:t>Нидлз Б., Андерсон Х., Колдуэлл Дж. Принципы бухгалтерского учета. М.: Финансы и статистика, 2000г.</w:t>
      </w:r>
      <w:bookmarkStart w:id="0" w:name="_GoBack"/>
      <w:bookmarkEnd w:id="0"/>
    </w:p>
    <w:sectPr w:rsidR="009B00C0" w:rsidSect="00363ADF">
      <w:headerReference w:type="even" r:id="rId7"/>
      <w:headerReference w:type="default" r:id="rId8"/>
      <w:pgSz w:w="11906" w:h="16838"/>
      <w:pgMar w:top="1134" w:right="851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0B" w:rsidRDefault="00E85F0B">
      <w:r>
        <w:separator/>
      </w:r>
    </w:p>
  </w:endnote>
  <w:endnote w:type="continuationSeparator" w:id="0">
    <w:p w:rsidR="00E85F0B" w:rsidRDefault="00E8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0B" w:rsidRDefault="00E85F0B">
      <w:r>
        <w:separator/>
      </w:r>
    </w:p>
  </w:footnote>
  <w:footnote w:type="continuationSeparator" w:id="0">
    <w:p w:rsidR="00E85F0B" w:rsidRDefault="00E85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23D" w:rsidRDefault="00A3523D" w:rsidP="003849D7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20</w:t>
    </w:r>
  </w:p>
  <w:p w:rsidR="00A3523D" w:rsidRDefault="00A3523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23D" w:rsidRDefault="00A1725C" w:rsidP="003849D7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A3523D" w:rsidRDefault="00A3523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>
        <v:imagedata r:id="rId1" o:title=""/>
      </v:shape>
    </w:pict>
  </w:numPicBullet>
  <w:numPicBullet w:numPicBulletId="1">
    <w:pict>
      <v:shape id="_x0000_i1060" type="#_x0000_t75" style="width:3in;height:3in" o:bullet="t">
        <v:imagedata r:id="rId2" o:title=""/>
      </v:shape>
    </w:pict>
  </w:numPicBullet>
  <w:numPicBullet w:numPicBulletId="2">
    <w:pict>
      <v:shape id="_x0000_i1065" type="#_x0000_t75" style="width:3in;height:3in" o:bullet="t">
        <v:imagedata r:id="rId3" o:title=""/>
      </v:shape>
    </w:pict>
  </w:numPicBullet>
  <w:numPicBullet w:numPicBulletId="3">
    <w:pict>
      <v:shape id="_x0000_i1077" type="#_x0000_t75" style="width:12.75pt;height:6.75pt" o:bullet="t">
        <v:imagedata r:id="rId4" o:title=""/>
      </v:shape>
    </w:pict>
  </w:numPicBullet>
  <w:numPicBullet w:numPicBulletId="4">
    <w:pict>
      <v:shape id="_x0000_i1078" type="#_x0000_t75" style="width:3in;height:3in" o:bullet="t">
        <v:imagedata r:id="rId5" o:title=""/>
      </v:shape>
    </w:pict>
  </w:numPicBullet>
  <w:numPicBullet w:numPicBulletId="5">
    <w:pict>
      <v:shape id="_x0000_i1087" type="#_x0000_t75" style="width:3in;height:3in" o:bullet="t">
        <v:imagedata r:id="rId6" o:title=""/>
      </v:shape>
    </w:pict>
  </w:numPicBullet>
  <w:abstractNum w:abstractNumId="0">
    <w:nsid w:val="00E4612D"/>
    <w:multiLevelType w:val="hybridMultilevel"/>
    <w:tmpl w:val="60C86E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5C4E2E"/>
    <w:multiLevelType w:val="hybridMultilevel"/>
    <w:tmpl w:val="03063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8C1567"/>
    <w:multiLevelType w:val="multilevel"/>
    <w:tmpl w:val="7E60C3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95DA9"/>
    <w:multiLevelType w:val="multilevel"/>
    <w:tmpl w:val="EE60942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C00E4"/>
    <w:multiLevelType w:val="multilevel"/>
    <w:tmpl w:val="9FA6553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0F5A8A"/>
    <w:multiLevelType w:val="singleLevel"/>
    <w:tmpl w:val="669E4C0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CC76B66"/>
    <w:multiLevelType w:val="hybridMultilevel"/>
    <w:tmpl w:val="1CBEF040"/>
    <w:lvl w:ilvl="0" w:tplc="7636572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>
    <w:nsid w:val="124C0E54"/>
    <w:multiLevelType w:val="multilevel"/>
    <w:tmpl w:val="CC0A2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049F9"/>
    <w:multiLevelType w:val="multilevel"/>
    <w:tmpl w:val="2098AC0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43B9C"/>
    <w:multiLevelType w:val="singleLevel"/>
    <w:tmpl w:val="37C6F48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1A49171D"/>
    <w:multiLevelType w:val="hybridMultilevel"/>
    <w:tmpl w:val="06B229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3C7C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27B7F92"/>
    <w:multiLevelType w:val="hybridMultilevel"/>
    <w:tmpl w:val="AA505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30A6097"/>
    <w:multiLevelType w:val="multilevel"/>
    <w:tmpl w:val="7F86D57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F764E1"/>
    <w:multiLevelType w:val="singleLevel"/>
    <w:tmpl w:val="8C7AC20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15">
    <w:nsid w:val="327E5BC2"/>
    <w:multiLevelType w:val="multilevel"/>
    <w:tmpl w:val="B3D80B0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891911"/>
    <w:multiLevelType w:val="multilevel"/>
    <w:tmpl w:val="A3D0130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1F75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3805486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85A21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3EE6321A"/>
    <w:multiLevelType w:val="multilevel"/>
    <w:tmpl w:val="B366CC8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8A5813"/>
    <w:multiLevelType w:val="multilevel"/>
    <w:tmpl w:val="107A65F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A14101"/>
    <w:multiLevelType w:val="multilevel"/>
    <w:tmpl w:val="0E20394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464AB3"/>
    <w:multiLevelType w:val="multilevel"/>
    <w:tmpl w:val="E0022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B62209"/>
    <w:multiLevelType w:val="multilevel"/>
    <w:tmpl w:val="B288B7F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D029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5840578D"/>
    <w:multiLevelType w:val="multilevel"/>
    <w:tmpl w:val="1B722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6A1245"/>
    <w:multiLevelType w:val="multilevel"/>
    <w:tmpl w:val="4600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61B587A"/>
    <w:multiLevelType w:val="multilevel"/>
    <w:tmpl w:val="34DEB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B82294"/>
    <w:multiLevelType w:val="multilevel"/>
    <w:tmpl w:val="5AB8C5F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6628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6FE45E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7FB35363"/>
    <w:multiLevelType w:val="multilevel"/>
    <w:tmpl w:val="90720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25"/>
  </w:num>
  <w:num w:numId="4">
    <w:abstractNumId w:val="11"/>
  </w:num>
  <w:num w:numId="5">
    <w:abstractNumId w:val="17"/>
  </w:num>
  <w:num w:numId="6">
    <w:abstractNumId w:val="30"/>
  </w:num>
  <w:num w:numId="7">
    <w:abstractNumId w:val="31"/>
  </w:num>
  <w:num w:numId="8">
    <w:abstractNumId w:val="5"/>
  </w:num>
  <w:num w:numId="9">
    <w:abstractNumId w:val="18"/>
  </w:num>
  <w:num w:numId="10">
    <w:abstractNumId w:val="19"/>
  </w:num>
  <w:num w:numId="11">
    <w:abstractNumId w:val="10"/>
  </w:num>
  <w:num w:numId="12">
    <w:abstractNumId w:val="0"/>
  </w:num>
  <w:num w:numId="13">
    <w:abstractNumId w:val="6"/>
  </w:num>
  <w:num w:numId="14">
    <w:abstractNumId w:val="27"/>
  </w:num>
  <w:num w:numId="15">
    <w:abstractNumId w:val="28"/>
  </w:num>
  <w:num w:numId="16">
    <w:abstractNumId w:val="23"/>
  </w:num>
  <w:num w:numId="17">
    <w:abstractNumId w:val="7"/>
  </w:num>
  <w:num w:numId="18">
    <w:abstractNumId w:val="26"/>
  </w:num>
  <w:num w:numId="19">
    <w:abstractNumId w:val="2"/>
  </w:num>
  <w:num w:numId="20">
    <w:abstractNumId w:val="13"/>
  </w:num>
  <w:num w:numId="21">
    <w:abstractNumId w:val="21"/>
  </w:num>
  <w:num w:numId="22">
    <w:abstractNumId w:val="3"/>
  </w:num>
  <w:num w:numId="23">
    <w:abstractNumId w:val="24"/>
  </w:num>
  <w:num w:numId="24">
    <w:abstractNumId w:val="15"/>
  </w:num>
  <w:num w:numId="25">
    <w:abstractNumId w:val="8"/>
  </w:num>
  <w:num w:numId="26">
    <w:abstractNumId w:val="32"/>
  </w:num>
  <w:num w:numId="27">
    <w:abstractNumId w:val="22"/>
  </w:num>
  <w:num w:numId="28">
    <w:abstractNumId w:val="4"/>
  </w:num>
  <w:num w:numId="29">
    <w:abstractNumId w:val="20"/>
  </w:num>
  <w:num w:numId="30">
    <w:abstractNumId w:val="29"/>
  </w:num>
  <w:num w:numId="31">
    <w:abstractNumId w:val="16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DD3"/>
    <w:rsid w:val="0003779B"/>
    <w:rsid w:val="00041B8B"/>
    <w:rsid w:val="000A0441"/>
    <w:rsid w:val="0012440E"/>
    <w:rsid w:val="00150226"/>
    <w:rsid w:val="001A0140"/>
    <w:rsid w:val="001B27BE"/>
    <w:rsid w:val="001F3DD3"/>
    <w:rsid w:val="002371DC"/>
    <w:rsid w:val="00263715"/>
    <w:rsid w:val="00265B91"/>
    <w:rsid w:val="002A4D01"/>
    <w:rsid w:val="00306E15"/>
    <w:rsid w:val="00363ADF"/>
    <w:rsid w:val="00365DDB"/>
    <w:rsid w:val="003849D7"/>
    <w:rsid w:val="003F21E0"/>
    <w:rsid w:val="004231BC"/>
    <w:rsid w:val="004328FD"/>
    <w:rsid w:val="004338DA"/>
    <w:rsid w:val="00487DB9"/>
    <w:rsid w:val="004C2816"/>
    <w:rsid w:val="005431C9"/>
    <w:rsid w:val="005548F1"/>
    <w:rsid w:val="005624DA"/>
    <w:rsid w:val="006E2427"/>
    <w:rsid w:val="00702037"/>
    <w:rsid w:val="007F3A68"/>
    <w:rsid w:val="007F78D6"/>
    <w:rsid w:val="008E6EA8"/>
    <w:rsid w:val="0093157E"/>
    <w:rsid w:val="00953065"/>
    <w:rsid w:val="009B00C0"/>
    <w:rsid w:val="00A14FC6"/>
    <w:rsid w:val="00A1725C"/>
    <w:rsid w:val="00A3523D"/>
    <w:rsid w:val="00AE699F"/>
    <w:rsid w:val="00BD2D47"/>
    <w:rsid w:val="00D22A0B"/>
    <w:rsid w:val="00D26197"/>
    <w:rsid w:val="00D727F6"/>
    <w:rsid w:val="00E00D9A"/>
    <w:rsid w:val="00E73E29"/>
    <w:rsid w:val="00E85F0B"/>
    <w:rsid w:val="00EA7236"/>
    <w:rsid w:val="00EF6F2E"/>
    <w:rsid w:val="00F10936"/>
    <w:rsid w:val="00F33A44"/>
    <w:rsid w:val="00F977B2"/>
    <w:rsid w:val="00FA3B1D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chartTrackingRefBased/>
  <w15:docId w15:val="{4FA909EB-B6C4-4AE8-9AFA-A032BCCF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left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851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uto"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a5">
    <w:name w:val="Body Text Indent"/>
    <w:basedOn w:val="a"/>
    <w:link w:val="a6"/>
    <w:uiPriority w:val="99"/>
    <w:pPr>
      <w:spacing w:line="360" w:lineRule="auto"/>
      <w:ind w:firstLine="851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</w:rPr>
  </w:style>
  <w:style w:type="paragraph" w:styleId="23">
    <w:name w:val="Body Text Indent 2"/>
    <w:basedOn w:val="a"/>
    <w:link w:val="24"/>
    <w:uiPriority w:val="99"/>
    <w:pPr>
      <w:spacing w:line="360" w:lineRule="auto"/>
      <w:ind w:left="851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pPr>
      <w:spacing w:line="360" w:lineRule="auto"/>
      <w:jc w:val="center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</w:rPr>
  </w:style>
  <w:style w:type="character" w:styleId="a9">
    <w:name w:val="page number"/>
    <w:uiPriority w:val="99"/>
    <w:rPr>
      <w:rFonts w:cs="Times New Roman"/>
    </w:rPr>
  </w:style>
  <w:style w:type="table" w:styleId="aa">
    <w:name w:val="Table Grid"/>
    <w:basedOn w:val="a1"/>
    <w:uiPriority w:val="59"/>
    <w:rsid w:val="001F3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AE699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b">
    <w:name w:val="Normal (Web)"/>
    <w:basedOn w:val="a"/>
    <w:uiPriority w:val="99"/>
    <w:rsid w:val="002A4D0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2A4D01"/>
    <w:rPr>
      <w:rFonts w:cs="Times New Roman"/>
      <w:b/>
      <w:bCs/>
    </w:rPr>
  </w:style>
  <w:style w:type="character" w:styleId="ad">
    <w:name w:val="Emphasis"/>
    <w:uiPriority w:val="20"/>
    <w:qFormat/>
    <w:rsid w:val="00D22A0B"/>
    <w:rPr>
      <w:rFonts w:cs="Times New Roman"/>
      <w:i/>
      <w:iCs/>
    </w:rPr>
  </w:style>
  <w:style w:type="paragraph" w:customStyle="1" w:styleId="consnonformat">
    <w:name w:val="consnonformat"/>
    <w:basedOn w:val="a"/>
    <w:rsid w:val="001A0140"/>
    <w:pPr>
      <w:spacing w:before="100" w:beforeAutospacing="1" w:after="100" w:afterAutospacing="1"/>
      <w:ind w:left="450"/>
    </w:pPr>
    <w:rPr>
      <w:rFonts w:ascii="Arial" w:hAnsi="Arial" w:cs="Arial"/>
      <w:color w:val="000000"/>
      <w:sz w:val="16"/>
      <w:szCs w:val="16"/>
    </w:rPr>
  </w:style>
  <w:style w:type="paragraph" w:customStyle="1" w:styleId="consnormal">
    <w:name w:val="consnormal"/>
    <w:basedOn w:val="a"/>
    <w:rsid w:val="001A0140"/>
    <w:pPr>
      <w:spacing w:before="100" w:beforeAutospacing="1" w:after="100" w:afterAutospacing="1"/>
      <w:ind w:left="450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4884</Words>
  <Characters>27840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Председателю Р/к”Прибой”</vt:lpstr>
    </vt:vector>
  </TitlesOfParts>
  <Company>KLONDIKE</Company>
  <LinksUpToDate>false</LinksUpToDate>
  <CharactersWithSpaces>32659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Председателю Р/к”Прибой”</dc:title>
  <dc:subject/>
  <dc:creator>Данилова</dc:creator>
  <cp:keywords/>
  <dc:description/>
  <cp:lastModifiedBy>admin</cp:lastModifiedBy>
  <cp:revision>2</cp:revision>
  <cp:lastPrinted>2005-03-22T09:47:00Z</cp:lastPrinted>
  <dcterms:created xsi:type="dcterms:W3CDTF">2014-03-03T22:19:00Z</dcterms:created>
  <dcterms:modified xsi:type="dcterms:W3CDTF">2014-03-03T22:19:00Z</dcterms:modified>
</cp:coreProperties>
</file>