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81" w:rsidRDefault="0052408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 вопросу о субъектном составе договора энергоснабжения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Жанэ Азамат Давлетович, юрист 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в юридической литературе широко обсуждаются проблемы и перспективы развития правового института энергоснабжения, в частности, вопросы регулирования договорных связей в этой сфере. Анализ действующего законодательства, посвященного данной проблематике, достаточно красноречиво свидетельствует о несовершенстве правовой базы, что особенно очевидно, когда речь заходит о структуре отношений, складывающихся между сторонами обязательства, о субъектном составе договора. В этой связи представляется необходимым обрисовать круг вопросов, которые на сегодняшний день являются наиболее актуальными и требующими самого пристального внимания со стороны законодателя.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ст. 539 ГК РФ стороны договора энергоснабжения определены как абонент (потребитель) и энергоснабжающая организация. Исходя из этого, несмотря на отнесение договора энергоснабжения к виду купли-продажи, едва ли правомерно именование абонента – покупателем энергии, а энергоснабжающей организации – продавцом и тем более поставщиком. Следует заметить, что данная неточность допущена в большинстве правовых актов, посвященных энергоснабжению. Это приводит к путанице, нарушению единой концепции регулирования договорных аспектов. Именно поэтому, в целях единообразного применения указанных понятий (терминов) представляется необходимым приведение нормативных актов в соответствие с нормами ГК РФ.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энергоснабжающей организации предусмотрено Федеральным законом РФ от 14 апреля 1995г. № 41- ФЗ «О государственном регулировании тарифов на электрическую и тепловую энергию в РФ»</w:t>
      </w:r>
      <w:r w:rsidRPr="000F5A41">
        <w:rPr>
          <w:color w:val="000000"/>
          <w:sz w:val="24"/>
          <w:szCs w:val="24"/>
          <w:vertAlign w:val="superscript"/>
        </w:rPr>
        <w:t>[1]</w:t>
      </w:r>
      <w:r>
        <w:rPr>
          <w:color w:val="000000"/>
          <w:sz w:val="24"/>
          <w:szCs w:val="24"/>
        </w:rPr>
        <w:t xml:space="preserve"> (далее Закон), согласно которому к энергоснабжающим организациям относятся коммерческие организации независимо от организационно правовой формы, осуществляющие продажу потребителю произведенной или купленной энергии. Некоммерческие же организации, исходя из смысла закона, в правоотношениях по энергоснабжению в качестве энергоснабжающей организации выступать не вправе.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Правило о принадлежности энергоснабжающей организации к числу коммерческих, по всей видимости, относится и к абоненту, подающему энергию третьему лицу - субабоненту.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понятий абонента и потребителя, то ГК РФ отождествляет данные категории, а Закон (ст.1) определяет потребителя как физическое или юридическое лицо, осуществляющее пользование электрической энергией (мощностью) и (или) тепловой энергией (мощностью). 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данной связи не совсем понятно предложение, согласно которому «...эти понятия необходимо разграничить, определив абонента как физическое или юридическое лицо, осуществляющее пользование электрической и (или) тепловой энергией по присоединенной к энергоснабжающей организации сети»</w:t>
      </w:r>
      <w:r w:rsidRPr="000F5A41">
        <w:rPr>
          <w:color w:val="000000"/>
          <w:sz w:val="24"/>
          <w:szCs w:val="24"/>
          <w:vertAlign w:val="superscript"/>
        </w:rPr>
        <w:t>[2]</w:t>
      </w:r>
      <w:r>
        <w:rPr>
          <w:color w:val="000000"/>
          <w:sz w:val="24"/>
          <w:szCs w:val="24"/>
        </w:rPr>
        <w:t xml:space="preserve">. В частности, не ясна практическая необходимость данного разграничения. На наш взгляд, разделение этих понятий приведет к бессмысленному терминологическому нагромождению, еще большей путанице. Следовало бы наоборот стремиться к унификации существующих определений, определив лицо, получающее энергию как "абонент (субабонент)", опустив при этом понятие "потребитель". 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рассматриваемой проблемы особое внимание следует уделить вопросу субабонентских отношений, который в настоящее время представляется наиболее проблемным.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 Андреева считает, что субабонентские отношения, несмотря на свою повсеместность, законодательством практически не урегулированы. "В ст.545 ГК РФ говорится лишь о том, что абонент может передавать энергию, принятую им от энергоснабжающей организации через присоединенную сеть, другому лицу (субабоненту) только с согласия энергоснабжающей организации. Таким образом, в ГК передача энергии от абонента к субабоненту сформулирована как право, а не обязанность, абонента. Следовательно, последний может отказаться от передачи энергии, и на практике зачастую так и поступает, мотивируя это тем, что данная деятельность не является для него основой и не носит публичного характера."</w:t>
      </w:r>
      <w:r w:rsidRPr="000F5A41">
        <w:rPr>
          <w:color w:val="000000"/>
          <w:sz w:val="24"/>
          <w:szCs w:val="24"/>
          <w:vertAlign w:val="superscript"/>
        </w:rPr>
        <w:t>[3]</w:t>
      </w:r>
      <w:r>
        <w:rPr>
          <w:color w:val="000000"/>
          <w:sz w:val="24"/>
          <w:szCs w:val="24"/>
        </w:rPr>
        <w:t xml:space="preserve"> 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Л. Андреева, полагая, что в законодательстве не решен вопрос и о квалификации договора между абонентом и субабонентом, предлагает следующую структуру построения договорных связей. "Энергоснабжающая организация, абонент и субабонент заключают трехстороннее соглашение, в котором регламентируются взаимоотношения между данными субъектами по передаче энергии, в том числе и расчеты за использованную субабонентом энергию, которые целесообразно производить непосредственно с энергоснабжающей организацией. Таким образом, функции абонента будут сведены к предоставлению субабоненту права на использование его присоединенной к энергоснабжающей организации сети для поступления энергии абоненту. Подобное использование должно осуществляться на возмездной основе. При этом правоотношения между энергоснабжающей организацией и абонентом являются договором купли-продажи энергии, отношения же между абонентом и субабонентом опосредуются договором, конструируемым по модели договора аренды»</w:t>
      </w:r>
      <w:r w:rsidRPr="000F5A41">
        <w:rPr>
          <w:color w:val="000000"/>
          <w:sz w:val="24"/>
          <w:szCs w:val="24"/>
          <w:vertAlign w:val="superscript"/>
        </w:rPr>
        <w:t>[4]</w:t>
      </w:r>
      <w:r>
        <w:rPr>
          <w:color w:val="000000"/>
          <w:sz w:val="24"/>
          <w:szCs w:val="24"/>
        </w:rPr>
        <w:t xml:space="preserve">. 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высказанной позицией хотелось бы не согласиться. Несмотря на то, что вопрос о квалификации договорных отношений между абонентом и субабонентом в законодательстве действительно не решен, представляется, что субабонентский договор по своей юридической природе ничем не отличается от договора, заключаемого между энергоснабжающей организацией и абонентом. Единственное отличие в том, что для заключения субабонентского договора необходимо согласие энергоснабжающей организации. Следовательно, отношения абонент - субабонент сходны с отношениями энергоснабжающая организация - абонент и регулируются одними нормами ГК РФ об энергоснабжении. При этом, вне всяких сомнений, правило о распространении норм об энергоснабжении на субабонентские отношения необходимо закрепить в законе. </w:t>
      </w:r>
    </w:p>
    <w:p w:rsidR="00524081" w:rsidRDefault="0052408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F5A41">
        <w:rPr>
          <w:color w:val="000000"/>
          <w:sz w:val="24"/>
          <w:szCs w:val="24"/>
          <w:vertAlign w:val="superscript"/>
        </w:rPr>
        <w:t>[1]</w:t>
      </w:r>
      <w:r>
        <w:rPr>
          <w:color w:val="000000"/>
          <w:sz w:val="24"/>
          <w:szCs w:val="24"/>
        </w:rPr>
        <w:t xml:space="preserve"> См.: СЗ РФ. 1995 г. № 16. Ст. 1316.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F5A41">
        <w:rPr>
          <w:color w:val="000000"/>
          <w:sz w:val="24"/>
          <w:szCs w:val="24"/>
          <w:vertAlign w:val="superscript"/>
        </w:rPr>
        <w:t>[2]</w:t>
      </w:r>
      <w:r>
        <w:rPr>
          <w:color w:val="000000"/>
          <w:sz w:val="24"/>
          <w:szCs w:val="24"/>
        </w:rPr>
        <w:t xml:space="preserve"> См.: Л. Андреева. Энергоснабжению - четкое правовое регулирование. // "Российская юстиция". 2001. N 8. С.37.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F5A41">
        <w:rPr>
          <w:color w:val="000000"/>
          <w:sz w:val="24"/>
          <w:szCs w:val="24"/>
          <w:vertAlign w:val="superscript"/>
        </w:rPr>
        <w:t>[3]</w:t>
      </w:r>
      <w:r>
        <w:rPr>
          <w:color w:val="000000"/>
          <w:sz w:val="24"/>
          <w:szCs w:val="24"/>
        </w:rPr>
        <w:t xml:space="preserve"> Там же. С..37.</w:t>
      </w:r>
    </w:p>
    <w:p w:rsidR="00524081" w:rsidRDefault="005240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F5A41">
        <w:rPr>
          <w:color w:val="000000"/>
          <w:sz w:val="24"/>
          <w:szCs w:val="24"/>
          <w:vertAlign w:val="superscript"/>
        </w:rPr>
        <w:t>[4]</w:t>
      </w:r>
      <w:r>
        <w:rPr>
          <w:color w:val="000000"/>
          <w:sz w:val="24"/>
          <w:szCs w:val="24"/>
        </w:rPr>
        <w:t xml:space="preserve"> Там же. С.37. </w:t>
      </w:r>
      <w:bookmarkStart w:id="0" w:name="_GoBack"/>
      <w:bookmarkEnd w:id="0"/>
    </w:p>
    <w:sectPr w:rsidR="0052408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4442"/>
    <w:multiLevelType w:val="hybridMultilevel"/>
    <w:tmpl w:val="AF062D8A"/>
    <w:lvl w:ilvl="0" w:tplc="7242C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AC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06BF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EC4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83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403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83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AC4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164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47CBD"/>
    <w:multiLevelType w:val="hybridMultilevel"/>
    <w:tmpl w:val="77267E98"/>
    <w:lvl w:ilvl="0" w:tplc="1CFC6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F08AB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75A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3B2EF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0F8C0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9C8F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BA0C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A4A1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DC01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6A32FE"/>
    <w:multiLevelType w:val="hybridMultilevel"/>
    <w:tmpl w:val="0032D224"/>
    <w:lvl w:ilvl="0" w:tplc="5B7AB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0C9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A842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C89B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4047F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0A0F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C469B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DB262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C9C4A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ACC40A0"/>
    <w:multiLevelType w:val="hybridMultilevel"/>
    <w:tmpl w:val="E2F2E962"/>
    <w:lvl w:ilvl="0" w:tplc="DDBCF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BC8C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6F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DC09D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73A07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7C80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6763E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CE04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8329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B5A7828"/>
    <w:multiLevelType w:val="hybridMultilevel"/>
    <w:tmpl w:val="B484B06C"/>
    <w:lvl w:ilvl="0" w:tplc="D6B0D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9E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3A2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2A890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D34B0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C8CD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4078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31C60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F3C5A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5DF091F"/>
    <w:multiLevelType w:val="hybridMultilevel"/>
    <w:tmpl w:val="1FF09EDA"/>
    <w:lvl w:ilvl="0" w:tplc="B4A0C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F929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B7641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F4DB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BE60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458B3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3300B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4B0F4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5847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C5B5A20"/>
    <w:multiLevelType w:val="hybridMultilevel"/>
    <w:tmpl w:val="9BD02A48"/>
    <w:lvl w:ilvl="0" w:tplc="67C2D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CC80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73092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9CE4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B969D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3CAA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8685B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8A462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08674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5780530"/>
    <w:multiLevelType w:val="hybridMultilevel"/>
    <w:tmpl w:val="7E1EE268"/>
    <w:lvl w:ilvl="0" w:tplc="727EA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358C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1BA1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5A451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1187E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E9E1A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65017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F443B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C5E2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9663A58"/>
    <w:multiLevelType w:val="hybridMultilevel"/>
    <w:tmpl w:val="04D26A3A"/>
    <w:lvl w:ilvl="0" w:tplc="ADCE2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F0292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47C58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3846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2C06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538FD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15CBC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AFC31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B4EF2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AD82451"/>
    <w:multiLevelType w:val="hybridMultilevel"/>
    <w:tmpl w:val="FA50911E"/>
    <w:lvl w:ilvl="0" w:tplc="91280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8363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841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A745D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0B273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1D2D3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8E80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58C2D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E07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0A67129"/>
    <w:multiLevelType w:val="hybridMultilevel"/>
    <w:tmpl w:val="E2BE2836"/>
    <w:lvl w:ilvl="0" w:tplc="14741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5388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F8231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36FC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8C0B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3A57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3E57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F850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CDCC5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A1A1525"/>
    <w:multiLevelType w:val="hybridMultilevel"/>
    <w:tmpl w:val="E32EE550"/>
    <w:lvl w:ilvl="0" w:tplc="D2161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20A54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42C8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9441B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854E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EDA5F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40AE1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60017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4FA77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8087F30"/>
    <w:multiLevelType w:val="hybridMultilevel"/>
    <w:tmpl w:val="563EDB32"/>
    <w:lvl w:ilvl="0" w:tplc="BA42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06A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B628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6B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C0F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F07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E87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21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A639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234937"/>
    <w:multiLevelType w:val="hybridMultilevel"/>
    <w:tmpl w:val="2D70659A"/>
    <w:lvl w:ilvl="0" w:tplc="4A4CB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687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B2DE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C8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6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8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0E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699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239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68E"/>
    <w:multiLevelType w:val="hybridMultilevel"/>
    <w:tmpl w:val="D2FCCA38"/>
    <w:lvl w:ilvl="0" w:tplc="3FE49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09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68A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EF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A2C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61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CCF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385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69E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B053A5"/>
    <w:multiLevelType w:val="hybridMultilevel"/>
    <w:tmpl w:val="34FAD0BA"/>
    <w:lvl w:ilvl="0" w:tplc="1F0A2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B24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03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43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80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61B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26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C6D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49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65626A"/>
    <w:multiLevelType w:val="hybridMultilevel"/>
    <w:tmpl w:val="7BB2D310"/>
    <w:lvl w:ilvl="0" w:tplc="9E084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D1A8B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568BA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EDEC1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5AA7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8480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84C0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DEE02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C47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"/>
  </w:num>
  <w:num w:numId="5">
    <w:abstractNumId w:val="15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A41"/>
    <w:rsid w:val="000F5A41"/>
    <w:rsid w:val="001C1DAB"/>
    <w:rsid w:val="00316143"/>
    <w:rsid w:val="0052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9C7FC6-CFFA-4242-B29B-8D02D47E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3773</Words>
  <Characters>2152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вопросу о субъектном составе договора энергоснабжения</vt:lpstr>
    </vt:vector>
  </TitlesOfParts>
  <Company>PERSONAL COMPUTERS</Company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о субъектном составе договора энергоснабжения</dc:title>
  <dc:subject/>
  <dc:creator>USER</dc:creator>
  <cp:keywords/>
  <dc:description/>
  <cp:lastModifiedBy>admin</cp:lastModifiedBy>
  <cp:revision>2</cp:revision>
  <dcterms:created xsi:type="dcterms:W3CDTF">2014-01-26T13:06:00Z</dcterms:created>
  <dcterms:modified xsi:type="dcterms:W3CDTF">2014-01-26T13:06:00Z</dcterms:modified>
</cp:coreProperties>
</file>