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DC2" w:rsidRPr="002B0E69" w:rsidRDefault="0069489D" w:rsidP="002B0E69">
      <w:pPr>
        <w:spacing w:line="360" w:lineRule="auto"/>
        <w:ind w:firstLine="709"/>
        <w:jc w:val="center"/>
        <w:rPr>
          <w:sz w:val="28"/>
          <w:szCs w:val="28"/>
        </w:rPr>
      </w:pPr>
      <w:r w:rsidRPr="002B0E69">
        <w:rPr>
          <w:sz w:val="28"/>
          <w:szCs w:val="28"/>
        </w:rPr>
        <w:t>Институт Управления, Бизнеса и Права</w:t>
      </w:r>
    </w:p>
    <w:p w:rsidR="00405DC2" w:rsidRPr="002B0E69" w:rsidRDefault="0069489D" w:rsidP="002B0E69">
      <w:pPr>
        <w:spacing w:line="360" w:lineRule="auto"/>
        <w:ind w:firstLine="709"/>
        <w:jc w:val="center"/>
        <w:rPr>
          <w:sz w:val="28"/>
          <w:szCs w:val="28"/>
        </w:rPr>
      </w:pPr>
      <w:r w:rsidRPr="002B0E69">
        <w:rPr>
          <w:sz w:val="28"/>
          <w:szCs w:val="28"/>
        </w:rPr>
        <w:t>Кафедра «Финансы и кредит»</w:t>
      </w:r>
    </w:p>
    <w:p w:rsidR="00333F34" w:rsidRPr="002B0E69" w:rsidRDefault="00333F34" w:rsidP="002B0E69">
      <w:pPr>
        <w:spacing w:line="360" w:lineRule="auto"/>
        <w:ind w:firstLine="709"/>
        <w:jc w:val="center"/>
        <w:rPr>
          <w:sz w:val="28"/>
          <w:szCs w:val="28"/>
        </w:rPr>
      </w:pPr>
      <w:r w:rsidRPr="002B0E69">
        <w:rPr>
          <w:sz w:val="28"/>
          <w:szCs w:val="28"/>
        </w:rPr>
        <w:t>Дисциплина «</w:t>
      </w:r>
      <w:r w:rsidR="00DA13A9" w:rsidRPr="002B0E69">
        <w:rPr>
          <w:sz w:val="28"/>
          <w:szCs w:val="28"/>
        </w:rPr>
        <w:t>Бюджетная система РФ</w:t>
      </w:r>
      <w:r w:rsidRPr="002B0E69">
        <w:rPr>
          <w:sz w:val="28"/>
          <w:szCs w:val="28"/>
        </w:rPr>
        <w:t>»</w:t>
      </w:r>
    </w:p>
    <w:p w:rsidR="00333F34" w:rsidRPr="002B0E69" w:rsidRDefault="00333F34" w:rsidP="002B0E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B94EE8" w:rsidRPr="002B0E69" w:rsidRDefault="00DA13A9" w:rsidP="002B0E6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B0E69">
        <w:rPr>
          <w:b/>
          <w:sz w:val="28"/>
          <w:szCs w:val="28"/>
        </w:rPr>
        <w:t>Лабораторная работа №1</w:t>
      </w:r>
    </w:p>
    <w:p w:rsidR="00405DC2" w:rsidRPr="002B0E69" w:rsidRDefault="00DA13A9" w:rsidP="002B0E69">
      <w:pPr>
        <w:spacing w:line="360" w:lineRule="auto"/>
        <w:ind w:firstLine="709"/>
        <w:jc w:val="center"/>
        <w:rPr>
          <w:sz w:val="28"/>
          <w:szCs w:val="28"/>
        </w:rPr>
      </w:pPr>
      <w:r w:rsidRPr="002B0E69">
        <w:rPr>
          <w:sz w:val="28"/>
          <w:szCs w:val="28"/>
        </w:rPr>
        <w:t>Анализ состава и структуры доходов и расходов федерального бюджета Российской Федерации</w:t>
      </w:r>
    </w:p>
    <w:p w:rsidR="00DA13A9" w:rsidRPr="002B0E69" w:rsidRDefault="00DA13A9" w:rsidP="002B0E69">
      <w:pPr>
        <w:spacing w:line="360" w:lineRule="auto"/>
        <w:ind w:firstLine="709"/>
        <w:jc w:val="center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405DC2" w:rsidRPr="002B0E69" w:rsidRDefault="00405DC2" w:rsidP="002B0E69">
      <w:pPr>
        <w:spacing w:line="360" w:lineRule="auto"/>
        <w:ind w:firstLine="709"/>
        <w:rPr>
          <w:sz w:val="28"/>
          <w:szCs w:val="28"/>
        </w:rPr>
      </w:pPr>
    </w:p>
    <w:p w:rsidR="0069489D" w:rsidRPr="002B0E69" w:rsidRDefault="0069489D" w:rsidP="002B0E69">
      <w:pPr>
        <w:spacing w:line="360" w:lineRule="auto"/>
        <w:ind w:firstLine="709"/>
        <w:rPr>
          <w:sz w:val="28"/>
          <w:szCs w:val="28"/>
        </w:rPr>
      </w:pPr>
      <w:r w:rsidRPr="002B0E69">
        <w:rPr>
          <w:sz w:val="28"/>
          <w:szCs w:val="28"/>
        </w:rPr>
        <w:t>Выполнила:</w:t>
      </w:r>
    </w:p>
    <w:p w:rsidR="0069489D" w:rsidRPr="002B0E69" w:rsidRDefault="0069489D" w:rsidP="002B0E69">
      <w:pPr>
        <w:spacing w:line="360" w:lineRule="auto"/>
        <w:ind w:firstLine="709"/>
        <w:rPr>
          <w:sz w:val="28"/>
          <w:szCs w:val="28"/>
        </w:rPr>
      </w:pPr>
      <w:r w:rsidRPr="002B0E69">
        <w:rPr>
          <w:sz w:val="28"/>
          <w:szCs w:val="28"/>
        </w:rPr>
        <w:t xml:space="preserve">студентка </w:t>
      </w:r>
      <w:r w:rsidR="0073427D" w:rsidRPr="002B0E69">
        <w:rPr>
          <w:sz w:val="28"/>
          <w:szCs w:val="28"/>
        </w:rPr>
        <w:t>4</w:t>
      </w:r>
      <w:r w:rsidRPr="002B0E69">
        <w:rPr>
          <w:sz w:val="28"/>
          <w:szCs w:val="28"/>
        </w:rPr>
        <w:t xml:space="preserve"> курса,</w:t>
      </w:r>
    </w:p>
    <w:p w:rsidR="0069489D" w:rsidRPr="002B0E69" w:rsidRDefault="0069489D" w:rsidP="002B0E69">
      <w:pPr>
        <w:spacing w:line="360" w:lineRule="auto"/>
        <w:ind w:firstLine="709"/>
        <w:rPr>
          <w:sz w:val="28"/>
          <w:szCs w:val="28"/>
        </w:rPr>
      </w:pPr>
      <w:r w:rsidRPr="002B0E69">
        <w:rPr>
          <w:sz w:val="28"/>
          <w:szCs w:val="28"/>
        </w:rPr>
        <w:t>группа Ф</w:t>
      </w:r>
      <w:r w:rsidR="00424785" w:rsidRPr="002B0E69">
        <w:rPr>
          <w:sz w:val="28"/>
          <w:szCs w:val="28"/>
        </w:rPr>
        <w:t>Д</w:t>
      </w:r>
      <w:r w:rsidRPr="002B0E69">
        <w:rPr>
          <w:sz w:val="28"/>
          <w:szCs w:val="28"/>
        </w:rPr>
        <w:t>-</w:t>
      </w:r>
      <w:r w:rsidR="0073427D" w:rsidRPr="002B0E69">
        <w:rPr>
          <w:sz w:val="28"/>
          <w:szCs w:val="28"/>
        </w:rPr>
        <w:t>402</w:t>
      </w:r>
    </w:p>
    <w:p w:rsidR="00405DC2" w:rsidRPr="002B0E69" w:rsidRDefault="00333F34" w:rsidP="002B0E69">
      <w:pPr>
        <w:spacing w:line="360" w:lineRule="auto"/>
        <w:ind w:firstLine="709"/>
        <w:rPr>
          <w:sz w:val="28"/>
          <w:szCs w:val="28"/>
        </w:rPr>
      </w:pPr>
      <w:r w:rsidRPr="002B0E69">
        <w:rPr>
          <w:sz w:val="28"/>
          <w:szCs w:val="28"/>
        </w:rPr>
        <w:t>Моргун И.Н.</w:t>
      </w:r>
    </w:p>
    <w:p w:rsidR="0069489D" w:rsidRPr="002B0E69" w:rsidRDefault="0069489D" w:rsidP="002B0E69">
      <w:pPr>
        <w:spacing w:line="360" w:lineRule="auto"/>
        <w:ind w:firstLine="709"/>
        <w:rPr>
          <w:sz w:val="28"/>
          <w:szCs w:val="28"/>
        </w:rPr>
      </w:pPr>
    </w:p>
    <w:p w:rsidR="0069489D" w:rsidRPr="002B0E69" w:rsidRDefault="0069489D" w:rsidP="002B0E69">
      <w:pPr>
        <w:spacing w:line="360" w:lineRule="auto"/>
        <w:ind w:firstLine="709"/>
        <w:rPr>
          <w:sz w:val="28"/>
          <w:szCs w:val="28"/>
        </w:rPr>
      </w:pPr>
      <w:r w:rsidRPr="002B0E69">
        <w:rPr>
          <w:sz w:val="28"/>
          <w:szCs w:val="28"/>
        </w:rPr>
        <w:t>Проверил</w:t>
      </w:r>
      <w:r w:rsidR="00DA13A9" w:rsidRPr="002B0E69">
        <w:rPr>
          <w:sz w:val="28"/>
          <w:szCs w:val="28"/>
        </w:rPr>
        <w:t>а</w:t>
      </w:r>
      <w:r w:rsidRPr="002B0E69">
        <w:rPr>
          <w:sz w:val="28"/>
          <w:szCs w:val="28"/>
        </w:rPr>
        <w:t>:</w:t>
      </w:r>
    </w:p>
    <w:p w:rsidR="00333F34" w:rsidRPr="002B0E69" w:rsidRDefault="0073427D" w:rsidP="002B0E69">
      <w:pPr>
        <w:spacing w:line="360" w:lineRule="auto"/>
        <w:ind w:firstLine="709"/>
        <w:rPr>
          <w:color w:val="000000"/>
          <w:sz w:val="28"/>
          <w:szCs w:val="28"/>
        </w:rPr>
      </w:pPr>
      <w:r w:rsidRPr="002B0E69">
        <w:rPr>
          <w:color w:val="000000"/>
          <w:sz w:val="28"/>
          <w:szCs w:val="28"/>
        </w:rPr>
        <w:t>к.</w:t>
      </w:r>
      <w:r w:rsidR="00DA13A9" w:rsidRPr="002B0E69">
        <w:rPr>
          <w:color w:val="000000"/>
          <w:sz w:val="28"/>
          <w:szCs w:val="28"/>
        </w:rPr>
        <w:t>э</w:t>
      </w:r>
      <w:r w:rsidR="00333F34" w:rsidRPr="002B0E69">
        <w:rPr>
          <w:color w:val="000000"/>
          <w:sz w:val="28"/>
          <w:szCs w:val="28"/>
        </w:rPr>
        <w:t>.н.</w:t>
      </w:r>
      <w:r w:rsidRPr="002B0E69">
        <w:rPr>
          <w:color w:val="000000"/>
          <w:sz w:val="28"/>
          <w:szCs w:val="28"/>
        </w:rPr>
        <w:t xml:space="preserve">, </w:t>
      </w:r>
    </w:p>
    <w:p w:rsidR="00333F34" w:rsidRPr="002B0E69" w:rsidRDefault="00DA13A9" w:rsidP="002B0E69">
      <w:pPr>
        <w:spacing w:line="360" w:lineRule="auto"/>
        <w:ind w:firstLine="709"/>
        <w:rPr>
          <w:color w:val="000000"/>
          <w:sz w:val="28"/>
          <w:szCs w:val="28"/>
        </w:rPr>
      </w:pPr>
      <w:r w:rsidRPr="002B0E69">
        <w:rPr>
          <w:color w:val="000000"/>
          <w:sz w:val="28"/>
          <w:szCs w:val="28"/>
        </w:rPr>
        <w:t>Чмут Г.А.</w:t>
      </w:r>
    </w:p>
    <w:p w:rsidR="0069489D" w:rsidRPr="002B0E69" w:rsidRDefault="0069489D" w:rsidP="002B0E69">
      <w:pPr>
        <w:spacing w:line="360" w:lineRule="auto"/>
        <w:ind w:firstLine="709"/>
        <w:rPr>
          <w:sz w:val="28"/>
          <w:szCs w:val="28"/>
        </w:rPr>
      </w:pPr>
    </w:p>
    <w:p w:rsidR="0069489D" w:rsidRPr="002B0E69" w:rsidRDefault="0069489D" w:rsidP="002B0E69">
      <w:pPr>
        <w:spacing w:line="360" w:lineRule="auto"/>
        <w:ind w:firstLine="709"/>
        <w:jc w:val="center"/>
        <w:rPr>
          <w:sz w:val="28"/>
          <w:szCs w:val="28"/>
        </w:rPr>
      </w:pPr>
      <w:r w:rsidRPr="002B0E69">
        <w:rPr>
          <w:sz w:val="28"/>
          <w:szCs w:val="28"/>
        </w:rPr>
        <w:t>г. Ростов-на-Дону</w:t>
      </w:r>
    </w:p>
    <w:p w:rsidR="0069489D" w:rsidRPr="002B0E69" w:rsidRDefault="0069489D" w:rsidP="002B0E69">
      <w:pPr>
        <w:spacing w:line="360" w:lineRule="auto"/>
        <w:ind w:firstLine="709"/>
        <w:jc w:val="center"/>
        <w:rPr>
          <w:sz w:val="28"/>
          <w:szCs w:val="28"/>
        </w:rPr>
      </w:pPr>
      <w:r w:rsidRPr="002B0E69">
        <w:rPr>
          <w:sz w:val="28"/>
          <w:szCs w:val="28"/>
        </w:rPr>
        <w:t>200</w:t>
      </w:r>
      <w:r w:rsidR="008124FB" w:rsidRPr="002B0E69">
        <w:rPr>
          <w:sz w:val="28"/>
          <w:szCs w:val="28"/>
        </w:rPr>
        <w:t>8</w:t>
      </w:r>
    </w:p>
    <w:p w:rsidR="00D528E4" w:rsidRPr="002B0E69" w:rsidRDefault="001366D0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Центральное место в системе государственных финансов занимает государственный бюджет</w:t>
      </w:r>
      <w:r w:rsidR="00EA0B0D" w:rsidRPr="002B0E69">
        <w:rPr>
          <w:sz w:val="28"/>
          <w:szCs w:val="28"/>
        </w:rPr>
        <w:t xml:space="preserve"> или ещё </w:t>
      </w:r>
      <w:r w:rsidR="006A0D1F" w:rsidRPr="002B0E69">
        <w:rPr>
          <w:sz w:val="28"/>
          <w:szCs w:val="28"/>
        </w:rPr>
        <w:t xml:space="preserve">его </w:t>
      </w:r>
      <w:r w:rsidR="00EA0B0D" w:rsidRPr="002B0E69">
        <w:rPr>
          <w:sz w:val="28"/>
          <w:szCs w:val="28"/>
        </w:rPr>
        <w:t>называют федеральный бюджет</w:t>
      </w:r>
      <w:r w:rsidRPr="002B0E69">
        <w:rPr>
          <w:sz w:val="28"/>
          <w:szCs w:val="28"/>
        </w:rPr>
        <w:t xml:space="preserve"> – </w:t>
      </w:r>
      <w:r w:rsidR="00256BE7" w:rsidRPr="002B0E69">
        <w:rPr>
          <w:sz w:val="28"/>
          <w:szCs w:val="28"/>
        </w:rPr>
        <w:t xml:space="preserve"> это </w:t>
      </w:r>
      <w:r w:rsidRPr="002B0E69">
        <w:rPr>
          <w:sz w:val="28"/>
          <w:szCs w:val="28"/>
        </w:rPr>
        <w:t>имеющий силу закона финансовый план государства на текущий финансовый год. В соответствии со статьёй 6 БК РФ «Бюджет –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самоуправления».</w:t>
      </w:r>
    </w:p>
    <w:p w:rsidR="001366D0" w:rsidRPr="002B0E69" w:rsidRDefault="001366D0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Аккумулируя с помощью государственного бюджета денежные средства, государство через финансовые механизмы осуществляет выполнение </w:t>
      </w:r>
      <w:r w:rsidR="00A579E5" w:rsidRPr="002B0E69">
        <w:rPr>
          <w:sz w:val="28"/>
          <w:szCs w:val="28"/>
        </w:rPr>
        <w:t xml:space="preserve"> </w:t>
      </w:r>
      <w:r w:rsidRPr="002B0E69">
        <w:rPr>
          <w:sz w:val="28"/>
          <w:szCs w:val="28"/>
        </w:rPr>
        <w:t xml:space="preserve">возложенных на него обществом политических, экономических и социальных функций, а именно содержание государственного аппарата, армии, правоохранительных органов, выполнение социальных программ, реализация приоритетных экономических задач и т.д. </w:t>
      </w:r>
    </w:p>
    <w:p w:rsidR="001366D0" w:rsidRPr="002B0E69" w:rsidRDefault="001366D0" w:rsidP="002B0E69">
      <w:pPr>
        <w:pStyle w:val="a3"/>
        <w:ind w:firstLine="709"/>
      </w:pPr>
      <w:r w:rsidRPr="002B0E69">
        <w:t>Государственный бюджет состоит из 2-х дополняющих друг друга взаимосвязанных частей: доходной и расходной. Доходная часть показывает, откуда поступают средства на финансирование деятельности государства, какие слои общества отчисляют больше из своих доходов. Структура доходов непостоянна и зависит от конкретных экономических условий развития страны,  рыночной конъюнктуры и осуществляемой экономической политикой. Любое изменение структуры бюджетных доходов отражает изменения в экономических процессах. Расходная часть показывает, на какие цели направляются аккумулированные государством средства.</w:t>
      </w:r>
    </w:p>
    <w:p w:rsidR="00A579E5" w:rsidRPr="002B0E69" w:rsidRDefault="001366D0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Необходимо отметить, что бюджет, как фонд денежных средств, в цельном виде никогда не существует, т.к. по мере поступления доходов они обращаются на покрытие расходов. Он является лишь планом образования и использования общегосударственного фонда денежных средств, то есть росписью доходов и расходов государства, согласованных друг с другом, как по объему, так и по срокам поступления и использования</w:t>
      </w:r>
      <w:r w:rsidR="00A579E5" w:rsidRPr="002B0E69">
        <w:rPr>
          <w:sz w:val="28"/>
          <w:szCs w:val="28"/>
        </w:rPr>
        <w:t xml:space="preserve">. </w:t>
      </w:r>
    </w:p>
    <w:p w:rsidR="00A579E5" w:rsidRPr="002B0E69" w:rsidRDefault="00FC3F53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В связи с изменениями в бюджетном законодательстве в</w:t>
      </w:r>
      <w:r w:rsidR="00A579E5" w:rsidRPr="002B0E69">
        <w:rPr>
          <w:sz w:val="28"/>
          <w:szCs w:val="28"/>
        </w:rPr>
        <w:t xml:space="preserve"> основу бюджетного планирования положен метод "скользящей трехлетки", при котором ранее утвержденные проектировки второго и третьего года трехлетнего периода становятся основной следующего бюджета с ежегодным добавлением к ним проектировок нового третьего года.</w:t>
      </w:r>
    </w:p>
    <w:p w:rsidR="00256BE7" w:rsidRPr="002B0E69" w:rsidRDefault="00256BE7" w:rsidP="002B0E69">
      <w:pPr>
        <w:spacing w:line="360" w:lineRule="auto"/>
        <w:ind w:firstLine="709"/>
        <w:rPr>
          <w:b/>
          <w:sz w:val="28"/>
          <w:szCs w:val="28"/>
        </w:rPr>
      </w:pPr>
      <w:r w:rsidRPr="00E44248">
        <w:rPr>
          <w:b/>
          <w:sz w:val="28"/>
          <w:szCs w:val="28"/>
        </w:rPr>
        <w:t>"Российская Бизнес-газета" №640 от 12 февраля 2008 г.</w:t>
      </w:r>
      <w:r w:rsidRPr="002B0E69">
        <w:rPr>
          <w:b/>
          <w:sz w:val="28"/>
          <w:szCs w:val="28"/>
        </w:rPr>
        <w:t xml:space="preserve"> </w:t>
      </w:r>
    </w:p>
    <w:p w:rsidR="00256BE7" w:rsidRPr="002B0E69" w:rsidRDefault="00256BE7" w:rsidP="002B0E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0E69">
        <w:rPr>
          <w:b/>
          <w:bCs/>
          <w:color w:val="000000"/>
          <w:sz w:val="28"/>
          <w:szCs w:val="28"/>
        </w:rPr>
        <w:t>Татьяна Геннадьевна</w:t>
      </w:r>
      <w:r w:rsidR="006A0D1F" w:rsidRPr="002B0E69">
        <w:rPr>
          <w:b/>
          <w:bCs/>
          <w:color w:val="000000"/>
          <w:sz w:val="28"/>
          <w:szCs w:val="28"/>
        </w:rPr>
        <w:t xml:space="preserve"> </w:t>
      </w:r>
      <w:r w:rsidR="006A0D1F" w:rsidRPr="002B0E69">
        <w:rPr>
          <w:rStyle w:val="a6"/>
          <w:sz w:val="28"/>
          <w:szCs w:val="28"/>
        </w:rPr>
        <w:t>Нестеренко - заместитель министра финансов Российской Федерации</w:t>
      </w:r>
      <w:r w:rsidRPr="002B0E69">
        <w:rPr>
          <w:b/>
          <w:bCs/>
          <w:color w:val="000000"/>
          <w:sz w:val="28"/>
          <w:szCs w:val="28"/>
        </w:rPr>
        <w:t xml:space="preserve">, </w:t>
      </w:r>
      <w:r w:rsidR="00F25BC6" w:rsidRPr="002B0E69">
        <w:rPr>
          <w:b/>
          <w:bCs/>
          <w:color w:val="000000"/>
          <w:sz w:val="28"/>
          <w:szCs w:val="28"/>
        </w:rPr>
        <w:t>прокомментировала изменения в федеральном</w:t>
      </w:r>
      <w:r w:rsidRPr="002B0E69">
        <w:rPr>
          <w:b/>
          <w:bCs/>
          <w:color w:val="000000"/>
          <w:sz w:val="28"/>
          <w:szCs w:val="28"/>
        </w:rPr>
        <w:t xml:space="preserve"> бюджет</w:t>
      </w:r>
      <w:r w:rsidR="00F25BC6" w:rsidRPr="002B0E69">
        <w:rPr>
          <w:b/>
          <w:bCs/>
          <w:color w:val="000000"/>
          <w:sz w:val="28"/>
          <w:szCs w:val="28"/>
        </w:rPr>
        <w:t>е.</w:t>
      </w:r>
    </w:p>
    <w:p w:rsidR="00256BE7" w:rsidRPr="002B0E69" w:rsidRDefault="006A0D1F" w:rsidP="002B0E6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B0E69">
        <w:rPr>
          <w:i/>
          <w:color w:val="000000"/>
          <w:sz w:val="28"/>
          <w:szCs w:val="28"/>
        </w:rPr>
        <w:t>«…</w:t>
      </w:r>
      <w:r w:rsidR="00256BE7" w:rsidRPr="002B0E69">
        <w:rPr>
          <w:i/>
          <w:color w:val="000000"/>
          <w:sz w:val="28"/>
          <w:szCs w:val="28"/>
        </w:rPr>
        <w:t>впервые закон о бюджете принят с горизонтом три года.</w:t>
      </w:r>
    </w:p>
    <w:p w:rsidR="00256BE7" w:rsidRPr="002B0E69" w:rsidRDefault="00256BE7" w:rsidP="002B0E6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B0E69">
        <w:rPr>
          <w:i/>
          <w:color w:val="000000"/>
          <w:sz w:val="28"/>
          <w:szCs w:val="28"/>
        </w:rPr>
        <w:t xml:space="preserve">Такое изменение в бюджетном процессе </w:t>
      </w:r>
      <w:r w:rsidR="00B63DCB" w:rsidRPr="002B0E69">
        <w:rPr>
          <w:i/>
          <w:color w:val="000000"/>
          <w:sz w:val="28"/>
          <w:szCs w:val="28"/>
        </w:rPr>
        <w:t>направлено,</w:t>
      </w:r>
      <w:r w:rsidRPr="002B0E69">
        <w:rPr>
          <w:i/>
          <w:color w:val="000000"/>
          <w:sz w:val="28"/>
          <w:szCs w:val="28"/>
        </w:rPr>
        <w:t xml:space="preserve"> прежде </w:t>
      </w:r>
      <w:r w:rsidR="00B63DCB" w:rsidRPr="002B0E69">
        <w:rPr>
          <w:i/>
          <w:color w:val="000000"/>
          <w:sz w:val="28"/>
          <w:szCs w:val="28"/>
        </w:rPr>
        <w:t>всего,</w:t>
      </w:r>
      <w:r w:rsidRPr="002B0E69">
        <w:rPr>
          <w:i/>
          <w:color w:val="000000"/>
          <w:sz w:val="28"/>
          <w:szCs w:val="28"/>
        </w:rPr>
        <w:t xml:space="preserve"> на создание и поддержание социальной, политической и экономической стабильности. Если в главном финансовом документе страны зафиксированы сразу на три года ассигнования в различные сферы и отрасли экономики, то это, конечно, придает больше понимания и уверенности российским предприятиям и организациям, чья деятельность прямо или косвенно связана с производством товаров или услуг для государственных нужд.</w:t>
      </w:r>
    </w:p>
    <w:p w:rsidR="00256BE7" w:rsidRPr="002B0E69" w:rsidRDefault="00B63DCB" w:rsidP="002B0E69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2B0E69">
        <w:rPr>
          <w:i/>
          <w:color w:val="000000"/>
          <w:sz w:val="28"/>
          <w:szCs w:val="28"/>
        </w:rPr>
        <w:t xml:space="preserve"> Ч</w:t>
      </w:r>
      <w:r w:rsidR="00256BE7" w:rsidRPr="002B0E69">
        <w:rPr>
          <w:i/>
          <w:color w:val="000000"/>
          <w:sz w:val="28"/>
          <w:szCs w:val="28"/>
        </w:rPr>
        <w:t>ерез такой инструмент, как трехлетний бюджет, осуществляется проверка правительственных и законодательных решений на предмет их соответствия среднесрочной и долгосрочной стратегии государства.</w:t>
      </w:r>
    </w:p>
    <w:p w:rsidR="00FC3F53" w:rsidRPr="002B0E69" w:rsidRDefault="00BF4690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Целью данно</w:t>
      </w:r>
      <w:r w:rsidR="008D7202" w:rsidRPr="002B0E69">
        <w:rPr>
          <w:sz w:val="28"/>
          <w:szCs w:val="28"/>
        </w:rPr>
        <w:t xml:space="preserve">й работы является </w:t>
      </w:r>
      <w:r w:rsidR="00FC3F53" w:rsidRPr="002B0E69">
        <w:rPr>
          <w:sz w:val="28"/>
          <w:szCs w:val="28"/>
        </w:rPr>
        <w:t>анализ состояния бюджета на трёхлетний период.</w:t>
      </w:r>
      <w:r w:rsidR="008D7202" w:rsidRPr="002B0E69">
        <w:rPr>
          <w:sz w:val="28"/>
          <w:szCs w:val="28"/>
        </w:rPr>
        <w:t xml:space="preserve"> </w:t>
      </w:r>
    </w:p>
    <w:p w:rsidR="009919E8" w:rsidRPr="002B0E69" w:rsidRDefault="006756A7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Федеральный бюджет на 2008-2010 год направлен на повышение уровня жизни населения и повышения всех обязательств перед гражданами в поддержку стратегических и инновационных отраслей, обеспечение безопасности и создание потенциала для устойчивого развития страны.</w:t>
      </w:r>
      <w:r w:rsidR="00EA0B0D" w:rsidRPr="002B0E69">
        <w:rPr>
          <w:sz w:val="28"/>
          <w:szCs w:val="28"/>
        </w:rPr>
        <w:t xml:space="preserve"> </w:t>
      </w:r>
      <w:r w:rsidR="00BF4690" w:rsidRPr="002B0E69">
        <w:rPr>
          <w:sz w:val="28"/>
          <w:szCs w:val="28"/>
        </w:rPr>
        <w:t>Согласно федеральному закону «О федеральном бюджете на 2008 год и плановый период 2009 и 2010 годов»</w:t>
      </w:r>
      <w:r w:rsidR="0035768E" w:rsidRPr="002B0E69">
        <w:rPr>
          <w:sz w:val="28"/>
          <w:szCs w:val="28"/>
        </w:rPr>
        <w:t xml:space="preserve"> прогнозируемый общий объем доходов федерального бюджета</w:t>
      </w:r>
      <w:r w:rsidR="008A3545" w:rsidRPr="002B0E69">
        <w:rPr>
          <w:sz w:val="28"/>
          <w:szCs w:val="28"/>
        </w:rPr>
        <w:t xml:space="preserve"> на 2008 год</w:t>
      </w:r>
      <w:r w:rsidR="0035768E" w:rsidRPr="002B0E69">
        <w:rPr>
          <w:sz w:val="28"/>
          <w:szCs w:val="28"/>
        </w:rPr>
        <w:t xml:space="preserve"> </w:t>
      </w:r>
      <w:r w:rsidR="00B63DCB" w:rsidRPr="002B0E69">
        <w:rPr>
          <w:sz w:val="28"/>
          <w:szCs w:val="28"/>
        </w:rPr>
        <w:t xml:space="preserve"> составил </w:t>
      </w:r>
      <w:r w:rsidR="0035768E" w:rsidRPr="002B0E69">
        <w:rPr>
          <w:sz w:val="28"/>
          <w:szCs w:val="28"/>
        </w:rPr>
        <w:t>6</w:t>
      </w:r>
      <w:r w:rsidR="008A3545" w:rsidRPr="002B0E69">
        <w:rPr>
          <w:sz w:val="28"/>
          <w:szCs w:val="28"/>
        </w:rPr>
        <w:t> </w:t>
      </w:r>
      <w:r w:rsidR="0035768E" w:rsidRPr="002B0E69">
        <w:rPr>
          <w:sz w:val="28"/>
          <w:szCs w:val="28"/>
        </w:rPr>
        <w:t>644</w:t>
      </w:r>
      <w:r w:rsidR="008A3545" w:rsidRPr="002B0E69">
        <w:rPr>
          <w:sz w:val="28"/>
          <w:szCs w:val="28"/>
        </w:rPr>
        <w:t>,</w:t>
      </w:r>
      <w:r w:rsidR="004E5247" w:rsidRPr="002B0E69">
        <w:rPr>
          <w:sz w:val="28"/>
          <w:szCs w:val="28"/>
        </w:rPr>
        <w:t>4</w:t>
      </w:r>
      <w:r w:rsidR="008A3545" w:rsidRPr="002B0E69">
        <w:rPr>
          <w:sz w:val="28"/>
          <w:szCs w:val="28"/>
        </w:rPr>
        <w:t xml:space="preserve">5 млрд. </w:t>
      </w:r>
      <w:r w:rsidR="0035768E" w:rsidRPr="002B0E69">
        <w:rPr>
          <w:sz w:val="28"/>
          <w:szCs w:val="28"/>
        </w:rPr>
        <w:t>рублей</w:t>
      </w:r>
      <w:r w:rsidR="008A3545" w:rsidRPr="002B0E69">
        <w:rPr>
          <w:sz w:val="28"/>
          <w:szCs w:val="28"/>
        </w:rPr>
        <w:t xml:space="preserve">, </w:t>
      </w:r>
      <w:r w:rsidR="00427B9D" w:rsidRPr="002B0E69">
        <w:rPr>
          <w:sz w:val="28"/>
          <w:szCs w:val="28"/>
        </w:rPr>
        <w:t xml:space="preserve">на </w:t>
      </w:r>
      <w:r w:rsidR="008A3545" w:rsidRPr="002B0E69">
        <w:rPr>
          <w:sz w:val="28"/>
          <w:szCs w:val="28"/>
        </w:rPr>
        <w:t>2009 и 2010</w:t>
      </w:r>
      <w:r w:rsidR="00427B9D" w:rsidRPr="002B0E69">
        <w:rPr>
          <w:sz w:val="28"/>
          <w:szCs w:val="28"/>
        </w:rPr>
        <w:t xml:space="preserve"> год</w:t>
      </w:r>
      <w:r w:rsidR="004E5247" w:rsidRPr="002B0E69">
        <w:rPr>
          <w:sz w:val="28"/>
          <w:szCs w:val="28"/>
        </w:rPr>
        <w:t xml:space="preserve"> в сумме 7 465,45 и 8 089,97 млрд. рублей. </w:t>
      </w:r>
      <w:r w:rsidR="00695122" w:rsidRPr="002B0E69">
        <w:rPr>
          <w:sz w:val="28"/>
          <w:szCs w:val="28"/>
        </w:rPr>
        <w:t xml:space="preserve">Расходы федерального бюджета на 2008 год прогнозируются в размере 6 570,30 млрд. руб., на 2009 год 7 451,15 млрд. руб., а в 2010 году 8 089,97 млрд. руб. </w:t>
      </w:r>
      <w:r w:rsidR="004E5247" w:rsidRPr="002B0E69">
        <w:rPr>
          <w:sz w:val="28"/>
          <w:szCs w:val="28"/>
        </w:rPr>
        <w:t>Прогнозируется профицит федерального бюджета в сумме 74, 15 млрд. рублей (2008 год</w:t>
      </w:r>
      <w:r w:rsidR="00427B9D" w:rsidRPr="002B0E69">
        <w:rPr>
          <w:sz w:val="28"/>
          <w:szCs w:val="28"/>
        </w:rPr>
        <w:t>у</w:t>
      </w:r>
      <w:r w:rsidR="004E5247" w:rsidRPr="002B0E69">
        <w:rPr>
          <w:sz w:val="28"/>
          <w:szCs w:val="28"/>
        </w:rPr>
        <w:t>) и 14,29 млрд. рублей в 2009 году</w:t>
      </w:r>
      <w:r w:rsidR="009919E8" w:rsidRPr="002B0E69">
        <w:rPr>
          <w:sz w:val="28"/>
          <w:szCs w:val="28"/>
        </w:rPr>
        <w:t>.</w:t>
      </w:r>
      <w:r w:rsidR="009919E8" w:rsidRPr="002B0E69">
        <w:rPr>
          <w:color w:val="283800"/>
          <w:sz w:val="28"/>
          <w:szCs w:val="28"/>
        </w:rPr>
        <w:t xml:space="preserve"> В 2010 году доходы равны расходам - около 8,10 млрд.  руб. Профицит вообще не планируется.</w:t>
      </w:r>
    </w:p>
    <w:p w:rsidR="002B0E69" w:rsidRDefault="002B0E69" w:rsidP="002B0E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31245" w:rsidRPr="002B0E69" w:rsidRDefault="00231245" w:rsidP="002B0E6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B0E69">
        <w:rPr>
          <w:b/>
          <w:sz w:val="28"/>
          <w:szCs w:val="28"/>
        </w:rPr>
        <w:t>Анализ доходов</w:t>
      </w:r>
    </w:p>
    <w:p w:rsidR="00D528E4" w:rsidRPr="002B0E69" w:rsidRDefault="007177F3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Проведем сравнительный анализ доходно</w:t>
      </w:r>
      <w:r w:rsidR="00427B9D" w:rsidRPr="002B0E69">
        <w:rPr>
          <w:sz w:val="28"/>
          <w:szCs w:val="28"/>
        </w:rPr>
        <w:t>й</w:t>
      </w:r>
      <w:r w:rsidRPr="002B0E69">
        <w:rPr>
          <w:sz w:val="28"/>
          <w:szCs w:val="28"/>
        </w:rPr>
        <w:t xml:space="preserve"> части </w:t>
      </w:r>
      <w:r w:rsidR="00427B9D" w:rsidRPr="002B0E69">
        <w:rPr>
          <w:sz w:val="28"/>
          <w:szCs w:val="28"/>
        </w:rPr>
        <w:t xml:space="preserve">федерального </w:t>
      </w:r>
      <w:r w:rsidRPr="002B0E69">
        <w:rPr>
          <w:sz w:val="28"/>
          <w:szCs w:val="28"/>
        </w:rPr>
        <w:t>бюджета</w:t>
      </w:r>
      <w:r w:rsidR="00427B9D" w:rsidRPr="002B0E69">
        <w:rPr>
          <w:sz w:val="28"/>
          <w:szCs w:val="28"/>
        </w:rPr>
        <w:t xml:space="preserve"> на 2008 год и на плановый период 2009 и 2010 годов</w:t>
      </w:r>
      <w:r w:rsidRPr="002B0E69">
        <w:rPr>
          <w:sz w:val="28"/>
          <w:szCs w:val="28"/>
        </w:rPr>
        <w:t xml:space="preserve">. </w:t>
      </w:r>
      <w:r w:rsidR="004E5247" w:rsidRPr="002B0E69">
        <w:rPr>
          <w:sz w:val="28"/>
          <w:szCs w:val="28"/>
        </w:rPr>
        <w:t>Рассмотрим таблицу №1.</w:t>
      </w:r>
    </w:p>
    <w:p w:rsidR="00DA13A9" w:rsidRPr="002B0E69" w:rsidRDefault="00DA13A9" w:rsidP="002B0E69">
      <w:pPr>
        <w:spacing w:line="360" w:lineRule="auto"/>
        <w:ind w:firstLine="709"/>
        <w:jc w:val="center"/>
        <w:rPr>
          <w:b/>
          <w:sz w:val="28"/>
          <w:szCs w:val="28"/>
          <w:vertAlign w:val="subscript"/>
        </w:rPr>
      </w:pPr>
      <w:r w:rsidRPr="002B0E69">
        <w:rPr>
          <w:b/>
          <w:sz w:val="28"/>
          <w:szCs w:val="28"/>
          <w:vertAlign w:val="subscript"/>
        </w:rPr>
        <w:t xml:space="preserve">Таблица </w:t>
      </w:r>
      <w:r w:rsidR="004E5247" w:rsidRPr="002B0E69">
        <w:rPr>
          <w:b/>
          <w:sz w:val="28"/>
          <w:szCs w:val="28"/>
          <w:vertAlign w:val="subscript"/>
        </w:rPr>
        <w:t>№</w:t>
      </w:r>
      <w:r w:rsidRPr="002B0E69">
        <w:rPr>
          <w:b/>
          <w:sz w:val="28"/>
          <w:szCs w:val="28"/>
          <w:vertAlign w:val="subscript"/>
        </w:rPr>
        <w:t>1 – Доходы федерального бюджета на 2008 год и на плановый период 2009 и 2010 годов</w:t>
      </w:r>
    </w:p>
    <w:tbl>
      <w:tblPr>
        <w:tblW w:w="11189" w:type="dxa"/>
        <w:tblInd w:w="-1125" w:type="dxa"/>
        <w:tblLayout w:type="fixed"/>
        <w:tblLook w:val="0000" w:firstRow="0" w:lastRow="0" w:firstColumn="0" w:lastColumn="0" w:noHBand="0" w:noVBand="0"/>
      </w:tblPr>
      <w:tblGrid>
        <w:gridCol w:w="2493"/>
        <w:gridCol w:w="971"/>
        <w:gridCol w:w="1189"/>
        <w:gridCol w:w="1061"/>
        <w:gridCol w:w="1136"/>
        <w:gridCol w:w="900"/>
        <w:gridCol w:w="1279"/>
        <w:gridCol w:w="1024"/>
        <w:gridCol w:w="1136"/>
      </w:tblGrid>
      <w:tr w:rsidR="009065C7" w:rsidRPr="002B0E69">
        <w:trPr>
          <w:trHeight w:val="285"/>
        </w:trPr>
        <w:tc>
          <w:tcPr>
            <w:tcW w:w="24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Доходы федерального бюджета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2008г</w:t>
            </w:r>
          </w:p>
        </w:tc>
        <w:tc>
          <w:tcPr>
            <w:tcW w:w="2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2009г</w:t>
            </w: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Отклонение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2010г</w:t>
            </w:r>
          </w:p>
        </w:tc>
      </w:tr>
      <w:tr w:rsidR="009065C7" w:rsidRPr="002B0E69">
        <w:trPr>
          <w:trHeight w:val="1095"/>
        </w:trPr>
        <w:tc>
          <w:tcPr>
            <w:tcW w:w="24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Сумма, млрд. руб.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Удельный вес,%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Сумма, млрд. руб.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Удельный вес,%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По сумме, млрд. руб.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По удельному весу,%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Сумма, млрд. руб.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</w:rPr>
              <w:t>Удельный вес,%</w:t>
            </w:r>
          </w:p>
        </w:tc>
      </w:tr>
      <w:tr w:rsidR="009065C7" w:rsidRPr="002B0E69">
        <w:trPr>
          <w:trHeight w:val="255"/>
        </w:trPr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НЕФТЕГАЗОВЫЕ ДОХОДЫ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2 383,11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35,87%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2 351,91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31,50%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-31,20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-4,36%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2 348,32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29,03%</w:t>
            </w:r>
          </w:p>
        </w:tc>
      </w:tr>
      <w:tr w:rsidR="009065C7" w:rsidRPr="002B0E69">
        <w:trPr>
          <w:trHeight w:val="25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НЕНЕФТЕГАЗОВЫЕ ДОХОДЫ</w:t>
            </w:r>
            <w:r w:rsidR="00BE0FD1" w:rsidRPr="002B0E69">
              <w:rPr>
                <w:b/>
                <w:bCs/>
                <w:sz w:val="20"/>
                <w:szCs w:val="20"/>
              </w:rPr>
              <w:t>, в том числе: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4 261,34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5 113,54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767,34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5 741,35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9065C7" w:rsidRPr="002B0E69">
        <w:trPr>
          <w:trHeight w:val="25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533,38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8,03%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583,76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7,82%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50,38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-0,21%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636,28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7,87%</w:t>
            </w:r>
          </w:p>
        </w:tc>
      </w:tr>
      <w:tr w:rsidR="009065C7" w:rsidRPr="002B0E69">
        <w:trPr>
          <w:trHeight w:val="51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НАЛОГИ И ВЗНОСЫ НА СОЦИАЛЬНЫЕ НУЖДЫ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435,79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6,56%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496,36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6,65%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60,57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0,09%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562,8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6,96%</w:t>
            </w:r>
          </w:p>
        </w:tc>
      </w:tr>
      <w:tr w:rsidR="009065C7" w:rsidRPr="002B0E69">
        <w:trPr>
          <w:trHeight w:val="51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НАЛОГИ НА ТОВАРЫ (РАБОТЫ, УСЛУГИ) РЕАЛИЗУЕМЫЕ НА ТЕРРИТОРИИ РФ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1 404,05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21,13%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1 914,47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25,64%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510,42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4,51%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2 206,46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27,28%</w:t>
            </w:r>
          </w:p>
        </w:tc>
      </w:tr>
      <w:tr w:rsidR="009065C7" w:rsidRPr="002B0E69">
        <w:trPr>
          <w:trHeight w:val="51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НАЛОГИ НА ТОВАРЫ, ВВОЗИМЫЕ НА ТЕРРИТОРИЮ РФ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888,97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13,38%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1 029,76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13,79%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140,79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0,41%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1 182,54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14,62%</w:t>
            </w:r>
          </w:p>
        </w:tc>
      </w:tr>
      <w:tr w:rsidR="009065C7" w:rsidRPr="002B0E69">
        <w:trPr>
          <w:trHeight w:val="76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36,57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0,55%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39,50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0,53%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2,93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-0,02%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37,31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0,46%</w:t>
            </w:r>
          </w:p>
        </w:tc>
      </w:tr>
      <w:tr w:rsidR="009065C7" w:rsidRPr="002B0E69">
        <w:trPr>
          <w:trHeight w:val="25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32,24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0,49%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34,49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0,46%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-0,02%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36,56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0,45%</w:t>
            </w:r>
          </w:p>
        </w:tc>
      </w:tr>
      <w:tr w:rsidR="009065C7" w:rsidRPr="002B0E69">
        <w:trPr>
          <w:trHeight w:val="255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291,61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4,39%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297,00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3,98%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      5,39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-0,41%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301,73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3,73%</w:t>
            </w:r>
          </w:p>
        </w:tc>
      </w:tr>
      <w:tr w:rsidR="009065C7" w:rsidRPr="002B0E69">
        <w:trPr>
          <w:trHeight w:val="27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ПРОЧИЕ ДОХОДЫ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638,73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9,61%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718,20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9,62%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    79,47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0,01%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777,67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9,61%</w:t>
            </w:r>
          </w:p>
        </w:tc>
      </w:tr>
      <w:tr w:rsidR="009065C7" w:rsidRPr="002B0E69">
        <w:trPr>
          <w:trHeight w:val="270"/>
        </w:trPr>
        <w:tc>
          <w:tcPr>
            <w:tcW w:w="2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2B0E69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6 644,45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100,00%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7 465,45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100,00%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821,00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0,00%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8 089,67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065C7" w:rsidRPr="002B0E69" w:rsidRDefault="009065C7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100,00%</w:t>
            </w:r>
          </w:p>
        </w:tc>
      </w:tr>
    </w:tbl>
    <w:p w:rsidR="002B0E69" w:rsidRDefault="002B0E69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BE0FD1" w:rsidRPr="002B0E69" w:rsidRDefault="006756A7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В связи с произошедшими изменениями в бюджетном законодательстве </w:t>
      </w:r>
      <w:r w:rsidR="00231245" w:rsidRPr="002B0E69">
        <w:rPr>
          <w:sz w:val="28"/>
          <w:szCs w:val="28"/>
        </w:rPr>
        <w:t xml:space="preserve">изменилась структура доходов в части их распределения на нефтегазовые и ненефтегазовые доходы. </w:t>
      </w:r>
      <w:r w:rsidR="00BE0FD1" w:rsidRPr="002B0E69">
        <w:rPr>
          <w:sz w:val="28"/>
          <w:szCs w:val="28"/>
        </w:rPr>
        <w:t xml:space="preserve">При  формировании доходов было учтено изменение налогового законодательства, действующее на момент составления проекта бюджета, а также одобренные основные направления налоговой политики, предусматривающие внесение изменений и дополнений в законодательство РФ о налогах и сборах, вступающие в действие с </w:t>
      </w:r>
      <w:smartTag w:uri="urn:schemas-microsoft-com:office:smarttags" w:element="date">
        <w:smartTagPr>
          <w:attr w:name="Year" w:val="2008"/>
          <w:attr w:name="Day" w:val="01"/>
          <w:attr w:name="Month" w:val="01"/>
          <w:attr w:name="ls" w:val="trans"/>
        </w:smartTagPr>
        <w:r w:rsidR="00BE0FD1" w:rsidRPr="002B0E69">
          <w:rPr>
            <w:sz w:val="28"/>
            <w:szCs w:val="28"/>
          </w:rPr>
          <w:t>01.01.2008</w:t>
        </w:r>
      </w:smartTag>
      <w:r w:rsidR="00BE0FD1" w:rsidRPr="002B0E69">
        <w:rPr>
          <w:sz w:val="28"/>
          <w:szCs w:val="28"/>
        </w:rPr>
        <w:t xml:space="preserve"> года.</w:t>
      </w:r>
    </w:p>
    <w:p w:rsidR="006F764C" w:rsidRPr="002B0E69" w:rsidRDefault="003134E6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>Нефтегазовые доходы</w:t>
      </w:r>
      <w:r w:rsidRPr="002B0E69">
        <w:rPr>
          <w:sz w:val="28"/>
          <w:szCs w:val="28"/>
        </w:rPr>
        <w:t>.</w:t>
      </w:r>
      <w:r w:rsidR="001A0515" w:rsidRPr="002B0E69">
        <w:rPr>
          <w:sz w:val="28"/>
          <w:szCs w:val="28"/>
        </w:rPr>
        <w:t xml:space="preserve">  </w:t>
      </w:r>
      <w:r w:rsidR="002322C3" w:rsidRPr="002B0E69">
        <w:rPr>
          <w:sz w:val="28"/>
          <w:szCs w:val="28"/>
        </w:rPr>
        <w:t xml:space="preserve">В расчет нефтегазовых доходов бюджета включаются доход от налога на добычу полезных ископаемых, экспортная пошлина на нефть и газ. </w:t>
      </w:r>
      <w:r w:rsidR="00B55E78" w:rsidRPr="002B0E69">
        <w:rPr>
          <w:sz w:val="28"/>
          <w:szCs w:val="28"/>
        </w:rPr>
        <w:t xml:space="preserve"> Эта статья в общем объеме доходов занимает </w:t>
      </w:r>
      <w:smartTag w:uri="urn:schemas-microsoft-com:office:smarttags" w:element="time">
        <w:smartTagPr>
          <w:attr w:name="Minute" w:val="0"/>
          <w:attr w:name="Hour" w:val="3"/>
        </w:smartTagPr>
        <w:r w:rsidR="00B55E78" w:rsidRPr="002B0E69">
          <w:rPr>
            <w:sz w:val="28"/>
            <w:szCs w:val="28"/>
          </w:rPr>
          <w:t>3 часть</w:t>
        </w:r>
      </w:smartTag>
      <w:r w:rsidR="00B55E78" w:rsidRPr="002B0E69">
        <w:rPr>
          <w:sz w:val="28"/>
          <w:szCs w:val="28"/>
        </w:rPr>
        <w:t xml:space="preserve"> от всех поступлений в </w:t>
      </w:r>
      <w:r w:rsidR="002322C3" w:rsidRPr="002B0E69">
        <w:rPr>
          <w:sz w:val="28"/>
          <w:szCs w:val="28"/>
        </w:rPr>
        <w:t xml:space="preserve"> федеральный </w:t>
      </w:r>
      <w:r w:rsidR="00B55E78" w:rsidRPr="002B0E69">
        <w:rPr>
          <w:sz w:val="28"/>
          <w:szCs w:val="28"/>
        </w:rPr>
        <w:t xml:space="preserve">бюджет, что свидетельствует о её значимости и надежности поступлений. </w:t>
      </w:r>
      <w:r w:rsidR="001A0515" w:rsidRPr="002B0E69">
        <w:rPr>
          <w:sz w:val="28"/>
          <w:szCs w:val="28"/>
        </w:rPr>
        <w:t xml:space="preserve">В динамике мы видим, что  удельный вес </w:t>
      </w:r>
      <w:r w:rsidR="00B55E78" w:rsidRPr="002B0E69">
        <w:rPr>
          <w:sz w:val="28"/>
          <w:szCs w:val="28"/>
        </w:rPr>
        <w:t>показателя падает,</w:t>
      </w:r>
      <w:r w:rsidR="001A0515" w:rsidRPr="002B0E69">
        <w:rPr>
          <w:sz w:val="28"/>
          <w:szCs w:val="28"/>
        </w:rPr>
        <w:t xml:space="preserve"> на 2008 год </w:t>
      </w:r>
      <w:r w:rsidR="00B55E78" w:rsidRPr="002B0E69">
        <w:rPr>
          <w:sz w:val="28"/>
          <w:szCs w:val="28"/>
        </w:rPr>
        <w:t xml:space="preserve">составит </w:t>
      </w:r>
      <w:r w:rsidR="001A0515" w:rsidRPr="002B0E69">
        <w:rPr>
          <w:sz w:val="28"/>
          <w:szCs w:val="28"/>
        </w:rPr>
        <w:t>35,87% , на первый плановый год 31,5%,</w:t>
      </w:r>
      <w:r w:rsidR="00B55E78" w:rsidRPr="002B0E69">
        <w:rPr>
          <w:sz w:val="28"/>
          <w:szCs w:val="28"/>
        </w:rPr>
        <w:t xml:space="preserve"> на второй плановый год этот показатель сократится ещё на 2,47%. </w:t>
      </w:r>
      <w:r w:rsidR="002322C3" w:rsidRPr="002B0E69">
        <w:rPr>
          <w:sz w:val="28"/>
          <w:szCs w:val="28"/>
        </w:rPr>
        <w:t>В абсолютном выражении сумма составит на 2008 год</w:t>
      </w:r>
      <w:r w:rsidR="00B55E78" w:rsidRPr="002B0E69">
        <w:rPr>
          <w:sz w:val="28"/>
          <w:szCs w:val="28"/>
        </w:rPr>
        <w:t xml:space="preserve"> </w:t>
      </w:r>
      <w:r w:rsidR="001A0515" w:rsidRPr="002B0E69">
        <w:rPr>
          <w:sz w:val="28"/>
          <w:szCs w:val="28"/>
        </w:rPr>
        <w:t xml:space="preserve"> </w:t>
      </w:r>
      <w:r w:rsidR="002322C3" w:rsidRPr="002B0E69">
        <w:rPr>
          <w:sz w:val="28"/>
          <w:szCs w:val="28"/>
        </w:rPr>
        <w:t xml:space="preserve">2 383,11 млрд. руб., к 2010 году  </w:t>
      </w:r>
      <w:r w:rsidR="001A0515" w:rsidRPr="002B0E69">
        <w:rPr>
          <w:sz w:val="28"/>
          <w:szCs w:val="28"/>
        </w:rPr>
        <w:t xml:space="preserve">прогнозируется </w:t>
      </w:r>
      <w:r w:rsidR="00B55E78" w:rsidRPr="002B0E69">
        <w:rPr>
          <w:sz w:val="28"/>
          <w:szCs w:val="28"/>
        </w:rPr>
        <w:t xml:space="preserve">уменьшение  на </w:t>
      </w:r>
      <w:r w:rsidR="002322C3" w:rsidRPr="002B0E69">
        <w:rPr>
          <w:sz w:val="28"/>
          <w:szCs w:val="28"/>
        </w:rPr>
        <w:t>34,79 млрд.руб</w:t>
      </w:r>
      <w:r w:rsidR="00B55E78" w:rsidRPr="002B0E69">
        <w:rPr>
          <w:sz w:val="28"/>
          <w:szCs w:val="28"/>
        </w:rPr>
        <w:t>.</w:t>
      </w:r>
      <w:r w:rsidR="002322C3" w:rsidRPr="002B0E69">
        <w:rPr>
          <w:sz w:val="28"/>
          <w:szCs w:val="28"/>
        </w:rPr>
        <w:t xml:space="preserve"> Причинами снижения бюджетных поступлений из нефтегазового сектора явля</w:t>
      </w:r>
      <w:r w:rsidR="009949D5" w:rsidRPr="002B0E69">
        <w:rPr>
          <w:sz w:val="28"/>
          <w:szCs w:val="28"/>
        </w:rPr>
        <w:t>е</w:t>
      </w:r>
      <w:r w:rsidR="002322C3" w:rsidRPr="002B0E69">
        <w:rPr>
          <w:sz w:val="28"/>
          <w:szCs w:val="28"/>
        </w:rPr>
        <w:t xml:space="preserve">тся </w:t>
      </w:r>
      <w:r w:rsidR="009949D5" w:rsidRPr="002B0E69">
        <w:rPr>
          <w:sz w:val="28"/>
          <w:szCs w:val="28"/>
        </w:rPr>
        <w:t>снижение темпов роста ВВП, снижение цен на нефть, падение курса доллара, рост инфляции, а так же снижение доли нефтегазового сектора в российской экономике. Как отметил глава Минфина</w:t>
      </w:r>
      <w:r w:rsidR="006F764C" w:rsidRPr="002B0E69">
        <w:rPr>
          <w:sz w:val="28"/>
          <w:szCs w:val="28"/>
        </w:rPr>
        <w:t xml:space="preserve"> РФ</w:t>
      </w:r>
      <w:r w:rsidR="009949D5" w:rsidRPr="002B0E69">
        <w:rPr>
          <w:sz w:val="28"/>
          <w:szCs w:val="28"/>
        </w:rPr>
        <w:t xml:space="preserve"> А.Кудрин «в расчет базы нефтегазовых доходов не включается прибыль нефтяных и газовых компаний, а также дивиденды», тем самым, сокращая долю поступлений в этот раздел бюджета.</w:t>
      </w:r>
    </w:p>
    <w:p w:rsidR="00231245" w:rsidRPr="002B0E69" w:rsidRDefault="006F764C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Н</w:t>
      </w:r>
      <w:r w:rsidR="00231245" w:rsidRPr="002B0E69">
        <w:rPr>
          <w:sz w:val="28"/>
          <w:szCs w:val="28"/>
        </w:rPr>
        <w:t xml:space="preserve">еобходимость </w:t>
      </w:r>
      <w:r w:rsidRPr="002B0E69">
        <w:rPr>
          <w:sz w:val="28"/>
          <w:szCs w:val="28"/>
        </w:rPr>
        <w:t xml:space="preserve"> регулирования этого показателя заключается в </w:t>
      </w:r>
      <w:r w:rsidR="00231245" w:rsidRPr="002B0E69">
        <w:rPr>
          <w:sz w:val="28"/>
          <w:szCs w:val="28"/>
        </w:rPr>
        <w:t>специально</w:t>
      </w:r>
      <w:r w:rsidRPr="002B0E69">
        <w:rPr>
          <w:sz w:val="28"/>
          <w:szCs w:val="28"/>
        </w:rPr>
        <w:t>м</w:t>
      </w:r>
      <w:r w:rsidR="00231245" w:rsidRPr="002B0E69">
        <w:rPr>
          <w:sz w:val="28"/>
          <w:szCs w:val="28"/>
        </w:rPr>
        <w:t xml:space="preserve"> режим</w:t>
      </w:r>
      <w:r w:rsidRPr="002B0E69">
        <w:rPr>
          <w:sz w:val="28"/>
          <w:szCs w:val="28"/>
        </w:rPr>
        <w:t>е</w:t>
      </w:r>
      <w:r w:rsidR="00231245" w:rsidRPr="002B0E69">
        <w:rPr>
          <w:sz w:val="28"/>
          <w:szCs w:val="28"/>
        </w:rPr>
        <w:t xml:space="preserve"> управления ими, направленного на обеспечение долгосрочной макроэкономической стабильности. </w:t>
      </w:r>
    </w:p>
    <w:p w:rsidR="00D70CCF" w:rsidRPr="002B0E69" w:rsidRDefault="00D70CCF" w:rsidP="002B0E69">
      <w:pPr>
        <w:pStyle w:val="a8"/>
        <w:spacing w:after="0" w:line="360" w:lineRule="auto"/>
        <w:ind w:left="0" w:firstLine="709"/>
        <w:jc w:val="center"/>
        <w:rPr>
          <w:b/>
          <w:sz w:val="28"/>
          <w:szCs w:val="28"/>
          <w:vertAlign w:val="subscript"/>
        </w:rPr>
      </w:pPr>
      <w:r w:rsidRPr="002B0E69">
        <w:rPr>
          <w:b/>
          <w:sz w:val="28"/>
          <w:szCs w:val="28"/>
          <w:vertAlign w:val="subscript"/>
        </w:rPr>
        <w:t>Диагр.1.1. Динамика по статьям доходов федерального бюджета на 2008-2010годы</w:t>
      </w:r>
    </w:p>
    <w:p w:rsidR="00D70CCF" w:rsidRPr="002B0E69" w:rsidRDefault="003A0087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94.75pt">
            <v:imagedata r:id="rId5" o:title=""/>
          </v:shape>
        </w:pict>
      </w:r>
    </w:p>
    <w:p w:rsidR="00D70CCF" w:rsidRPr="002B0E69" w:rsidRDefault="00D70CCF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В диаграмме 1.1 наглядно изображено, какие изменения происходят в поступлениях в федеральный бюджет.</w:t>
      </w:r>
    </w:p>
    <w:p w:rsidR="006F764C" w:rsidRPr="002B0E69" w:rsidRDefault="006F764C" w:rsidP="002B0E69">
      <w:pPr>
        <w:pStyle w:val="a8"/>
        <w:tabs>
          <w:tab w:val="left" w:pos="1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>Ненефтегазовые доходы</w:t>
      </w:r>
      <w:r w:rsidRPr="002B0E69">
        <w:rPr>
          <w:sz w:val="28"/>
          <w:szCs w:val="28"/>
        </w:rPr>
        <w:t xml:space="preserve"> или ещё их называют доходы без учета нефтегазовых доходов.  </w:t>
      </w:r>
      <w:r w:rsidR="00BE0FD1" w:rsidRPr="002B0E69">
        <w:rPr>
          <w:sz w:val="28"/>
          <w:szCs w:val="28"/>
        </w:rPr>
        <w:t>В общем объеме этот показатель растет,  к 2010 году составит 5 741,35 млрд. руб., увеличившись на 1 480,01 млрд. руб. по отношению к 2008 году. Рассмотрим подробнее статьи этого раздела.</w:t>
      </w:r>
    </w:p>
    <w:p w:rsidR="00FC3CF6" w:rsidRPr="002B0E69" w:rsidRDefault="00BE0FD1" w:rsidP="002B0E69">
      <w:pPr>
        <w:pStyle w:val="a8"/>
        <w:numPr>
          <w:ilvl w:val="0"/>
          <w:numId w:val="3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>Налог на прибыль организаций.</w:t>
      </w:r>
      <w:r w:rsidRPr="002B0E69">
        <w:rPr>
          <w:sz w:val="28"/>
          <w:szCs w:val="28"/>
        </w:rPr>
        <w:t xml:space="preserve"> </w:t>
      </w:r>
      <w:r w:rsidRPr="002B0E69">
        <w:rPr>
          <w:b/>
          <w:i/>
          <w:sz w:val="28"/>
          <w:szCs w:val="28"/>
        </w:rPr>
        <w:t xml:space="preserve"> </w:t>
      </w:r>
      <w:r w:rsidR="000D77C5" w:rsidRPr="002B0E69">
        <w:rPr>
          <w:sz w:val="28"/>
          <w:szCs w:val="28"/>
        </w:rPr>
        <w:t>Эта статья в динамике растет. В абсолютном выражении мы видим, что к 2009 году происходит увеличение поступлений на 50,38 млрд. руб., к 2010 ещё  на 52,52 млрд. руб., что составит 636,28 млрд. руб.</w:t>
      </w:r>
      <w:r w:rsidR="00E51C80" w:rsidRPr="002B0E69">
        <w:rPr>
          <w:sz w:val="28"/>
          <w:szCs w:val="28"/>
        </w:rPr>
        <w:t xml:space="preserve">, в общем этот показатель к 2010 году увеличился </w:t>
      </w:r>
      <w:smartTag w:uri="urn:schemas-microsoft-com:office:smarttags" w:element="time">
        <w:smartTagPr>
          <w:attr w:name="Minute" w:val="0"/>
          <w:attr w:name="Hour" w:val="14"/>
        </w:smartTagPr>
        <w:r w:rsidR="00E51C80" w:rsidRPr="002B0E69">
          <w:rPr>
            <w:sz w:val="28"/>
            <w:szCs w:val="28"/>
          </w:rPr>
          <w:t>в 2</w:t>
        </w:r>
      </w:smartTag>
      <w:r w:rsidR="00E51C80" w:rsidRPr="002B0E69">
        <w:rPr>
          <w:sz w:val="28"/>
          <w:szCs w:val="28"/>
        </w:rPr>
        <w:t xml:space="preserve"> раза по темпам роста</w:t>
      </w:r>
      <w:r w:rsidR="000D77C5" w:rsidRPr="002B0E69">
        <w:rPr>
          <w:sz w:val="28"/>
          <w:szCs w:val="28"/>
        </w:rPr>
        <w:t xml:space="preserve">. Удельный вес этого показателя снижается от 8,03% - 7,87%. </w:t>
      </w:r>
      <w:r w:rsidR="00FC3CF6" w:rsidRPr="002B0E69">
        <w:rPr>
          <w:sz w:val="28"/>
          <w:szCs w:val="28"/>
        </w:rPr>
        <w:t xml:space="preserve">В соответствии с изменениями в налоговом законодательстве, произошли изменения в поступлении средств в этот раздел доходов. Прогнозируется уменьшение налогооблагаемой базы налога на прибыль, но компенсируется увеличением по операциям с ценными бумагами, </w:t>
      </w:r>
      <w:r w:rsidR="00C60452" w:rsidRPr="002B0E69">
        <w:rPr>
          <w:sz w:val="28"/>
          <w:szCs w:val="28"/>
        </w:rPr>
        <w:t>так же повлекли изменения по</w:t>
      </w:r>
      <w:r w:rsidR="00FC3CF6" w:rsidRPr="002B0E69">
        <w:rPr>
          <w:sz w:val="28"/>
          <w:szCs w:val="28"/>
        </w:rPr>
        <w:t xml:space="preserve"> ставк</w:t>
      </w:r>
      <w:r w:rsidR="00C60452" w:rsidRPr="002B0E69">
        <w:rPr>
          <w:sz w:val="28"/>
          <w:szCs w:val="28"/>
        </w:rPr>
        <w:t>е</w:t>
      </w:r>
      <w:r w:rsidR="00FC3CF6" w:rsidRPr="002B0E69">
        <w:rPr>
          <w:sz w:val="28"/>
          <w:szCs w:val="28"/>
        </w:rPr>
        <w:t xml:space="preserve"> налога</w:t>
      </w:r>
      <w:r w:rsidR="00C60452" w:rsidRPr="002B0E69">
        <w:rPr>
          <w:sz w:val="28"/>
          <w:szCs w:val="28"/>
        </w:rPr>
        <w:t xml:space="preserve">, а так же налоговым контролем от скрывания прибыли </w:t>
      </w:r>
      <w:r w:rsidR="00FC3CF6" w:rsidRPr="002B0E69">
        <w:rPr>
          <w:sz w:val="28"/>
          <w:szCs w:val="28"/>
        </w:rPr>
        <w:t>.</w:t>
      </w:r>
    </w:p>
    <w:p w:rsidR="00FC3CF6" w:rsidRPr="002B0E69" w:rsidRDefault="00835462" w:rsidP="002B0E69">
      <w:pPr>
        <w:pStyle w:val="a8"/>
        <w:numPr>
          <w:ilvl w:val="0"/>
          <w:numId w:val="3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709"/>
        <w:jc w:val="both"/>
        <w:rPr>
          <w:b/>
          <w:i/>
          <w:sz w:val="28"/>
          <w:szCs w:val="28"/>
        </w:rPr>
      </w:pPr>
      <w:r w:rsidRPr="002B0E69">
        <w:rPr>
          <w:b/>
          <w:i/>
          <w:sz w:val="28"/>
          <w:szCs w:val="28"/>
        </w:rPr>
        <w:t xml:space="preserve">Налоги и взносы на социальные нужды. </w:t>
      </w:r>
      <w:r w:rsidRPr="002B0E69">
        <w:rPr>
          <w:sz w:val="28"/>
          <w:szCs w:val="28"/>
        </w:rPr>
        <w:t xml:space="preserve"> Из данных таблиц№1, видно, что удельный вес этого показателя увеличивается, но не значительно. Суммы поступлений увеличиваются. В 2008 году прогнозируется в размере 435,79 млрд.руб., в 2010 году увеличится </w:t>
      </w:r>
      <w:smartTag w:uri="urn:schemas-microsoft-com:office:smarttags" w:element="time">
        <w:smartTagPr>
          <w:attr w:name="Minute" w:val="0"/>
          <w:attr w:name="Hour" w:val="14"/>
        </w:smartTagPr>
        <w:r w:rsidRPr="002B0E69">
          <w:rPr>
            <w:sz w:val="28"/>
            <w:szCs w:val="28"/>
          </w:rPr>
          <w:t>в 2</w:t>
        </w:r>
      </w:smartTag>
      <w:r w:rsidRPr="002B0E69">
        <w:rPr>
          <w:sz w:val="28"/>
          <w:szCs w:val="28"/>
        </w:rPr>
        <w:t xml:space="preserve"> раза по отношению к 2009 году, составив 562,8 млрд.руб. Это в первую очередь связано с увеличение заработной платы бюджетникам, увеличением МРОТ, </w:t>
      </w:r>
      <w:r w:rsidR="00C60452" w:rsidRPr="002B0E69">
        <w:rPr>
          <w:sz w:val="28"/>
          <w:szCs w:val="28"/>
        </w:rPr>
        <w:t xml:space="preserve"> а так же достоверной информации о з/п.</w:t>
      </w:r>
    </w:p>
    <w:p w:rsidR="00147D81" w:rsidRPr="002B0E69" w:rsidRDefault="00C60452" w:rsidP="002B0E69">
      <w:pPr>
        <w:pStyle w:val="a8"/>
        <w:numPr>
          <w:ilvl w:val="0"/>
          <w:numId w:val="3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>Налоги на товары (работы, услуги) реализуемые на территорию РФ</w:t>
      </w:r>
      <w:r w:rsidRPr="002B0E69">
        <w:rPr>
          <w:sz w:val="28"/>
          <w:szCs w:val="28"/>
        </w:rPr>
        <w:t>. Доля этого раздела составляет  21,13% в 2008 году,  в 2009 году составит 25,64%</w:t>
      </w:r>
      <w:r w:rsidR="003E5256" w:rsidRPr="002B0E69">
        <w:rPr>
          <w:sz w:val="28"/>
          <w:szCs w:val="28"/>
        </w:rPr>
        <w:t>. К</w:t>
      </w:r>
      <w:r w:rsidRPr="002B0E69">
        <w:rPr>
          <w:sz w:val="28"/>
          <w:szCs w:val="28"/>
        </w:rPr>
        <w:t xml:space="preserve"> 2010 году увеличится на </w:t>
      </w:r>
      <w:r w:rsidR="00E51C80" w:rsidRPr="002B0E69">
        <w:rPr>
          <w:sz w:val="28"/>
          <w:szCs w:val="28"/>
        </w:rPr>
        <w:t>1,64%. Прогнозируется, что в 2010 году сумма  показателя возрастет на 802,41 млрд. руб.  по отношению к 2008 году.</w:t>
      </w:r>
      <w:r w:rsidR="0045631B" w:rsidRPr="002B0E69">
        <w:rPr>
          <w:sz w:val="28"/>
          <w:szCs w:val="28"/>
        </w:rPr>
        <w:t xml:space="preserve">  В налоговом законодательстве  произошли изменения, которые повлекли за собой </w:t>
      </w:r>
      <w:r w:rsidR="003E5256" w:rsidRPr="002B0E69">
        <w:rPr>
          <w:sz w:val="28"/>
          <w:szCs w:val="28"/>
        </w:rPr>
        <w:t xml:space="preserve">дополнительные </w:t>
      </w:r>
      <w:r w:rsidR="0045631B" w:rsidRPr="002B0E69">
        <w:rPr>
          <w:sz w:val="28"/>
          <w:szCs w:val="28"/>
        </w:rPr>
        <w:t>потери</w:t>
      </w:r>
      <w:r w:rsidR="003E5256" w:rsidRPr="002B0E69">
        <w:rPr>
          <w:sz w:val="28"/>
          <w:szCs w:val="28"/>
        </w:rPr>
        <w:t xml:space="preserve"> в поступлении налога на добавленную стоимость</w:t>
      </w:r>
      <w:r w:rsidR="0045631B" w:rsidRPr="002B0E69">
        <w:rPr>
          <w:sz w:val="28"/>
          <w:szCs w:val="28"/>
        </w:rPr>
        <w:t xml:space="preserve"> в связи с введением поквартальной уплаты налога (установление налогового периода по налогу на добавленную стоимость для всех налогоплательщиков независимо от размера выручки от реализации товаров (работ, услуг) как квартал</w:t>
      </w:r>
      <w:r w:rsidR="003E5256" w:rsidRPr="002B0E69">
        <w:rPr>
          <w:sz w:val="28"/>
          <w:szCs w:val="28"/>
        </w:rPr>
        <w:t>). Но в связи с проведением налоговыми органами мероприятий по укреплению платежной дисциплины  пр</w:t>
      </w:r>
      <w:r w:rsidR="00331818" w:rsidRPr="002B0E69">
        <w:rPr>
          <w:sz w:val="28"/>
          <w:szCs w:val="28"/>
        </w:rPr>
        <w:t>оисходит увеличение поступлений, а также увеличением акцизов на спиртосодержащую продукцию, табачную продукцию, рост поступлений акцизов на бензин.</w:t>
      </w:r>
    </w:p>
    <w:p w:rsidR="0045631B" w:rsidRPr="002B0E69" w:rsidRDefault="003E5256" w:rsidP="002B0E69">
      <w:pPr>
        <w:pStyle w:val="a8"/>
        <w:numPr>
          <w:ilvl w:val="0"/>
          <w:numId w:val="3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>Налоги</w:t>
      </w:r>
      <w:r w:rsidR="0045631B" w:rsidRPr="002B0E69">
        <w:rPr>
          <w:b/>
          <w:i/>
          <w:sz w:val="28"/>
          <w:szCs w:val="28"/>
        </w:rPr>
        <w:t xml:space="preserve"> на </w:t>
      </w:r>
      <w:r w:rsidRPr="002B0E69">
        <w:rPr>
          <w:b/>
          <w:i/>
          <w:sz w:val="28"/>
          <w:szCs w:val="28"/>
        </w:rPr>
        <w:t>товары,</w:t>
      </w:r>
      <w:r w:rsidR="0045631B" w:rsidRPr="002B0E69">
        <w:rPr>
          <w:b/>
          <w:i/>
          <w:sz w:val="28"/>
          <w:szCs w:val="28"/>
        </w:rPr>
        <w:t xml:space="preserve"> ввозимые на территорию РФ</w:t>
      </w:r>
      <w:r w:rsidR="0045631B" w:rsidRPr="002B0E69">
        <w:rPr>
          <w:sz w:val="28"/>
          <w:szCs w:val="28"/>
        </w:rPr>
        <w:t xml:space="preserve">. </w:t>
      </w:r>
      <w:r w:rsidRPr="002B0E69">
        <w:rPr>
          <w:sz w:val="28"/>
          <w:szCs w:val="28"/>
        </w:rPr>
        <w:t xml:space="preserve">В динамике  этого показателя, мы видим, что темп роста к 2009 году составит 1,15%, а к 2010 году 1,33%. Сумма этого показателя вырастит от 888,97 – 1 182,54 млрд. руб. на </w:t>
      </w:r>
      <w:r w:rsidR="00331818" w:rsidRPr="002B0E69">
        <w:rPr>
          <w:sz w:val="28"/>
          <w:szCs w:val="28"/>
        </w:rPr>
        <w:t xml:space="preserve">293,57 млрд.руб.. Удельный вес этого показателя растет к 2010 году составит 14,62% увеличившись на 1,24% к 2008 году. Что характерно этого раздела, то  </w:t>
      </w:r>
      <w:r w:rsidR="00147D81" w:rsidRPr="002B0E69">
        <w:rPr>
          <w:sz w:val="28"/>
          <w:szCs w:val="28"/>
        </w:rPr>
        <w:t xml:space="preserve">здесь изменения связанны, с </w:t>
      </w:r>
      <w:r w:rsidR="00331818" w:rsidRPr="002B0E69">
        <w:rPr>
          <w:sz w:val="28"/>
          <w:szCs w:val="28"/>
        </w:rPr>
        <w:t xml:space="preserve"> </w:t>
      </w:r>
      <w:r w:rsidR="00147D81" w:rsidRPr="002B0E69">
        <w:rPr>
          <w:sz w:val="28"/>
          <w:szCs w:val="28"/>
        </w:rPr>
        <w:t xml:space="preserve">ввозимыми товарами, не подлежащих налогообложению в соответствии с действующим законодательством, а так же с товаром, освобожденным от налогообложения в соответствии с межправительственными соглашениями и др. Доля облагаемого оборота импорта с учетом применяемых льгот должна составить 87,5 процента от общего объема импорта. </w:t>
      </w:r>
    </w:p>
    <w:p w:rsidR="00FC3CF6" w:rsidRPr="002B0E69" w:rsidRDefault="00147D81" w:rsidP="002B0E69">
      <w:pPr>
        <w:pStyle w:val="a8"/>
        <w:numPr>
          <w:ilvl w:val="0"/>
          <w:numId w:val="3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>Налоги, сборы и регулярные платежи за пользование природными ресурсами</w:t>
      </w:r>
      <w:r w:rsidRPr="002B0E69">
        <w:rPr>
          <w:sz w:val="28"/>
          <w:szCs w:val="28"/>
        </w:rPr>
        <w:t>. Поступления налога на добычу полезных ископаемых в расчетах доходной базы федерального бюджета на 2008 год прогнозируются в сумме 36,57млрд. руб., на 2009 и 2010 год 39,5 млрд. руб. и 37,31 млрд. руб. В относительном выражении происходит снижение данного показателя.</w:t>
      </w:r>
      <w:r w:rsidR="00197FD7" w:rsidRPr="002B0E69">
        <w:rPr>
          <w:sz w:val="28"/>
          <w:szCs w:val="28"/>
        </w:rPr>
        <w:t xml:space="preserve"> Состав и структура этого подраздела изменилась, так как в неё входили  статьи нефтегазовых доходов. Т.к. это самостоятельно мною были подсчитаны результаты, возможно, есть небольшая погрешность этого показателя. Этот показатель полностью зависит от цен на природные ресурсы. </w:t>
      </w:r>
    </w:p>
    <w:p w:rsidR="00197FD7" w:rsidRPr="002B0E69" w:rsidRDefault="00197FD7" w:rsidP="002B0E69">
      <w:pPr>
        <w:pStyle w:val="a8"/>
        <w:numPr>
          <w:ilvl w:val="0"/>
          <w:numId w:val="3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 xml:space="preserve">Государственная пошлина.  </w:t>
      </w:r>
      <w:r w:rsidRPr="002B0E69">
        <w:rPr>
          <w:sz w:val="28"/>
          <w:szCs w:val="28"/>
        </w:rPr>
        <w:t xml:space="preserve">При расчете государственной пошлины, подлежащей уплате в федеральный бюджет, применялись установленные бюджетным законодательством нормативы распределения платежей между уровнями бюджетной системы Российской Федерации. Прогнозируется на 2008 год поступлений в сумме 32,24 млрд. руб., на 2010 год 36,56 млрд. руб.. </w:t>
      </w:r>
    </w:p>
    <w:p w:rsidR="000941E9" w:rsidRPr="002B0E69" w:rsidRDefault="00197FD7" w:rsidP="002B0E69">
      <w:pPr>
        <w:pStyle w:val="a8"/>
        <w:numPr>
          <w:ilvl w:val="0"/>
          <w:numId w:val="3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>Неналоговые доходы</w:t>
      </w:r>
      <w:r w:rsidR="00581EFB" w:rsidRPr="002B0E69">
        <w:rPr>
          <w:b/>
          <w:i/>
          <w:sz w:val="28"/>
          <w:szCs w:val="28"/>
        </w:rPr>
        <w:t>.</w:t>
      </w:r>
      <w:r w:rsidR="00581EFB" w:rsidRPr="002B0E69">
        <w:rPr>
          <w:sz w:val="28"/>
          <w:szCs w:val="28"/>
        </w:rPr>
        <w:t xml:space="preserve"> Прогнозируется, что сумма доходов этого раздела на 2008 году составят 291,61 млрд. руб., на 2009 год на 5,39 млрд. руб. больше, а на 2010 год ещё на 4,73 млрд. руб.</w:t>
      </w:r>
    </w:p>
    <w:p w:rsidR="00581EFB" w:rsidRPr="002B0E69" w:rsidRDefault="00581EFB" w:rsidP="002B0E69">
      <w:pPr>
        <w:pStyle w:val="a8"/>
        <w:numPr>
          <w:ilvl w:val="0"/>
          <w:numId w:val="3"/>
        </w:numPr>
        <w:tabs>
          <w:tab w:val="clear" w:pos="1454"/>
          <w:tab w:val="num" w:pos="0"/>
          <w:tab w:val="left" w:pos="18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 xml:space="preserve">Прочие доходы. </w:t>
      </w:r>
      <w:r w:rsidRPr="002B0E69">
        <w:rPr>
          <w:sz w:val="28"/>
          <w:szCs w:val="28"/>
        </w:rPr>
        <w:t>В связи с тем, что в прогнозе  поступлений доходов федерального бюджета на 2008-2010 годы не были указаны остальные статьи раздела</w:t>
      </w:r>
      <w:r w:rsidR="006F71F2" w:rsidRPr="002B0E69">
        <w:rPr>
          <w:sz w:val="28"/>
          <w:szCs w:val="28"/>
        </w:rPr>
        <w:t xml:space="preserve"> и прогнозирование данные этих показателей</w:t>
      </w:r>
      <w:r w:rsidR="000941E9" w:rsidRPr="002B0E69">
        <w:rPr>
          <w:sz w:val="28"/>
          <w:szCs w:val="28"/>
        </w:rPr>
        <w:t xml:space="preserve"> (доходы от использования имущества, находящегося в государственной и муниципальной собственности</w:t>
      </w:r>
      <w:r w:rsidR="006F71F2" w:rsidRPr="002B0E69">
        <w:rPr>
          <w:sz w:val="28"/>
          <w:szCs w:val="28"/>
        </w:rPr>
        <w:t>;</w:t>
      </w:r>
      <w:r w:rsidR="000941E9" w:rsidRPr="002B0E69">
        <w:rPr>
          <w:sz w:val="28"/>
          <w:szCs w:val="28"/>
        </w:rPr>
        <w:t xml:space="preserve"> платежи при пользовании природными ресурсами</w:t>
      </w:r>
      <w:r w:rsidR="006F71F2" w:rsidRPr="002B0E69">
        <w:rPr>
          <w:sz w:val="28"/>
          <w:szCs w:val="28"/>
        </w:rPr>
        <w:t>;</w:t>
      </w:r>
      <w:r w:rsidR="000941E9" w:rsidRPr="002B0E69">
        <w:rPr>
          <w:sz w:val="28"/>
          <w:szCs w:val="28"/>
        </w:rPr>
        <w:t xml:space="preserve"> доходы от оказания платных услуг и компенсации затрат государства</w:t>
      </w:r>
      <w:r w:rsidR="006F71F2" w:rsidRPr="002B0E69">
        <w:rPr>
          <w:sz w:val="28"/>
          <w:szCs w:val="28"/>
        </w:rPr>
        <w:t>;</w:t>
      </w:r>
      <w:r w:rsidR="000941E9" w:rsidRPr="002B0E69">
        <w:rPr>
          <w:sz w:val="28"/>
          <w:szCs w:val="28"/>
        </w:rPr>
        <w:t xml:space="preserve"> доходы от продажи материальных и нематериальных активов</w:t>
      </w:r>
      <w:r w:rsidR="006F71F2" w:rsidRPr="002B0E69">
        <w:rPr>
          <w:sz w:val="28"/>
          <w:szCs w:val="28"/>
        </w:rPr>
        <w:t>;</w:t>
      </w:r>
      <w:r w:rsidR="000941E9" w:rsidRPr="002B0E69">
        <w:rPr>
          <w:sz w:val="28"/>
          <w:szCs w:val="28"/>
        </w:rPr>
        <w:t xml:space="preserve"> административные платежи и сборы</w:t>
      </w:r>
      <w:r w:rsidR="006F71F2" w:rsidRPr="002B0E69">
        <w:rPr>
          <w:sz w:val="28"/>
          <w:szCs w:val="28"/>
        </w:rPr>
        <w:t>;</w:t>
      </w:r>
      <w:r w:rsidR="000941E9" w:rsidRPr="002B0E69">
        <w:rPr>
          <w:sz w:val="28"/>
          <w:szCs w:val="28"/>
        </w:rPr>
        <w:t xml:space="preserve"> штрафы, санкции, возмещение ущерба</w:t>
      </w:r>
      <w:r w:rsidR="006F71F2" w:rsidRPr="002B0E69">
        <w:rPr>
          <w:sz w:val="28"/>
          <w:szCs w:val="28"/>
        </w:rPr>
        <w:t>;</w:t>
      </w:r>
      <w:r w:rsidR="000941E9" w:rsidRPr="002B0E69">
        <w:rPr>
          <w:sz w:val="28"/>
          <w:szCs w:val="28"/>
        </w:rPr>
        <w:t xml:space="preserve"> целевые отчисления от всероссийских государственных лотерей</w:t>
      </w:r>
      <w:r w:rsidR="006F71F2" w:rsidRPr="002B0E69">
        <w:rPr>
          <w:sz w:val="28"/>
          <w:szCs w:val="28"/>
        </w:rPr>
        <w:t xml:space="preserve">). Я </w:t>
      </w:r>
      <w:r w:rsidRPr="002B0E69">
        <w:rPr>
          <w:sz w:val="28"/>
          <w:szCs w:val="28"/>
        </w:rPr>
        <w:t>объединила их в группу - прочие доходы. А разница между указанными разделами и  всего доходов, вписала в этот раздел, а также возможные изменения, которые не были разнесены по всем разделам доходов федерального бюджета. Этот показатель является обобщенным, поэтому нет смысла его анализировать.</w:t>
      </w:r>
    </w:p>
    <w:p w:rsidR="00BE0FD1" w:rsidRPr="002B0E69" w:rsidRDefault="006F71F2" w:rsidP="002B0E69">
      <w:pPr>
        <w:spacing w:line="360" w:lineRule="auto"/>
        <w:ind w:firstLine="709"/>
        <w:rPr>
          <w:sz w:val="28"/>
          <w:szCs w:val="28"/>
        </w:rPr>
      </w:pPr>
      <w:r w:rsidRPr="002B0E69">
        <w:rPr>
          <w:sz w:val="28"/>
          <w:szCs w:val="28"/>
        </w:rPr>
        <w:t>Перейдем ко второй части федерального бюджета – расходы.</w:t>
      </w:r>
    </w:p>
    <w:p w:rsidR="002B0E69" w:rsidRDefault="002B0E69" w:rsidP="002B0E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27B9D" w:rsidRPr="002B0E69" w:rsidRDefault="00164040" w:rsidP="002B0E6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B0E69">
        <w:rPr>
          <w:b/>
          <w:sz w:val="28"/>
          <w:szCs w:val="28"/>
        </w:rPr>
        <w:t>Анализ расходов</w:t>
      </w:r>
    </w:p>
    <w:p w:rsidR="00D402D5" w:rsidRPr="002B0E69" w:rsidRDefault="00D402D5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В соответствии со статьей 21 Бюджетного Кодекса РФ классификация расходов бюджета состоит из 11 разделов</w:t>
      </w:r>
      <w:r w:rsidR="00AF067C" w:rsidRPr="002B0E69">
        <w:rPr>
          <w:sz w:val="28"/>
          <w:szCs w:val="28"/>
        </w:rPr>
        <w:t>. Они являются едиными для бюджетов бюджетной системы Российской Федерации разделами и подразделами классификации расходов бюджетов</w:t>
      </w:r>
      <w:r w:rsidRPr="002B0E69">
        <w:rPr>
          <w:sz w:val="28"/>
          <w:szCs w:val="28"/>
        </w:rPr>
        <w:t>, рассмотрим их подробнее в таблице №2</w:t>
      </w:r>
      <w:r w:rsidR="00AF067C" w:rsidRPr="002B0E69">
        <w:rPr>
          <w:sz w:val="28"/>
          <w:szCs w:val="28"/>
        </w:rPr>
        <w:t>.</w:t>
      </w:r>
    </w:p>
    <w:p w:rsidR="00454807" w:rsidRPr="002B0E69" w:rsidRDefault="00454807" w:rsidP="002B0E69">
      <w:pPr>
        <w:spacing w:line="360" w:lineRule="auto"/>
        <w:ind w:firstLine="709"/>
        <w:jc w:val="center"/>
        <w:rPr>
          <w:b/>
          <w:sz w:val="28"/>
          <w:szCs w:val="28"/>
          <w:vertAlign w:val="subscript"/>
        </w:rPr>
      </w:pPr>
      <w:r w:rsidRPr="002B0E69">
        <w:rPr>
          <w:b/>
          <w:sz w:val="28"/>
          <w:szCs w:val="28"/>
          <w:vertAlign w:val="subscript"/>
        </w:rPr>
        <w:t xml:space="preserve">Таблица </w:t>
      </w:r>
      <w:r w:rsidR="00D402D5" w:rsidRPr="002B0E69">
        <w:rPr>
          <w:b/>
          <w:sz w:val="28"/>
          <w:szCs w:val="28"/>
          <w:vertAlign w:val="subscript"/>
        </w:rPr>
        <w:t>№</w:t>
      </w:r>
      <w:r w:rsidRPr="002B0E69">
        <w:rPr>
          <w:b/>
          <w:sz w:val="28"/>
          <w:szCs w:val="28"/>
          <w:vertAlign w:val="subscript"/>
        </w:rPr>
        <w:t>2 – Расходы федерального бюджета на 2008 год и на плановый период 2009 и 2010 годов</w:t>
      </w:r>
    </w:p>
    <w:p w:rsidR="00454807" w:rsidRPr="002B0E69" w:rsidRDefault="00454807" w:rsidP="002B0E69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10718" w:type="dxa"/>
        <w:tblInd w:w="-840" w:type="dxa"/>
        <w:tblLook w:val="0000" w:firstRow="0" w:lastRow="0" w:firstColumn="0" w:lastColumn="0" w:noHBand="0" w:noVBand="0"/>
      </w:tblPr>
      <w:tblGrid>
        <w:gridCol w:w="2892"/>
        <w:gridCol w:w="866"/>
        <w:gridCol w:w="1099"/>
        <w:gridCol w:w="866"/>
        <w:gridCol w:w="1099"/>
        <w:gridCol w:w="807"/>
        <w:gridCol w:w="1124"/>
        <w:gridCol w:w="866"/>
        <w:gridCol w:w="1099"/>
      </w:tblGrid>
      <w:tr w:rsidR="0053713A" w:rsidRPr="002B0E69">
        <w:trPr>
          <w:trHeight w:val="255"/>
        </w:trPr>
        <w:tc>
          <w:tcPr>
            <w:tcW w:w="2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2008г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2009г</w:t>
            </w:r>
          </w:p>
        </w:tc>
        <w:tc>
          <w:tcPr>
            <w:tcW w:w="193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Отклонение</w:t>
            </w:r>
          </w:p>
        </w:tc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2010</w:t>
            </w:r>
            <w:r w:rsidR="00B24569" w:rsidRPr="002B0E69">
              <w:rPr>
                <w:b/>
                <w:i/>
                <w:iCs/>
                <w:sz w:val="20"/>
                <w:szCs w:val="20"/>
              </w:rPr>
              <w:t>г</w:t>
            </w:r>
          </w:p>
        </w:tc>
      </w:tr>
      <w:tr w:rsidR="0053713A" w:rsidRPr="002B0E69">
        <w:trPr>
          <w:trHeight w:val="1020"/>
        </w:trPr>
        <w:tc>
          <w:tcPr>
            <w:tcW w:w="28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Сумма, млрд. руб.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Удельный вес,%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Сумма, млрд. руб.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Удельный вес,%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По сумме, млрд. руб.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По удельному вес,%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Сумма, млрд. руб.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2B0E69">
              <w:rPr>
                <w:b/>
                <w:i/>
                <w:iCs/>
                <w:sz w:val="20"/>
                <w:szCs w:val="20"/>
              </w:rPr>
              <w:t>Удельный вес,%</w:t>
            </w:r>
          </w:p>
        </w:tc>
      </w:tr>
      <w:tr w:rsidR="0053713A" w:rsidRPr="002B0E69">
        <w:trPr>
          <w:trHeight w:val="510"/>
        </w:trPr>
        <w:tc>
          <w:tcPr>
            <w:tcW w:w="2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828,78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12,61%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899,84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12,08%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71,06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-0,54%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963,10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11,90%</w:t>
            </w:r>
          </w:p>
        </w:tc>
      </w:tr>
      <w:tr w:rsidR="0053713A" w:rsidRPr="002B0E69">
        <w:trPr>
          <w:trHeight w:val="25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НАЦИОНАЛЬНАЯ ОБОРОНА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509,10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7,75%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566,74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7,61%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57,64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-0,14%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596,19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7,37%</w:t>
            </w:r>
          </w:p>
        </w:tc>
      </w:tr>
      <w:tr w:rsidR="0053713A" w:rsidRPr="002B0E69">
        <w:trPr>
          <w:trHeight w:val="102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521,84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7,94%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642,61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8,62%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120,77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0,68%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693,51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8,57%</w:t>
            </w:r>
          </w:p>
        </w:tc>
      </w:tr>
      <w:tr w:rsidR="0053713A" w:rsidRPr="002B0E69">
        <w:trPr>
          <w:trHeight w:val="25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702,32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10,69%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789,62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10,60%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87,30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-0,09%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528,55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6,53%</w:t>
            </w:r>
          </w:p>
        </w:tc>
      </w:tr>
      <w:tr w:rsidR="0053713A" w:rsidRPr="002B0E69">
        <w:trPr>
          <w:trHeight w:val="51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54,56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0,83%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56,29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0,76%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1,73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-0,07%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51,86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0,64%</w:t>
            </w:r>
          </w:p>
        </w:tc>
      </w:tr>
      <w:tr w:rsidR="0053713A" w:rsidRPr="002B0E69">
        <w:trPr>
          <w:trHeight w:val="51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ОХРАНА ОКРУЖАЮЩЕЙ СРЕДЫ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9,33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0,14%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10,21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0,14%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0,88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0,00%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10,96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0,14%</w:t>
            </w:r>
          </w:p>
        </w:tc>
      </w:tr>
      <w:tr w:rsidR="0053713A" w:rsidRPr="002B0E69">
        <w:trPr>
          <w:trHeight w:val="25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ОБРАЗОВАНИЕ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307,20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4,68%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313,64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4,21%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6,44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-0,47%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339,85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4,20%</w:t>
            </w:r>
          </w:p>
        </w:tc>
      </w:tr>
      <w:tr w:rsidR="0053713A" w:rsidRPr="002B0E69">
        <w:trPr>
          <w:trHeight w:val="102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КУЛЬТУРА, КИНЕМАТОГРАФИЯ И СРЕДСТВА МАССОВОЙ ИНФОРМАЦИИ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83,81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1,28%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73,01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0,98%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-10,80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-0,30%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67,58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0,84%</w:t>
            </w:r>
          </w:p>
        </w:tc>
      </w:tr>
      <w:tr w:rsidR="0053713A" w:rsidRPr="002B0E69">
        <w:trPr>
          <w:trHeight w:val="25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>ЗДРАВООХРАНЕНИЕ И СПОРТ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211,69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3,22%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245,22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3,29%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33,53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0,07%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295,36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3,65%</w:t>
            </w:r>
          </w:p>
        </w:tc>
      </w:tr>
      <w:tr w:rsidR="0053713A" w:rsidRPr="002B0E69">
        <w:trPr>
          <w:trHeight w:val="25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270,86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4,12%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342,67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4,60%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71,81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0,48%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396,54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4,90%</w:t>
            </w:r>
          </w:p>
        </w:tc>
      </w:tr>
      <w:tr w:rsidR="0053713A" w:rsidRPr="002B0E69">
        <w:trPr>
          <w:trHeight w:val="51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2281,56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34,73%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2423,12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32,52%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141,56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-2,21%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2720,97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33,63%</w:t>
            </w:r>
          </w:p>
        </w:tc>
      </w:tr>
      <w:tr w:rsidR="0053713A" w:rsidRPr="002B0E69">
        <w:trPr>
          <w:trHeight w:val="525"/>
        </w:trPr>
        <w:tc>
          <w:tcPr>
            <w:tcW w:w="28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0,00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0,00%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186,30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2,50%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186,30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2,50%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404,50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5,00%</w:t>
            </w:r>
          </w:p>
        </w:tc>
      </w:tr>
      <w:tr w:rsidR="0053713A" w:rsidRPr="002B0E69">
        <w:trPr>
          <w:trHeight w:val="27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>СЕКРЕТНЫЕ СТАТЬИ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789,25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12,01%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901,88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12,10%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112,63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0,09%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1021,00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12,62%</w:t>
            </w:r>
          </w:p>
        </w:tc>
      </w:tr>
      <w:tr w:rsidR="0053713A" w:rsidRPr="002B0E69">
        <w:trPr>
          <w:trHeight w:val="270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2B0E69">
              <w:rPr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3713A" w:rsidRPr="002B0E69" w:rsidRDefault="0053713A" w:rsidP="002B0E69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6570,30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100,00%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7451,15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100,00%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880,85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8089,97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3713A" w:rsidRPr="002B0E69" w:rsidRDefault="0053713A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100,00%</w:t>
            </w:r>
          </w:p>
        </w:tc>
      </w:tr>
    </w:tbl>
    <w:p w:rsidR="0053713A" w:rsidRPr="002B0E69" w:rsidRDefault="009D5528" w:rsidP="002B0E69">
      <w:pPr>
        <w:tabs>
          <w:tab w:val="left" w:pos="720"/>
        </w:tabs>
        <w:spacing w:line="360" w:lineRule="auto"/>
        <w:jc w:val="both"/>
        <w:rPr>
          <w:sz w:val="20"/>
          <w:szCs w:val="20"/>
        </w:rPr>
      </w:pPr>
      <w:r w:rsidRPr="002B0E69">
        <w:rPr>
          <w:sz w:val="20"/>
          <w:szCs w:val="20"/>
        </w:rPr>
        <w:tab/>
      </w:r>
    </w:p>
    <w:p w:rsidR="00D402D5" w:rsidRPr="002B0E69" w:rsidRDefault="00963A51" w:rsidP="002B0E69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Наибол</w:t>
      </w:r>
      <w:r w:rsidR="00427B9D" w:rsidRPr="002B0E69">
        <w:rPr>
          <w:sz w:val="28"/>
          <w:szCs w:val="28"/>
        </w:rPr>
        <w:t xml:space="preserve">ьший </w:t>
      </w:r>
      <w:r w:rsidRPr="002B0E69">
        <w:rPr>
          <w:sz w:val="28"/>
          <w:szCs w:val="28"/>
        </w:rPr>
        <w:t xml:space="preserve">удельный вес в классификации </w:t>
      </w:r>
      <w:r w:rsidR="00427B9D" w:rsidRPr="002B0E69">
        <w:rPr>
          <w:sz w:val="28"/>
          <w:szCs w:val="28"/>
        </w:rPr>
        <w:t xml:space="preserve">расходов </w:t>
      </w:r>
      <w:r w:rsidRPr="002B0E69">
        <w:rPr>
          <w:sz w:val="28"/>
          <w:szCs w:val="28"/>
        </w:rPr>
        <w:t xml:space="preserve">занимают </w:t>
      </w:r>
      <w:r w:rsidR="00102FCE" w:rsidRPr="002B0E69">
        <w:rPr>
          <w:b/>
          <w:i/>
          <w:sz w:val="28"/>
          <w:szCs w:val="28"/>
        </w:rPr>
        <w:t>межбюджетные трансферты.</w:t>
      </w:r>
      <w:r w:rsidR="00102FCE" w:rsidRPr="002B0E69">
        <w:rPr>
          <w:sz w:val="28"/>
          <w:szCs w:val="28"/>
        </w:rPr>
        <w:t xml:space="preserve"> В 2008 году</w:t>
      </w:r>
      <w:r w:rsidRPr="002B0E69">
        <w:rPr>
          <w:sz w:val="28"/>
          <w:szCs w:val="28"/>
        </w:rPr>
        <w:t xml:space="preserve"> </w:t>
      </w:r>
      <w:r w:rsidR="00102FCE" w:rsidRPr="002B0E69">
        <w:rPr>
          <w:sz w:val="28"/>
          <w:szCs w:val="28"/>
        </w:rPr>
        <w:t xml:space="preserve">доля расходования этих средств </w:t>
      </w:r>
      <w:r w:rsidRPr="002B0E69">
        <w:rPr>
          <w:sz w:val="28"/>
          <w:szCs w:val="28"/>
        </w:rPr>
        <w:t xml:space="preserve">составляет </w:t>
      </w:r>
      <w:r w:rsidR="00102FCE" w:rsidRPr="002B0E69">
        <w:rPr>
          <w:sz w:val="28"/>
          <w:szCs w:val="28"/>
        </w:rPr>
        <w:t>34,73%. Если говорить о динамике этого показателя, то уже в следующем году (2009) он снижается на 2,21 %. Но в денежном эквиваленте увеличивается на 141,56 млрд. руб.</w:t>
      </w:r>
      <w:r w:rsidR="00F17A9B" w:rsidRPr="002B0E69">
        <w:rPr>
          <w:sz w:val="28"/>
          <w:szCs w:val="28"/>
        </w:rPr>
        <w:t xml:space="preserve"> </w:t>
      </w:r>
      <w:r w:rsidR="008E2DA1" w:rsidRPr="002B0E69">
        <w:rPr>
          <w:sz w:val="28"/>
          <w:szCs w:val="28"/>
        </w:rPr>
        <w:t>В среднесрочной перспективе предусмотрено абсолютное увеличение межбюджетных трансфертов к 2010 году до 2 720,97 млрд. рублей, что составляет</w:t>
      </w:r>
      <w:r w:rsidR="00F17A9B" w:rsidRPr="002B0E69">
        <w:rPr>
          <w:sz w:val="28"/>
          <w:szCs w:val="28"/>
        </w:rPr>
        <w:t xml:space="preserve"> на 439,41 млрд. руб. </w:t>
      </w:r>
      <w:r w:rsidR="008E2DA1" w:rsidRPr="002B0E69">
        <w:rPr>
          <w:sz w:val="28"/>
          <w:szCs w:val="28"/>
        </w:rPr>
        <w:t xml:space="preserve">больше </w:t>
      </w:r>
      <w:r w:rsidR="00F17A9B" w:rsidRPr="002B0E69">
        <w:rPr>
          <w:sz w:val="28"/>
          <w:szCs w:val="28"/>
        </w:rPr>
        <w:t>по отношению к 2008 году.</w:t>
      </w:r>
      <w:r w:rsidR="00164040" w:rsidRPr="002B0E69">
        <w:rPr>
          <w:sz w:val="28"/>
          <w:szCs w:val="28"/>
        </w:rPr>
        <w:t xml:space="preserve"> В диаграмме 1 и 2, можно</w:t>
      </w:r>
      <w:r w:rsidR="00333288" w:rsidRPr="002B0E69">
        <w:rPr>
          <w:sz w:val="28"/>
          <w:szCs w:val="28"/>
        </w:rPr>
        <w:t xml:space="preserve"> наглядно</w:t>
      </w:r>
      <w:r w:rsidR="00164040" w:rsidRPr="002B0E69">
        <w:rPr>
          <w:sz w:val="28"/>
          <w:szCs w:val="28"/>
        </w:rPr>
        <w:t xml:space="preserve"> </w:t>
      </w:r>
      <w:r w:rsidR="00333288" w:rsidRPr="002B0E69">
        <w:rPr>
          <w:sz w:val="28"/>
          <w:szCs w:val="28"/>
        </w:rPr>
        <w:t>увидеть,</w:t>
      </w:r>
      <w:r w:rsidR="00164040" w:rsidRPr="002B0E69">
        <w:rPr>
          <w:sz w:val="28"/>
          <w:szCs w:val="28"/>
        </w:rPr>
        <w:t xml:space="preserve"> </w:t>
      </w:r>
      <w:r w:rsidR="00333288" w:rsidRPr="002B0E69">
        <w:rPr>
          <w:sz w:val="28"/>
          <w:szCs w:val="28"/>
        </w:rPr>
        <w:t xml:space="preserve">как происходит изменение этого показателя. </w:t>
      </w:r>
    </w:p>
    <w:p w:rsidR="00164040" w:rsidRPr="002B0E69" w:rsidRDefault="00164040" w:rsidP="002B0E69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</w:p>
    <w:p w:rsidR="00164040" w:rsidRDefault="002B0E69" w:rsidP="002B0E69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64040" w:rsidRPr="002B0E69">
        <w:rPr>
          <w:b/>
          <w:sz w:val="28"/>
          <w:szCs w:val="28"/>
        </w:rPr>
        <w:t xml:space="preserve"> Диагр.1 Межбюджетные трансферты в абсолютном выражении  Диагр.2 Межбюджетные трансферты в относительном выражении</w:t>
      </w:r>
    </w:p>
    <w:p w:rsidR="002B0E69" w:rsidRPr="002B0E69" w:rsidRDefault="002B0E69" w:rsidP="002B0E69">
      <w:pPr>
        <w:tabs>
          <w:tab w:val="left" w:pos="720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EB0751" w:rsidRPr="002B0E69" w:rsidRDefault="003A0087" w:rsidP="002B0E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241.5pt;height:218.25pt">
            <v:imagedata r:id="rId6" o:title=""/>
          </v:shape>
        </w:pict>
      </w:r>
      <w:r>
        <w:rPr>
          <w:sz w:val="28"/>
          <w:szCs w:val="28"/>
        </w:rPr>
        <w:pict>
          <v:shape id="_x0000_i1027" type="#_x0000_t75" style="width:231.75pt;height:218.25pt">
            <v:imagedata r:id="rId7" o:title=""/>
          </v:shape>
        </w:pict>
      </w:r>
    </w:p>
    <w:p w:rsidR="00E51DF0" w:rsidRPr="002B0E69" w:rsidRDefault="008E2DA1" w:rsidP="002B0E69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Это свидетельствует о финансировании бюджетов субъектов РФ</w:t>
      </w:r>
      <w:r w:rsidR="00F4503A" w:rsidRPr="002B0E69">
        <w:rPr>
          <w:sz w:val="28"/>
          <w:szCs w:val="28"/>
        </w:rPr>
        <w:t>.</w:t>
      </w:r>
      <w:r w:rsidRPr="002B0E69">
        <w:rPr>
          <w:sz w:val="28"/>
          <w:szCs w:val="28"/>
        </w:rPr>
        <w:t xml:space="preserve"> </w:t>
      </w:r>
      <w:r w:rsidR="000A1EA0" w:rsidRPr="002B0E69">
        <w:rPr>
          <w:sz w:val="28"/>
          <w:szCs w:val="28"/>
        </w:rPr>
        <w:t>Бюджетные ассигнования федерального бюджета по разделу «Межбюджетные трансферты» характеризуются следующими данными:</w:t>
      </w:r>
    </w:p>
    <w:p w:rsidR="002B0E69" w:rsidRDefault="002B0E69" w:rsidP="002B0E69">
      <w:pPr>
        <w:pStyle w:val="3"/>
        <w:spacing w:after="0" w:line="360" w:lineRule="auto"/>
        <w:ind w:left="0" w:firstLine="709"/>
        <w:jc w:val="both"/>
        <w:rPr>
          <w:b/>
          <w:sz w:val="28"/>
          <w:szCs w:val="28"/>
          <w:vertAlign w:val="subscript"/>
        </w:rPr>
      </w:pPr>
    </w:p>
    <w:p w:rsidR="00164040" w:rsidRPr="002B0E69" w:rsidRDefault="002B0E69" w:rsidP="002B0E69">
      <w:pPr>
        <w:pStyle w:val="3"/>
        <w:spacing w:after="0" w:line="360" w:lineRule="auto"/>
        <w:ind w:left="0" w:firstLine="709"/>
        <w:jc w:val="both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br w:type="page"/>
      </w:r>
      <w:r w:rsidR="00164040" w:rsidRPr="002B0E69">
        <w:rPr>
          <w:b/>
          <w:sz w:val="28"/>
          <w:szCs w:val="28"/>
          <w:vertAlign w:val="subscript"/>
        </w:rPr>
        <w:t>Таблица 2.1 Состав и структура межбюджетных трансферт</w:t>
      </w:r>
    </w:p>
    <w:tbl>
      <w:tblPr>
        <w:tblW w:w="955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3072"/>
        <w:gridCol w:w="1080"/>
        <w:gridCol w:w="1099"/>
        <w:gridCol w:w="1061"/>
        <w:gridCol w:w="1136"/>
        <w:gridCol w:w="1024"/>
        <w:gridCol w:w="1080"/>
      </w:tblGrid>
      <w:tr w:rsidR="00270977" w:rsidRPr="002B0E69">
        <w:trPr>
          <w:cantSplit/>
          <w:trHeight w:val="255"/>
        </w:trPr>
        <w:tc>
          <w:tcPr>
            <w:tcW w:w="307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sz w:val="20"/>
                <w:szCs w:val="20"/>
                <w:lang w:eastAsia="zh-CN"/>
              </w:rPr>
              <w:t>МЕЖБЮДЖЕТНЫЕ ТРАНСФЕРТЫ</w:t>
            </w: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2B0E69">
                <w:rPr>
                  <w:sz w:val="20"/>
                  <w:szCs w:val="20"/>
                  <w:lang w:eastAsia="zh-CN"/>
                </w:rPr>
                <w:t>2008 г</w:t>
              </w:r>
            </w:smartTag>
          </w:p>
        </w:tc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2B0E69">
                <w:rPr>
                  <w:sz w:val="20"/>
                  <w:szCs w:val="20"/>
                  <w:lang w:eastAsia="zh-CN"/>
                </w:rPr>
                <w:t>2009 г</w:t>
              </w:r>
            </w:smartTag>
          </w:p>
        </w:tc>
        <w:tc>
          <w:tcPr>
            <w:tcW w:w="210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B0E69">
                <w:rPr>
                  <w:sz w:val="20"/>
                  <w:szCs w:val="20"/>
                  <w:lang w:eastAsia="zh-CN"/>
                </w:rPr>
                <w:t>2010 г</w:t>
              </w:r>
            </w:smartTag>
          </w:p>
        </w:tc>
      </w:tr>
      <w:tr w:rsidR="007C7588" w:rsidRPr="002B0E69">
        <w:trPr>
          <w:trHeight w:val="374"/>
        </w:trPr>
        <w:tc>
          <w:tcPr>
            <w:tcW w:w="307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C7588" w:rsidRPr="002B0E69" w:rsidRDefault="007C7588" w:rsidP="002B0E69">
            <w:pPr>
              <w:spacing w:line="360" w:lineRule="auto"/>
              <w:jc w:val="both"/>
              <w:rPr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Сумма, млрд. руб.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Удельный вес,</w:t>
            </w:r>
            <w:r w:rsidR="00270977"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Сумма, млрд. 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Удельный вес,</w:t>
            </w:r>
            <w:r w:rsidR="00270977"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Сумма, млрд.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Удельный вес,</w:t>
            </w:r>
            <w:r w:rsidR="00270977"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2B0E69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%</w:t>
            </w:r>
          </w:p>
        </w:tc>
      </w:tr>
      <w:tr w:rsidR="007C7588" w:rsidRPr="002B0E69">
        <w:trPr>
          <w:trHeight w:val="149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rPr>
                <w:b/>
                <w:b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sz w:val="20"/>
                <w:szCs w:val="20"/>
                <w:lang w:eastAsia="zh-CN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sz w:val="20"/>
                <w:szCs w:val="20"/>
                <w:lang w:eastAsia="zh-CN"/>
              </w:rPr>
              <w:t>2 281,56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sz w:val="20"/>
                <w:szCs w:val="20"/>
                <w:lang w:eastAsia="zh-CN"/>
              </w:rPr>
              <w:t>100,00%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sz w:val="20"/>
                <w:szCs w:val="20"/>
                <w:lang w:eastAsia="zh-CN"/>
              </w:rPr>
              <w:t>2 423,12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sz w:val="20"/>
                <w:szCs w:val="20"/>
                <w:lang w:eastAsia="zh-CN"/>
              </w:rPr>
              <w:t>100,00%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sz w:val="20"/>
                <w:szCs w:val="20"/>
                <w:lang w:eastAsia="zh-CN"/>
              </w:rPr>
              <w:t>2 720,97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2B0E69">
              <w:rPr>
                <w:b/>
                <w:bCs/>
                <w:sz w:val="20"/>
                <w:szCs w:val="20"/>
                <w:lang w:eastAsia="zh-CN"/>
              </w:rPr>
              <w:t>100,00%</w:t>
            </w:r>
          </w:p>
        </w:tc>
      </w:tr>
      <w:tr w:rsidR="007C7588" w:rsidRPr="002B0E69">
        <w:trPr>
          <w:cantSplit/>
          <w:trHeight w:val="540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375,54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16,46%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392,67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16,21%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411,07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15,11%</w:t>
            </w:r>
          </w:p>
        </w:tc>
      </w:tr>
      <w:tr w:rsidR="007C7588" w:rsidRPr="002B0E69">
        <w:trPr>
          <w:cantSplit/>
          <w:trHeight w:val="686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317,19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13,90%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300,74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12,41%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234,25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8,61%</w:t>
            </w:r>
          </w:p>
        </w:tc>
      </w:tr>
      <w:tr w:rsidR="007C7588" w:rsidRPr="002B0E69">
        <w:trPr>
          <w:cantSplit/>
          <w:trHeight w:val="525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163,74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7,18%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175,97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7,26%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191,01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7,02%</w:t>
            </w:r>
          </w:p>
        </w:tc>
      </w:tr>
      <w:tr w:rsidR="007C7588" w:rsidRPr="002B0E69">
        <w:trPr>
          <w:cantSplit/>
          <w:trHeight w:val="160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69,75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3,06%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37,83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1,56%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43,86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1,61%</w:t>
            </w:r>
          </w:p>
        </w:tc>
      </w:tr>
      <w:tr w:rsidR="007C7588" w:rsidRPr="002B0E69">
        <w:trPr>
          <w:cantSplit/>
          <w:trHeight w:val="324"/>
        </w:trPr>
        <w:tc>
          <w:tcPr>
            <w:tcW w:w="30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Межбюджетные трансферты бюджетам государственных внебюджетных фондов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1 355,34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59,40%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1 515,90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62,56%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1 840,79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C7588" w:rsidRPr="002B0E69" w:rsidRDefault="007C7588" w:rsidP="002B0E69">
            <w:pPr>
              <w:spacing w:line="360" w:lineRule="auto"/>
              <w:jc w:val="center"/>
              <w:rPr>
                <w:sz w:val="20"/>
                <w:szCs w:val="20"/>
                <w:lang w:eastAsia="zh-CN"/>
              </w:rPr>
            </w:pPr>
            <w:r w:rsidRPr="002B0E69">
              <w:rPr>
                <w:sz w:val="20"/>
                <w:szCs w:val="20"/>
                <w:lang w:eastAsia="zh-CN"/>
              </w:rPr>
              <w:t>67,65%</w:t>
            </w:r>
          </w:p>
        </w:tc>
      </w:tr>
    </w:tbl>
    <w:p w:rsidR="002B0E69" w:rsidRDefault="002B0E69" w:rsidP="002B0E69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9D5528" w:rsidRPr="002B0E69" w:rsidRDefault="00F4503A" w:rsidP="002B0E69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Основную долю в этом разделе занимают «</w:t>
      </w:r>
      <w:r w:rsidRPr="002B0E69">
        <w:rPr>
          <w:sz w:val="28"/>
          <w:szCs w:val="28"/>
          <w:lang w:eastAsia="zh-CN"/>
        </w:rPr>
        <w:t>Межбюджетные трансферты бюджетам государственных внебюджетных фондов».</w:t>
      </w:r>
      <w:r w:rsidRPr="002B0E69">
        <w:rPr>
          <w:sz w:val="28"/>
          <w:szCs w:val="28"/>
        </w:rPr>
        <w:t xml:space="preserve"> </w:t>
      </w:r>
      <w:r w:rsidR="009D5528" w:rsidRPr="002B0E69">
        <w:rPr>
          <w:sz w:val="28"/>
          <w:szCs w:val="28"/>
        </w:rPr>
        <w:t>В среднесрочной перспективе прогнозируется рост объема межбюджетных трансфертов для перечисления государственным внебюджетным фондам.</w:t>
      </w:r>
      <w:r w:rsidRPr="002B0E69">
        <w:rPr>
          <w:sz w:val="28"/>
          <w:szCs w:val="28"/>
        </w:rPr>
        <w:t xml:space="preserve"> В динамике этот показатель </w:t>
      </w:r>
      <w:r w:rsidR="00A52BE5" w:rsidRPr="002B0E69">
        <w:rPr>
          <w:sz w:val="28"/>
          <w:szCs w:val="28"/>
        </w:rPr>
        <w:t>растет</w:t>
      </w:r>
      <w:r w:rsidRPr="002B0E69">
        <w:rPr>
          <w:sz w:val="28"/>
          <w:szCs w:val="28"/>
        </w:rPr>
        <w:t>.</w:t>
      </w:r>
      <w:r w:rsidR="009D5528" w:rsidRPr="002B0E69">
        <w:rPr>
          <w:sz w:val="28"/>
          <w:szCs w:val="28"/>
        </w:rPr>
        <w:t xml:space="preserve"> Это обусловлено необходимостью проведения дополнительных мер по укреплению и сбалансированности системы пенсионного обеспечения, решению задач, поставленных в Послании Президента РФ Федеральному Собранию РФ, по повышению размеров пенсий и пособий, усилению социальной направленности в отношении таких категорий граждан, как инвалиды, ветераны, реализации мероприятий, направленных на демографическое развитие страны и т.д.</w:t>
      </w:r>
      <w:r w:rsidRPr="002B0E69">
        <w:rPr>
          <w:sz w:val="28"/>
          <w:szCs w:val="28"/>
        </w:rPr>
        <w:t xml:space="preserve"> </w:t>
      </w:r>
      <w:r w:rsidR="00A52BE5" w:rsidRPr="002B0E69">
        <w:rPr>
          <w:sz w:val="28"/>
          <w:szCs w:val="28"/>
        </w:rPr>
        <w:t xml:space="preserve">В </w:t>
      </w:r>
      <w:r w:rsidRPr="002B0E69">
        <w:rPr>
          <w:sz w:val="28"/>
          <w:szCs w:val="28"/>
        </w:rPr>
        <w:t xml:space="preserve">целом </w:t>
      </w:r>
      <w:r w:rsidR="00A52BE5" w:rsidRPr="002B0E69">
        <w:rPr>
          <w:sz w:val="28"/>
          <w:szCs w:val="28"/>
        </w:rPr>
        <w:t>свидетельствует об</w:t>
      </w:r>
      <w:r w:rsidRPr="002B0E69">
        <w:rPr>
          <w:sz w:val="28"/>
          <w:szCs w:val="28"/>
        </w:rPr>
        <w:t xml:space="preserve"> увеличении расходования этих средств </w:t>
      </w:r>
      <w:r w:rsidR="00A52BE5" w:rsidRPr="002B0E69">
        <w:rPr>
          <w:sz w:val="28"/>
          <w:szCs w:val="28"/>
        </w:rPr>
        <w:t>самого</w:t>
      </w:r>
      <w:r w:rsidRPr="002B0E69">
        <w:rPr>
          <w:sz w:val="28"/>
          <w:szCs w:val="28"/>
        </w:rPr>
        <w:t xml:space="preserve"> раздел</w:t>
      </w:r>
      <w:r w:rsidR="00A52BE5" w:rsidRPr="002B0E69">
        <w:rPr>
          <w:sz w:val="28"/>
          <w:szCs w:val="28"/>
        </w:rPr>
        <w:t>а</w:t>
      </w:r>
      <w:r w:rsidRPr="002B0E69">
        <w:rPr>
          <w:sz w:val="28"/>
          <w:szCs w:val="28"/>
        </w:rPr>
        <w:t>.</w:t>
      </w:r>
    </w:p>
    <w:p w:rsidR="00F4503A" w:rsidRPr="002B0E69" w:rsidRDefault="00F4503A" w:rsidP="002B0E69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Что </w:t>
      </w:r>
      <w:r w:rsidR="00A52BE5" w:rsidRPr="002B0E69">
        <w:rPr>
          <w:sz w:val="28"/>
          <w:szCs w:val="28"/>
        </w:rPr>
        <w:t>характерно</w:t>
      </w:r>
      <w:r w:rsidRPr="002B0E69">
        <w:rPr>
          <w:sz w:val="28"/>
          <w:szCs w:val="28"/>
        </w:rPr>
        <w:t xml:space="preserve"> следующих 4-х подразделов,  то они </w:t>
      </w:r>
      <w:r w:rsidR="00A52BE5" w:rsidRPr="002B0E69">
        <w:rPr>
          <w:sz w:val="28"/>
          <w:szCs w:val="28"/>
        </w:rPr>
        <w:t>уменьшаются</w:t>
      </w:r>
      <w:r w:rsidRPr="002B0E69">
        <w:rPr>
          <w:sz w:val="28"/>
          <w:szCs w:val="28"/>
        </w:rPr>
        <w:t xml:space="preserve">. Это </w:t>
      </w:r>
      <w:r w:rsidR="00A52BE5" w:rsidRPr="002B0E69">
        <w:rPr>
          <w:sz w:val="28"/>
          <w:szCs w:val="28"/>
        </w:rPr>
        <w:t xml:space="preserve">говорит </w:t>
      </w:r>
      <w:r w:rsidRPr="002B0E69">
        <w:rPr>
          <w:sz w:val="28"/>
          <w:szCs w:val="28"/>
        </w:rPr>
        <w:t xml:space="preserve">о том, что государство </w:t>
      </w:r>
      <w:r w:rsidR="00A52BE5" w:rsidRPr="002B0E69">
        <w:rPr>
          <w:sz w:val="28"/>
          <w:szCs w:val="28"/>
        </w:rPr>
        <w:t xml:space="preserve">пытается </w:t>
      </w:r>
      <w:r w:rsidR="00107034" w:rsidRPr="002B0E69">
        <w:rPr>
          <w:sz w:val="28"/>
          <w:szCs w:val="28"/>
        </w:rPr>
        <w:t xml:space="preserve">сократить участие в финансировании </w:t>
      </w:r>
      <w:r w:rsidR="00A52BE5" w:rsidRPr="002B0E69">
        <w:rPr>
          <w:sz w:val="28"/>
          <w:szCs w:val="28"/>
        </w:rPr>
        <w:t>субъект</w:t>
      </w:r>
      <w:r w:rsidR="00107034" w:rsidRPr="002B0E69">
        <w:rPr>
          <w:sz w:val="28"/>
          <w:szCs w:val="28"/>
        </w:rPr>
        <w:t>ов</w:t>
      </w:r>
      <w:r w:rsidR="00A52BE5" w:rsidRPr="002B0E69">
        <w:rPr>
          <w:sz w:val="28"/>
          <w:szCs w:val="28"/>
        </w:rPr>
        <w:t xml:space="preserve"> РФ</w:t>
      </w:r>
      <w:r w:rsidR="00107034" w:rsidRPr="002B0E69">
        <w:rPr>
          <w:sz w:val="28"/>
          <w:szCs w:val="28"/>
        </w:rPr>
        <w:t>. Чтобы они</w:t>
      </w:r>
      <w:r w:rsidR="00A52BE5" w:rsidRPr="002B0E69">
        <w:rPr>
          <w:sz w:val="28"/>
          <w:szCs w:val="28"/>
        </w:rPr>
        <w:t xml:space="preserve"> </w:t>
      </w:r>
      <w:r w:rsidR="00107034" w:rsidRPr="002B0E69">
        <w:rPr>
          <w:sz w:val="28"/>
          <w:szCs w:val="28"/>
        </w:rPr>
        <w:t xml:space="preserve">находили </w:t>
      </w:r>
      <w:r w:rsidR="00A52BE5" w:rsidRPr="002B0E69">
        <w:rPr>
          <w:sz w:val="28"/>
          <w:szCs w:val="28"/>
        </w:rPr>
        <w:t>источники средств для сбалансированности их бюджетов, для осуществления федеральных целевых программ, тем самым сокращая долю участия в финансировании.</w:t>
      </w:r>
    </w:p>
    <w:p w:rsidR="00B96F40" w:rsidRPr="002B0E69" w:rsidRDefault="00107034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Вторым разделом, доля которого составляет 12,61% </w:t>
      </w:r>
      <w:r w:rsidR="009A6DF1" w:rsidRPr="002B0E69">
        <w:rPr>
          <w:sz w:val="28"/>
          <w:szCs w:val="28"/>
        </w:rPr>
        <w:t xml:space="preserve">от общей суммы расходов, </w:t>
      </w:r>
      <w:r w:rsidRPr="002B0E69">
        <w:rPr>
          <w:sz w:val="28"/>
          <w:szCs w:val="28"/>
        </w:rPr>
        <w:t xml:space="preserve">являются </w:t>
      </w:r>
      <w:r w:rsidRPr="002B0E69">
        <w:rPr>
          <w:b/>
          <w:bCs/>
          <w:i/>
          <w:iCs/>
          <w:color w:val="000000"/>
          <w:sz w:val="28"/>
          <w:szCs w:val="28"/>
        </w:rPr>
        <w:t>общегосударственные вопросы.</w:t>
      </w:r>
      <w:r w:rsidR="009A6DF1" w:rsidRPr="002B0E6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2B0E69">
        <w:rPr>
          <w:sz w:val="28"/>
          <w:szCs w:val="28"/>
        </w:rPr>
        <w:t>В динамике мы видим, что этот показатель в процентном соотношении снижается</w:t>
      </w:r>
      <w:r w:rsidR="00B96F40" w:rsidRPr="002B0E69">
        <w:rPr>
          <w:sz w:val="28"/>
          <w:szCs w:val="28"/>
        </w:rPr>
        <w:t xml:space="preserve">. </w:t>
      </w:r>
      <w:r w:rsidR="009A6DF1" w:rsidRPr="002B0E69">
        <w:rPr>
          <w:sz w:val="28"/>
          <w:szCs w:val="28"/>
        </w:rPr>
        <w:t>Прогнозируется, что в 2010 году сумма расходов составит 963,10 млрд. руб., что значительно увеличился по отношению к запланированному в 2008 году на  134,32 млрд. руб.. К основным подразделам можно отнести</w:t>
      </w:r>
      <w:r w:rsidR="00A8769B" w:rsidRPr="002B0E69">
        <w:rPr>
          <w:sz w:val="28"/>
          <w:szCs w:val="28"/>
        </w:rPr>
        <w:t xml:space="preserve"> бюджетные ассигнования на судебную систему, обеспечение деятельности финансовых, налоговых и таможенных органов и органов надзора, обслуживание государственного и муниципального долга и другие общегосударственные вопросы. Непосредственно увеличение заработной платы госслужащи</w:t>
      </w:r>
      <w:r w:rsidR="00B96F40" w:rsidRPr="002B0E69">
        <w:rPr>
          <w:sz w:val="28"/>
          <w:szCs w:val="28"/>
        </w:rPr>
        <w:t>м</w:t>
      </w:r>
      <w:r w:rsidR="00A8769B" w:rsidRPr="002B0E69">
        <w:rPr>
          <w:sz w:val="28"/>
          <w:szCs w:val="28"/>
        </w:rPr>
        <w:t xml:space="preserve"> (депутат</w:t>
      </w:r>
      <w:r w:rsidR="00B96F40" w:rsidRPr="002B0E69">
        <w:rPr>
          <w:sz w:val="28"/>
          <w:szCs w:val="28"/>
        </w:rPr>
        <w:t>ам</w:t>
      </w:r>
      <w:r w:rsidR="00A8769B" w:rsidRPr="002B0E69">
        <w:rPr>
          <w:sz w:val="28"/>
          <w:szCs w:val="28"/>
        </w:rPr>
        <w:t xml:space="preserve"> и их по</w:t>
      </w:r>
      <w:r w:rsidR="00B96F40" w:rsidRPr="002B0E69">
        <w:rPr>
          <w:sz w:val="28"/>
          <w:szCs w:val="28"/>
        </w:rPr>
        <w:t>мощникам</w:t>
      </w:r>
      <w:r w:rsidR="00A8769B" w:rsidRPr="002B0E69">
        <w:rPr>
          <w:sz w:val="28"/>
          <w:szCs w:val="28"/>
        </w:rPr>
        <w:t>,</w:t>
      </w:r>
      <w:r w:rsidR="00B96F40" w:rsidRPr="002B0E69">
        <w:rPr>
          <w:sz w:val="28"/>
          <w:szCs w:val="28"/>
        </w:rPr>
        <w:t xml:space="preserve"> судьям, увеличением компенсационных вознаграждений присяжным и арбитражным заседателям, помощников судей арбитражных судов, секретарей судебных заседаний арбитражных судов  и т.д.), проведение капитального ремонта административных зданий, обеспечение деятельности Счетной палаты Российской Федерации. И таких ассигнований в каждом подразделе очень много, что свидетельствует о росте этого показателя в целом.</w:t>
      </w:r>
    </w:p>
    <w:p w:rsidR="003D0959" w:rsidRPr="002B0E69" w:rsidRDefault="00B96F40" w:rsidP="002B0E69">
      <w:pPr>
        <w:pStyle w:val="NormalANX"/>
        <w:spacing w:before="0" w:after="0"/>
        <w:ind w:firstLine="709"/>
        <w:rPr>
          <w:szCs w:val="28"/>
        </w:rPr>
      </w:pPr>
      <w:r w:rsidRPr="002B0E69">
        <w:rPr>
          <w:b/>
          <w:bCs/>
          <w:i/>
          <w:iCs/>
          <w:szCs w:val="28"/>
        </w:rPr>
        <w:t>Национальная экономика</w:t>
      </w:r>
      <w:r w:rsidR="00B34BE1" w:rsidRPr="002B0E69">
        <w:rPr>
          <w:szCs w:val="28"/>
        </w:rPr>
        <w:t xml:space="preserve"> занимает третье место в  распределении бюджетных средств. Прогнозируется, что в 2008 году сумма составит 702,32 млрд. руб., в 2010 он снизится до 528,55 млрд.</w:t>
      </w:r>
      <w:r w:rsidR="007A1965" w:rsidRPr="002B0E69">
        <w:rPr>
          <w:szCs w:val="28"/>
        </w:rPr>
        <w:t xml:space="preserve"> </w:t>
      </w:r>
      <w:r w:rsidR="00B34BE1" w:rsidRPr="002B0E69">
        <w:rPr>
          <w:szCs w:val="28"/>
        </w:rPr>
        <w:t xml:space="preserve">руб. что существенно заметно в процентном соотношении на 4,16%. </w:t>
      </w:r>
    </w:p>
    <w:p w:rsidR="003D0959" w:rsidRPr="002B0E69" w:rsidRDefault="003D0959" w:rsidP="002B0E69">
      <w:pPr>
        <w:pStyle w:val="NormalANX"/>
        <w:spacing w:before="0" w:after="0"/>
        <w:ind w:firstLine="709"/>
        <w:rPr>
          <w:szCs w:val="28"/>
        </w:rPr>
      </w:pPr>
      <w:r w:rsidRPr="002B0E69">
        <w:rPr>
          <w:szCs w:val="28"/>
        </w:rPr>
        <w:t xml:space="preserve">К этому разделу относятся полномочия по регулированию и поддержке экономической деятельности, включая вопросы природопользования, развития инфраструктуры и природно-ресурсного потенциала, государственной поддержки отдельных отраслей экономики в основном отнесены к ведению Российской Федерации. </w:t>
      </w:r>
    </w:p>
    <w:p w:rsidR="003D0959" w:rsidRPr="002B0E69" w:rsidRDefault="003D0959" w:rsidP="002B0E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B0E69">
        <w:rPr>
          <w:sz w:val="28"/>
          <w:szCs w:val="28"/>
        </w:rPr>
        <w:t>Основное место в их структуре занимают бюджетные ассигнования на транспорт, воспроизводство минерально-сырьевой базы</w:t>
      </w:r>
      <w:r w:rsidR="00507004" w:rsidRPr="002B0E69">
        <w:rPr>
          <w:sz w:val="28"/>
          <w:szCs w:val="28"/>
        </w:rPr>
        <w:t>,</w:t>
      </w:r>
      <w:r w:rsidRPr="002B0E69">
        <w:rPr>
          <w:sz w:val="28"/>
          <w:szCs w:val="28"/>
        </w:rPr>
        <w:t xml:space="preserve"> сельское хозяйство и рыболовство, связь и информатику, </w:t>
      </w:r>
      <w:r w:rsidRPr="002B0E69">
        <w:rPr>
          <w:color w:val="000000"/>
          <w:sz w:val="28"/>
          <w:szCs w:val="28"/>
        </w:rPr>
        <w:t xml:space="preserve">другие вопросы в области национальной экономики. </w:t>
      </w:r>
    </w:p>
    <w:p w:rsidR="00B96F40" w:rsidRPr="002B0E69" w:rsidRDefault="003D0959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Данный показатель по прогнозу сейчас находится на 3 месте</w:t>
      </w:r>
      <w:r w:rsidR="00B34BE1" w:rsidRPr="002B0E69">
        <w:rPr>
          <w:sz w:val="28"/>
          <w:szCs w:val="28"/>
        </w:rPr>
        <w:t xml:space="preserve">, то уже в 2010 он </w:t>
      </w:r>
      <w:r w:rsidRPr="002B0E69">
        <w:rPr>
          <w:sz w:val="28"/>
          <w:szCs w:val="28"/>
        </w:rPr>
        <w:t xml:space="preserve">займет пятое место. </w:t>
      </w:r>
    </w:p>
    <w:p w:rsidR="003D0959" w:rsidRPr="002B0E69" w:rsidRDefault="008942A4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В</w:t>
      </w:r>
      <w:r w:rsidR="003D0959" w:rsidRPr="002B0E69">
        <w:rPr>
          <w:sz w:val="28"/>
          <w:szCs w:val="28"/>
        </w:rPr>
        <w:t xml:space="preserve"> 2010 году </w:t>
      </w:r>
      <w:r w:rsidRPr="002B0E69">
        <w:rPr>
          <w:sz w:val="28"/>
          <w:szCs w:val="28"/>
        </w:rPr>
        <w:t>произойдут изменения доли расходов в процентном соотнош</w:t>
      </w:r>
      <w:r w:rsidR="00695122" w:rsidRPr="002B0E69">
        <w:rPr>
          <w:sz w:val="28"/>
          <w:szCs w:val="28"/>
        </w:rPr>
        <w:t>ении от общего объема расходов</w:t>
      </w:r>
      <w:r w:rsidR="003D0959" w:rsidRPr="002B0E69">
        <w:rPr>
          <w:sz w:val="28"/>
          <w:szCs w:val="28"/>
        </w:rPr>
        <w:t>.</w:t>
      </w:r>
      <w:r w:rsidR="00695122" w:rsidRPr="002B0E69">
        <w:rPr>
          <w:sz w:val="28"/>
          <w:szCs w:val="28"/>
        </w:rPr>
        <w:t xml:space="preserve"> Неизменными лидерами остаются межбюджетные трансферты и общегосударственные вопросы на 3 месте</w:t>
      </w:r>
      <w:r w:rsidR="003D0959" w:rsidRPr="002B0E69">
        <w:rPr>
          <w:sz w:val="28"/>
          <w:szCs w:val="28"/>
        </w:rPr>
        <w:t xml:space="preserve"> </w:t>
      </w:r>
      <w:r w:rsidR="00695122" w:rsidRPr="002B0E69">
        <w:rPr>
          <w:sz w:val="28"/>
          <w:szCs w:val="28"/>
        </w:rPr>
        <w:t xml:space="preserve"> будет </w:t>
      </w:r>
      <w:r w:rsidR="003D0959" w:rsidRPr="002B0E69">
        <w:rPr>
          <w:b/>
          <w:bCs/>
          <w:i/>
          <w:iCs/>
          <w:sz w:val="28"/>
          <w:szCs w:val="28"/>
        </w:rPr>
        <w:t>национальная безопасность и правоохранительная деятельность</w:t>
      </w:r>
      <w:r w:rsidR="00695122" w:rsidRPr="002B0E69">
        <w:rPr>
          <w:bCs/>
          <w:iCs/>
          <w:sz w:val="28"/>
          <w:szCs w:val="28"/>
        </w:rPr>
        <w:t>, а</w:t>
      </w:r>
      <w:r w:rsidR="00695122" w:rsidRPr="002B0E69">
        <w:rPr>
          <w:b/>
          <w:bCs/>
          <w:i/>
          <w:iCs/>
          <w:sz w:val="28"/>
          <w:szCs w:val="28"/>
        </w:rPr>
        <w:t xml:space="preserve"> </w:t>
      </w:r>
      <w:r w:rsidR="00695122" w:rsidRPr="002B0E69">
        <w:rPr>
          <w:sz w:val="28"/>
          <w:szCs w:val="28"/>
        </w:rPr>
        <w:t>на 4 месте</w:t>
      </w:r>
      <w:r w:rsidR="003D0959" w:rsidRPr="002B0E69">
        <w:rPr>
          <w:sz w:val="28"/>
          <w:szCs w:val="28"/>
        </w:rPr>
        <w:t xml:space="preserve"> </w:t>
      </w:r>
      <w:r w:rsidR="003D0959" w:rsidRPr="002B0E69">
        <w:rPr>
          <w:b/>
          <w:bCs/>
          <w:i/>
          <w:iCs/>
          <w:sz w:val="28"/>
          <w:szCs w:val="28"/>
        </w:rPr>
        <w:t>национальная оборона</w:t>
      </w:r>
      <w:r w:rsidR="003D0959" w:rsidRPr="002B0E69">
        <w:rPr>
          <w:sz w:val="28"/>
          <w:szCs w:val="28"/>
        </w:rPr>
        <w:t xml:space="preserve">. </w:t>
      </w:r>
    </w:p>
    <w:p w:rsidR="00C114A6" w:rsidRPr="002B0E69" w:rsidRDefault="00C114A6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Оба эти раздела наращивают финансирование</w:t>
      </w:r>
      <w:r w:rsidR="00056755" w:rsidRPr="002B0E69">
        <w:rPr>
          <w:sz w:val="28"/>
          <w:szCs w:val="28"/>
        </w:rPr>
        <w:t xml:space="preserve">. </w:t>
      </w:r>
      <w:r w:rsidRPr="002B0E69">
        <w:rPr>
          <w:sz w:val="28"/>
          <w:szCs w:val="28"/>
        </w:rPr>
        <w:t>Рассмотрим ниже диаграмм</w:t>
      </w:r>
      <w:r w:rsidR="00C6344B" w:rsidRPr="002B0E69">
        <w:rPr>
          <w:sz w:val="28"/>
          <w:szCs w:val="28"/>
        </w:rPr>
        <w:t>ы</w:t>
      </w:r>
      <w:r w:rsidRPr="002B0E69">
        <w:rPr>
          <w:sz w:val="28"/>
          <w:szCs w:val="28"/>
        </w:rPr>
        <w:t>.</w:t>
      </w:r>
      <w:r w:rsidR="00507004" w:rsidRPr="002B0E69">
        <w:rPr>
          <w:sz w:val="28"/>
          <w:szCs w:val="28"/>
        </w:rPr>
        <w:t xml:space="preserve"> Мы видим, что такой показатель, как национальная оборона</w:t>
      </w:r>
      <w:r w:rsidR="00056755" w:rsidRPr="002B0E69">
        <w:rPr>
          <w:sz w:val="28"/>
          <w:szCs w:val="28"/>
        </w:rPr>
        <w:t xml:space="preserve"> (он отмечен ярко голубым цветом)</w:t>
      </w:r>
      <w:r w:rsidR="003F318E" w:rsidRPr="002B0E69">
        <w:rPr>
          <w:sz w:val="28"/>
          <w:szCs w:val="28"/>
        </w:rPr>
        <w:t xml:space="preserve"> имеет динамику роста, с 2008 года по 2010 год прогнозируется увеличение в сумме 87,09 млрд. руб.. А прогноз по разделу национальная безопасность и правоохранительная деятельность увеличится на </w:t>
      </w:r>
      <w:r w:rsidR="00E9455F" w:rsidRPr="002B0E69">
        <w:rPr>
          <w:sz w:val="28"/>
          <w:szCs w:val="28"/>
        </w:rPr>
        <w:t>171,61 млрд.руб. в 1,5 раза к 2008 году. В процентном соотношении происходят колебания, сначала он возрастает, потом падает. Это связано, как суммой всего расходов, так и с распределением средств по разделам.</w:t>
      </w:r>
    </w:p>
    <w:p w:rsidR="0053713A" w:rsidRPr="002B0E69" w:rsidRDefault="002B0E69" w:rsidP="002B0E69">
      <w:pPr>
        <w:spacing w:line="360" w:lineRule="auto"/>
        <w:ind w:firstLine="709"/>
        <w:jc w:val="both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br w:type="page"/>
      </w:r>
      <w:r w:rsidR="0053713A" w:rsidRPr="002B0E69">
        <w:rPr>
          <w:b/>
          <w:sz w:val="28"/>
          <w:szCs w:val="28"/>
          <w:vertAlign w:val="subscript"/>
        </w:rPr>
        <w:t>Диагр.3 Доля расходов федерального бюджета на 2008 год</w:t>
      </w:r>
      <w:r w:rsidR="005653D7" w:rsidRPr="002B0E69">
        <w:rPr>
          <w:b/>
          <w:sz w:val="28"/>
          <w:szCs w:val="28"/>
          <w:vertAlign w:val="subscript"/>
        </w:rPr>
        <w:t xml:space="preserve">                Диагр.4 Доля расходов федерального бюджета на 2010 год</w:t>
      </w:r>
    </w:p>
    <w:p w:rsidR="00370D8F" w:rsidRPr="002B0E69" w:rsidRDefault="003A0087" w:rsidP="002B0E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41.5pt;height:205.5pt">
            <v:imagedata r:id="rId8" o:title=""/>
          </v:shape>
        </w:pict>
      </w:r>
      <w:r>
        <w:rPr>
          <w:sz w:val="28"/>
          <w:szCs w:val="28"/>
        </w:rPr>
        <w:pict>
          <v:shape id="_x0000_i1029" type="#_x0000_t75" style="width:233.25pt;height:199.5pt">
            <v:imagedata r:id="rId9" o:title=""/>
          </v:shape>
        </w:pict>
      </w:r>
    </w:p>
    <w:p w:rsidR="00937194" w:rsidRPr="002B0E69" w:rsidRDefault="00E14C84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Следующим разделом, удельный вес которого снижается в общем объеме</w:t>
      </w:r>
      <w:r w:rsidR="008663B0" w:rsidRPr="002B0E69">
        <w:rPr>
          <w:sz w:val="28"/>
          <w:szCs w:val="28"/>
        </w:rPr>
        <w:t xml:space="preserve"> расходов</w:t>
      </w:r>
      <w:r w:rsidRPr="002B0E69">
        <w:rPr>
          <w:sz w:val="28"/>
          <w:szCs w:val="28"/>
        </w:rPr>
        <w:t xml:space="preserve">, является </w:t>
      </w:r>
      <w:r w:rsidRPr="002B0E69">
        <w:rPr>
          <w:b/>
          <w:i/>
          <w:sz w:val="28"/>
          <w:szCs w:val="28"/>
        </w:rPr>
        <w:t>образование</w:t>
      </w:r>
      <w:r w:rsidR="008663B0" w:rsidRPr="002B0E69">
        <w:rPr>
          <w:b/>
          <w:i/>
          <w:sz w:val="28"/>
          <w:szCs w:val="28"/>
        </w:rPr>
        <w:t xml:space="preserve">, </w:t>
      </w:r>
      <w:r w:rsidR="008663B0" w:rsidRPr="002B0E69">
        <w:rPr>
          <w:sz w:val="28"/>
          <w:szCs w:val="28"/>
        </w:rPr>
        <w:t>в 2008 году составит 4,68 %.  В</w:t>
      </w:r>
      <w:r w:rsidR="008942A4" w:rsidRPr="002B0E69">
        <w:rPr>
          <w:sz w:val="28"/>
          <w:szCs w:val="28"/>
        </w:rPr>
        <w:t xml:space="preserve"> </w:t>
      </w:r>
      <w:r w:rsidR="008663B0" w:rsidRPr="002B0E69">
        <w:rPr>
          <w:sz w:val="28"/>
          <w:szCs w:val="28"/>
        </w:rPr>
        <w:t>динамике этот показатель падает</w:t>
      </w:r>
      <w:r w:rsidR="00B32C85" w:rsidRPr="002B0E69">
        <w:rPr>
          <w:sz w:val="28"/>
          <w:szCs w:val="28"/>
        </w:rPr>
        <w:t xml:space="preserve">, </w:t>
      </w:r>
      <w:r w:rsidR="008663B0" w:rsidRPr="002B0E69">
        <w:rPr>
          <w:sz w:val="28"/>
          <w:szCs w:val="28"/>
        </w:rPr>
        <w:t xml:space="preserve"> к 200</w:t>
      </w:r>
      <w:r w:rsidR="00F12E56" w:rsidRPr="002B0E69">
        <w:rPr>
          <w:sz w:val="28"/>
          <w:szCs w:val="28"/>
        </w:rPr>
        <w:t>9</w:t>
      </w:r>
      <w:r w:rsidR="008663B0" w:rsidRPr="002B0E69">
        <w:rPr>
          <w:sz w:val="28"/>
          <w:szCs w:val="28"/>
        </w:rPr>
        <w:t xml:space="preserve"> году  </w:t>
      </w:r>
      <w:r w:rsidR="00F12E56" w:rsidRPr="002B0E69">
        <w:rPr>
          <w:sz w:val="28"/>
          <w:szCs w:val="28"/>
        </w:rPr>
        <w:t>он снизится на 0,47</w:t>
      </w:r>
      <w:r w:rsidR="008942A4" w:rsidRPr="002B0E69">
        <w:rPr>
          <w:sz w:val="28"/>
          <w:szCs w:val="28"/>
        </w:rPr>
        <w:t xml:space="preserve"> %. В</w:t>
      </w:r>
      <w:r w:rsidR="00B32C85" w:rsidRPr="002B0E69">
        <w:rPr>
          <w:sz w:val="28"/>
          <w:szCs w:val="28"/>
        </w:rPr>
        <w:t xml:space="preserve"> денежном выражен</w:t>
      </w:r>
      <w:r w:rsidR="00F12E56" w:rsidRPr="002B0E69">
        <w:rPr>
          <w:sz w:val="28"/>
          <w:szCs w:val="28"/>
        </w:rPr>
        <w:t xml:space="preserve">ии это показатель увеличивается. </w:t>
      </w:r>
      <w:r w:rsidR="005D6148" w:rsidRPr="002B0E69">
        <w:rPr>
          <w:sz w:val="28"/>
          <w:szCs w:val="28"/>
        </w:rPr>
        <w:t>Это связано с реализацией</w:t>
      </w:r>
      <w:r w:rsidR="00937194" w:rsidRPr="002B0E69">
        <w:rPr>
          <w:sz w:val="28"/>
          <w:szCs w:val="28"/>
        </w:rPr>
        <w:t xml:space="preserve"> национальн</w:t>
      </w:r>
      <w:r w:rsidR="005D6148" w:rsidRPr="002B0E69">
        <w:rPr>
          <w:sz w:val="28"/>
          <w:szCs w:val="28"/>
        </w:rPr>
        <w:t>ого</w:t>
      </w:r>
      <w:r w:rsidR="00937194" w:rsidRPr="002B0E69">
        <w:rPr>
          <w:sz w:val="28"/>
          <w:szCs w:val="28"/>
        </w:rPr>
        <w:t xml:space="preserve"> проект</w:t>
      </w:r>
      <w:r w:rsidR="005D6148" w:rsidRPr="002B0E69">
        <w:rPr>
          <w:sz w:val="28"/>
          <w:szCs w:val="28"/>
        </w:rPr>
        <w:t>а</w:t>
      </w:r>
      <w:r w:rsidR="00937194" w:rsidRPr="002B0E69">
        <w:rPr>
          <w:sz w:val="28"/>
          <w:szCs w:val="28"/>
        </w:rPr>
        <w:t xml:space="preserve"> «Образование», также увелич</w:t>
      </w:r>
      <w:r w:rsidR="00332107" w:rsidRPr="002B0E69">
        <w:rPr>
          <w:sz w:val="28"/>
          <w:szCs w:val="28"/>
        </w:rPr>
        <w:t>ением</w:t>
      </w:r>
      <w:r w:rsidR="00937194" w:rsidRPr="002B0E69">
        <w:rPr>
          <w:sz w:val="28"/>
          <w:szCs w:val="28"/>
        </w:rPr>
        <w:t xml:space="preserve"> заработн</w:t>
      </w:r>
      <w:r w:rsidR="00332107" w:rsidRPr="002B0E69">
        <w:rPr>
          <w:sz w:val="28"/>
          <w:szCs w:val="28"/>
        </w:rPr>
        <w:t>ой</w:t>
      </w:r>
      <w:r w:rsidR="00937194" w:rsidRPr="002B0E69">
        <w:rPr>
          <w:sz w:val="28"/>
          <w:szCs w:val="28"/>
        </w:rPr>
        <w:t xml:space="preserve">  плат</w:t>
      </w:r>
      <w:r w:rsidR="00332107" w:rsidRPr="002B0E69">
        <w:rPr>
          <w:sz w:val="28"/>
          <w:szCs w:val="28"/>
        </w:rPr>
        <w:t>ы</w:t>
      </w:r>
      <w:r w:rsidR="00937194" w:rsidRPr="002B0E69">
        <w:rPr>
          <w:sz w:val="28"/>
          <w:szCs w:val="28"/>
        </w:rPr>
        <w:t xml:space="preserve"> учителям. Направляются ассигнования на повышение квалификации и переподготовку работников федеральных бюджетных учреждений,</w:t>
      </w:r>
      <w:r w:rsidR="005D6148" w:rsidRPr="002B0E69">
        <w:rPr>
          <w:sz w:val="28"/>
          <w:szCs w:val="28"/>
        </w:rPr>
        <w:t xml:space="preserve"> реализация мер </w:t>
      </w:r>
      <w:r w:rsidR="00937194" w:rsidRPr="002B0E69">
        <w:rPr>
          <w:sz w:val="28"/>
          <w:szCs w:val="28"/>
        </w:rPr>
        <w:t>социальной защиты</w:t>
      </w:r>
      <w:r w:rsidR="005D6148" w:rsidRPr="002B0E69">
        <w:rPr>
          <w:sz w:val="28"/>
          <w:szCs w:val="28"/>
        </w:rPr>
        <w:t xml:space="preserve"> для детей-сирот и детей, оставшихся без попечения родителей, обучающихся в этих учреждениях,</w:t>
      </w:r>
      <w:r w:rsidR="00937194" w:rsidRPr="002B0E69">
        <w:rPr>
          <w:sz w:val="28"/>
          <w:szCs w:val="28"/>
        </w:rPr>
        <w:t xml:space="preserve"> ассигнования позволят обеспечить предоставление среднего профессионального образования </w:t>
      </w:r>
      <w:r w:rsidR="00332107" w:rsidRPr="002B0E69">
        <w:rPr>
          <w:sz w:val="28"/>
          <w:szCs w:val="28"/>
        </w:rPr>
        <w:t>студентам, высшего образования, а именно увеличение бюджетных мест.</w:t>
      </w:r>
    </w:p>
    <w:p w:rsidR="00056755" w:rsidRPr="002B0E69" w:rsidRDefault="002314FD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Раздел</w:t>
      </w:r>
      <w:r w:rsidRPr="002B0E69">
        <w:rPr>
          <w:b/>
          <w:i/>
          <w:sz w:val="28"/>
          <w:szCs w:val="28"/>
        </w:rPr>
        <w:t xml:space="preserve"> </w:t>
      </w:r>
      <w:r w:rsidR="00056755" w:rsidRPr="002B0E69">
        <w:rPr>
          <w:b/>
          <w:i/>
          <w:sz w:val="28"/>
          <w:szCs w:val="28"/>
        </w:rPr>
        <w:t>социальная</w:t>
      </w:r>
      <w:r w:rsidRPr="002B0E69">
        <w:rPr>
          <w:b/>
          <w:i/>
          <w:sz w:val="28"/>
          <w:szCs w:val="28"/>
        </w:rPr>
        <w:t xml:space="preserve"> </w:t>
      </w:r>
      <w:r w:rsidR="00056755" w:rsidRPr="002B0E69">
        <w:rPr>
          <w:b/>
          <w:i/>
          <w:sz w:val="28"/>
          <w:szCs w:val="28"/>
        </w:rPr>
        <w:t xml:space="preserve"> политика </w:t>
      </w:r>
      <w:r w:rsidR="00BD70E2" w:rsidRPr="002B0E69">
        <w:rPr>
          <w:sz w:val="28"/>
          <w:szCs w:val="28"/>
        </w:rPr>
        <w:t>имеет немаловажное значение, но его финансирование занимает не значительную долю в общем объеме расходов федерального бюджета.</w:t>
      </w:r>
      <w:r w:rsidRPr="002B0E69">
        <w:rPr>
          <w:sz w:val="28"/>
          <w:szCs w:val="28"/>
        </w:rPr>
        <w:t xml:space="preserve"> Согласно таблице №2 этот показатель наращивает свой потенциал,  спрогнозировано, что в 2008 году поступлений из федерального бюджета будет на сумму 270,86 млрд. руб., к 2010 году эта сумма увеличится </w:t>
      </w:r>
      <w:r w:rsidR="00F3569D" w:rsidRPr="002B0E69">
        <w:rPr>
          <w:sz w:val="28"/>
          <w:szCs w:val="28"/>
        </w:rPr>
        <w:t xml:space="preserve">на 125,68 млрд. руб. Финансирование осуществляются за счет субвенций Фонда компенсаций (раздел «Межбюджетные трансферты»). Рассмотрим ниже структуру этого раздела, основное место занимают </w:t>
      </w:r>
      <w:r w:rsidR="00BD70E2" w:rsidRPr="002B0E69">
        <w:rPr>
          <w:sz w:val="28"/>
          <w:szCs w:val="28"/>
        </w:rPr>
        <w:t>бюджетные ассигнования на пенсионное и социальное обеспечение</w:t>
      </w:r>
      <w:r w:rsidR="00F3569D" w:rsidRPr="002B0E69">
        <w:rPr>
          <w:sz w:val="28"/>
          <w:szCs w:val="28"/>
        </w:rPr>
        <w:t>.</w:t>
      </w:r>
      <w:r w:rsidR="00BD70E2" w:rsidRPr="002B0E69">
        <w:rPr>
          <w:sz w:val="28"/>
          <w:szCs w:val="28"/>
        </w:rPr>
        <w:t xml:space="preserve"> </w:t>
      </w:r>
    </w:p>
    <w:p w:rsidR="00056755" w:rsidRPr="002B0E69" w:rsidRDefault="005653D7" w:rsidP="002B0E69">
      <w:pPr>
        <w:spacing w:line="360" w:lineRule="auto"/>
        <w:ind w:firstLine="709"/>
        <w:jc w:val="center"/>
        <w:rPr>
          <w:b/>
          <w:sz w:val="28"/>
          <w:szCs w:val="28"/>
          <w:vertAlign w:val="subscript"/>
        </w:rPr>
      </w:pPr>
      <w:r w:rsidRPr="002B0E69">
        <w:rPr>
          <w:b/>
          <w:sz w:val="28"/>
          <w:szCs w:val="28"/>
          <w:vertAlign w:val="subscript"/>
        </w:rPr>
        <w:t>Таблица №2.2 Состав и структура статьи «социальная политика»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7"/>
        <w:gridCol w:w="1309"/>
        <w:gridCol w:w="1309"/>
        <w:gridCol w:w="1309"/>
      </w:tblGrid>
      <w:tr w:rsidR="00056755" w:rsidRPr="002B0E69">
        <w:trPr>
          <w:cantSplit/>
          <w:trHeight w:val="294"/>
        </w:trPr>
        <w:tc>
          <w:tcPr>
            <w:tcW w:w="5197" w:type="dxa"/>
            <w:vMerge w:val="restart"/>
          </w:tcPr>
          <w:p w:rsidR="00056755" w:rsidRPr="002B0E69" w:rsidRDefault="00056755" w:rsidP="002B0E69">
            <w:pPr>
              <w:pStyle w:val="8"/>
              <w:spacing w:line="360" w:lineRule="auto"/>
              <w:rPr>
                <w:sz w:val="20"/>
              </w:rPr>
            </w:pPr>
            <w:r w:rsidRPr="002B0E69">
              <w:rPr>
                <w:sz w:val="20"/>
              </w:rPr>
              <w:t>Подразделы</w:t>
            </w:r>
          </w:p>
        </w:tc>
        <w:tc>
          <w:tcPr>
            <w:tcW w:w="3926" w:type="dxa"/>
            <w:gridSpan w:val="3"/>
          </w:tcPr>
          <w:p w:rsidR="00056755" w:rsidRPr="002B0E69" w:rsidRDefault="00056755" w:rsidP="002B0E69">
            <w:pPr>
              <w:pStyle w:val="8"/>
              <w:spacing w:line="360" w:lineRule="auto"/>
              <w:rPr>
                <w:sz w:val="20"/>
              </w:rPr>
            </w:pPr>
            <w:r w:rsidRPr="002B0E69">
              <w:rPr>
                <w:sz w:val="20"/>
              </w:rPr>
              <w:t>Проект бюджета</w:t>
            </w:r>
          </w:p>
        </w:tc>
      </w:tr>
      <w:tr w:rsidR="00056755" w:rsidRPr="002B0E69">
        <w:trPr>
          <w:cantSplit/>
          <w:trHeight w:val="149"/>
        </w:trPr>
        <w:tc>
          <w:tcPr>
            <w:tcW w:w="5197" w:type="dxa"/>
            <w:vMerge/>
          </w:tcPr>
          <w:p w:rsidR="00056755" w:rsidRPr="002B0E69" w:rsidRDefault="00056755" w:rsidP="002B0E6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2008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2009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2010</w:t>
            </w:r>
          </w:p>
        </w:tc>
      </w:tr>
      <w:tr w:rsidR="00056755" w:rsidRPr="002B0E69">
        <w:trPr>
          <w:trHeight w:val="281"/>
        </w:trPr>
        <w:tc>
          <w:tcPr>
            <w:tcW w:w="5197" w:type="dxa"/>
          </w:tcPr>
          <w:p w:rsidR="00056755" w:rsidRPr="002B0E69" w:rsidRDefault="00056755" w:rsidP="002B0E6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80,3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81,7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80,6</w:t>
            </w:r>
          </w:p>
        </w:tc>
      </w:tr>
      <w:tr w:rsidR="00056755" w:rsidRPr="002B0E69">
        <w:trPr>
          <w:trHeight w:val="281"/>
        </w:trPr>
        <w:tc>
          <w:tcPr>
            <w:tcW w:w="5197" w:type="dxa"/>
          </w:tcPr>
          <w:p w:rsidR="00056755" w:rsidRPr="002B0E69" w:rsidRDefault="00056755" w:rsidP="002B0E6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1,5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1,3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1,3</w:t>
            </w:r>
          </w:p>
        </w:tc>
      </w:tr>
      <w:tr w:rsidR="00056755" w:rsidRPr="002B0E69">
        <w:trPr>
          <w:trHeight w:val="281"/>
        </w:trPr>
        <w:tc>
          <w:tcPr>
            <w:tcW w:w="5197" w:type="dxa"/>
          </w:tcPr>
          <w:p w:rsidR="00056755" w:rsidRPr="002B0E69" w:rsidRDefault="00056755" w:rsidP="002B0E6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17,8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16,7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17,8</w:t>
            </w:r>
          </w:p>
        </w:tc>
      </w:tr>
      <w:tr w:rsidR="00056755" w:rsidRPr="002B0E69">
        <w:trPr>
          <w:trHeight w:val="560"/>
        </w:trPr>
        <w:tc>
          <w:tcPr>
            <w:tcW w:w="5197" w:type="dxa"/>
          </w:tcPr>
          <w:p w:rsidR="00056755" w:rsidRPr="002B0E69" w:rsidRDefault="00056755" w:rsidP="002B0E6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Прикладные научные исследования в области социальной политики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0,1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0,0</w:t>
            </w:r>
          </w:p>
        </w:tc>
      </w:tr>
      <w:tr w:rsidR="00056755" w:rsidRPr="002B0E69">
        <w:trPr>
          <w:trHeight w:val="560"/>
        </w:trPr>
        <w:tc>
          <w:tcPr>
            <w:tcW w:w="5197" w:type="dxa"/>
          </w:tcPr>
          <w:p w:rsidR="00056755" w:rsidRPr="002B0E69" w:rsidRDefault="00056755" w:rsidP="002B0E6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0,4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0,3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0,3</w:t>
            </w:r>
          </w:p>
        </w:tc>
      </w:tr>
      <w:tr w:rsidR="00056755" w:rsidRPr="002B0E69">
        <w:trPr>
          <w:trHeight w:val="349"/>
        </w:trPr>
        <w:tc>
          <w:tcPr>
            <w:tcW w:w="5197" w:type="dxa"/>
          </w:tcPr>
          <w:p w:rsidR="00056755" w:rsidRPr="002B0E69" w:rsidRDefault="00056755" w:rsidP="002B0E6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 xml:space="preserve">Итого по разделу 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</w:t>
            </w:r>
          </w:p>
        </w:tc>
        <w:tc>
          <w:tcPr>
            <w:tcW w:w="1309" w:type="dxa"/>
          </w:tcPr>
          <w:p w:rsidR="00056755" w:rsidRPr="002B0E69" w:rsidRDefault="00056755" w:rsidP="002B0E6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E69">
              <w:rPr>
                <w:sz w:val="20"/>
                <w:szCs w:val="20"/>
              </w:rPr>
              <w:t>100,0</w:t>
            </w:r>
          </w:p>
        </w:tc>
      </w:tr>
    </w:tbl>
    <w:p w:rsidR="002B0E69" w:rsidRDefault="002B0E69" w:rsidP="002B0E69">
      <w:pPr>
        <w:spacing w:line="360" w:lineRule="auto"/>
        <w:ind w:firstLine="709"/>
        <w:jc w:val="both"/>
        <w:rPr>
          <w:sz w:val="28"/>
          <w:szCs w:val="28"/>
        </w:rPr>
      </w:pPr>
    </w:p>
    <w:p w:rsidR="007160CC" w:rsidRPr="002B0E69" w:rsidRDefault="00F3569D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Доля пенсионного обеспечения составляет</w:t>
      </w:r>
      <w:r w:rsidR="00127A3E" w:rsidRPr="002B0E69">
        <w:rPr>
          <w:sz w:val="28"/>
          <w:szCs w:val="28"/>
        </w:rPr>
        <w:t xml:space="preserve"> 80%  в общем объеме данного раздела.  В соответствии с этой таблицей показатель колеблется, в 2009 году он увеличивается на 1,4 %, а в 2010 снизится на 0,9% .</w:t>
      </w:r>
      <w:r w:rsidR="007160CC" w:rsidRPr="002B0E69">
        <w:rPr>
          <w:sz w:val="28"/>
          <w:szCs w:val="28"/>
        </w:rPr>
        <w:t xml:space="preserve"> По данному разделу осуществляется исполнение расходных обязательств Российской Федерации по пенсионному обеспечению "военных" пенсионеров и судей. Это </w:t>
      </w:r>
      <w:r w:rsidR="00127A3E" w:rsidRPr="002B0E69">
        <w:rPr>
          <w:sz w:val="28"/>
          <w:szCs w:val="28"/>
        </w:rPr>
        <w:t>связ</w:t>
      </w:r>
      <w:r w:rsidR="007160CC" w:rsidRPr="002B0E69">
        <w:rPr>
          <w:sz w:val="28"/>
          <w:szCs w:val="28"/>
        </w:rPr>
        <w:t>анно неп</w:t>
      </w:r>
      <w:r w:rsidR="00127A3E" w:rsidRPr="002B0E69">
        <w:rPr>
          <w:sz w:val="28"/>
          <w:szCs w:val="28"/>
        </w:rPr>
        <w:t>осредственно с</w:t>
      </w:r>
      <w:r w:rsidR="007160CC" w:rsidRPr="002B0E69">
        <w:rPr>
          <w:sz w:val="28"/>
          <w:szCs w:val="28"/>
        </w:rPr>
        <w:t xml:space="preserve"> увеличением </w:t>
      </w:r>
      <w:r w:rsidR="00127A3E" w:rsidRPr="002B0E69">
        <w:rPr>
          <w:sz w:val="28"/>
          <w:szCs w:val="28"/>
        </w:rPr>
        <w:t>пенсий,  рост</w:t>
      </w:r>
      <w:r w:rsidR="007160CC" w:rsidRPr="002B0E69">
        <w:rPr>
          <w:sz w:val="28"/>
          <w:szCs w:val="28"/>
        </w:rPr>
        <w:t>ом</w:t>
      </w:r>
      <w:r w:rsidR="00127A3E" w:rsidRPr="002B0E69">
        <w:rPr>
          <w:sz w:val="28"/>
          <w:szCs w:val="28"/>
        </w:rPr>
        <w:t xml:space="preserve"> численности пенсионеров</w:t>
      </w:r>
      <w:r w:rsidR="007160CC" w:rsidRPr="002B0E69">
        <w:rPr>
          <w:sz w:val="28"/>
          <w:szCs w:val="28"/>
        </w:rPr>
        <w:t xml:space="preserve">,  </w:t>
      </w:r>
      <w:r w:rsidRPr="002B0E69">
        <w:rPr>
          <w:sz w:val="28"/>
          <w:szCs w:val="28"/>
        </w:rPr>
        <w:t xml:space="preserve"> </w:t>
      </w:r>
      <w:r w:rsidR="007160CC" w:rsidRPr="002B0E69">
        <w:rPr>
          <w:sz w:val="28"/>
          <w:szCs w:val="28"/>
        </w:rPr>
        <w:t>увеличение расходов на выплату ежемесячного пожизненного содержания судьям и ежемесячной надбавки к заработной плате.</w:t>
      </w:r>
    </w:p>
    <w:p w:rsidR="002F140A" w:rsidRPr="002B0E69" w:rsidRDefault="007A1965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Согласно выше сказанному,  доля социального обеспечения занимает 17%. Ассигнования данного подраздела направляются на </w:t>
      </w:r>
      <w:r w:rsidR="002F140A" w:rsidRPr="002B0E69">
        <w:rPr>
          <w:sz w:val="28"/>
          <w:szCs w:val="28"/>
        </w:rPr>
        <w:t>выплату пособий по уходу за ребенком, выплату компенсации безработным гражданам, обеспечение инвалидов транспортными средствами и другие. Также в составе данного подраздела предусматриваются ассигнования на реализацию основных мероприятий приоритетного национального проекта «Доступное и комфортное жилье – гражданам России» в рамках федеральной целевой программы «Жилище» на 2002-2010 годы.</w:t>
      </w:r>
    </w:p>
    <w:p w:rsidR="007D038C" w:rsidRPr="002B0E69" w:rsidRDefault="002F140A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b/>
          <w:i/>
          <w:sz w:val="28"/>
          <w:szCs w:val="28"/>
        </w:rPr>
        <w:t>Здравоохранение и спорт</w:t>
      </w:r>
      <w:r w:rsidR="000E2193" w:rsidRPr="002B0E69">
        <w:rPr>
          <w:b/>
          <w:i/>
          <w:sz w:val="28"/>
          <w:szCs w:val="28"/>
        </w:rPr>
        <w:t xml:space="preserve"> –</w:t>
      </w:r>
      <w:r w:rsidRPr="002B0E69">
        <w:rPr>
          <w:sz w:val="28"/>
          <w:szCs w:val="28"/>
        </w:rPr>
        <w:t xml:space="preserve"> </w:t>
      </w:r>
      <w:r w:rsidR="000E2193" w:rsidRPr="002B0E69">
        <w:rPr>
          <w:sz w:val="28"/>
          <w:szCs w:val="28"/>
        </w:rPr>
        <w:t>э</w:t>
      </w:r>
      <w:r w:rsidRPr="002B0E69">
        <w:rPr>
          <w:sz w:val="28"/>
          <w:szCs w:val="28"/>
        </w:rPr>
        <w:t xml:space="preserve">то один из наиболее важных </w:t>
      </w:r>
      <w:r w:rsidR="000E2193" w:rsidRPr="002B0E69">
        <w:rPr>
          <w:sz w:val="28"/>
          <w:szCs w:val="28"/>
        </w:rPr>
        <w:t>показателей</w:t>
      </w:r>
      <w:r w:rsidRPr="002B0E69">
        <w:rPr>
          <w:sz w:val="28"/>
          <w:szCs w:val="28"/>
        </w:rPr>
        <w:t xml:space="preserve">, т.к. </w:t>
      </w:r>
      <w:r w:rsidR="007D038C" w:rsidRPr="002B0E69">
        <w:rPr>
          <w:sz w:val="28"/>
          <w:szCs w:val="28"/>
        </w:rPr>
        <w:t xml:space="preserve">от </w:t>
      </w:r>
      <w:r w:rsidR="00F6252F" w:rsidRPr="002B0E69">
        <w:rPr>
          <w:sz w:val="28"/>
          <w:szCs w:val="28"/>
        </w:rPr>
        <w:t>финансирования</w:t>
      </w:r>
      <w:r w:rsidR="000E2193" w:rsidRPr="002B0E69">
        <w:rPr>
          <w:sz w:val="28"/>
          <w:szCs w:val="28"/>
        </w:rPr>
        <w:t xml:space="preserve"> этого раздела</w:t>
      </w:r>
      <w:r w:rsidR="007D038C" w:rsidRPr="002B0E69">
        <w:rPr>
          <w:sz w:val="28"/>
          <w:szCs w:val="28"/>
        </w:rPr>
        <w:t xml:space="preserve"> </w:t>
      </w:r>
      <w:r w:rsidR="005653D7" w:rsidRPr="002B0E69">
        <w:rPr>
          <w:sz w:val="28"/>
          <w:szCs w:val="28"/>
        </w:rPr>
        <w:t xml:space="preserve">способность </w:t>
      </w:r>
      <w:r w:rsidR="007D038C" w:rsidRPr="002B0E69">
        <w:rPr>
          <w:sz w:val="28"/>
          <w:szCs w:val="28"/>
        </w:rPr>
        <w:t>населения страны</w:t>
      </w:r>
      <w:r w:rsidR="005653D7" w:rsidRPr="002B0E69">
        <w:rPr>
          <w:sz w:val="28"/>
          <w:szCs w:val="28"/>
        </w:rPr>
        <w:t xml:space="preserve"> участвовать во всех сферах производства.</w:t>
      </w:r>
      <w:r w:rsidR="007D038C" w:rsidRPr="002B0E69">
        <w:rPr>
          <w:sz w:val="28"/>
          <w:szCs w:val="28"/>
        </w:rPr>
        <w:t xml:space="preserve"> Т.е.  с помощью трудовых ресурсов, осуществляются все поставленные задачи государства, малых организаций, фабрик, заводов и т.д. </w:t>
      </w:r>
    </w:p>
    <w:p w:rsidR="002F140A" w:rsidRPr="002B0E69" w:rsidRDefault="007D038C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Прогнозируется, что в 2008 году объем расходов по данному разделу составит 211,69 млрд. руб., в 2009 году</w:t>
      </w:r>
      <w:r w:rsidR="006C492E" w:rsidRPr="002B0E69">
        <w:rPr>
          <w:sz w:val="28"/>
          <w:szCs w:val="28"/>
        </w:rPr>
        <w:t xml:space="preserve"> произойдет увеличение на 15</w:t>
      </w:r>
      <w:r w:rsidR="00F65AD6" w:rsidRPr="002B0E69">
        <w:rPr>
          <w:sz w:val="28"/>
          <w:szCs w:val="28"/>
        </w:rPr>
        <w:t>,8</w:t>
      </w:r>
      <w:r w:rsidR="006C492E" w:rsidRPr="002B0E69">
        <w:rPr>
          <w:sz w:val="28"/>
          <w:szCs w:val="28"/>
        </w:rPr>
        <w:t>%</w:t>
      </w:r>
      <w:r w:rsidR="00F65AD6" w:rsidRPr="002B0E69">
        <w:rPr>
          <w:sz w:val="28"/>
          <w:szCs w:val="28"/>
        </w:rPr>
        <w:t>, а в 2010 году на</w:t>
      </w:r>
      <w:r w:rsidRPr="002B0E69">
        <w:rPr>
          <w:sz w:val="28"/>
          <w:szCs w:val="28"/>
        </w:rPr>
        <w:t xml:space="preserve"> </w:t>
      </w:r>
      <w:r w:rsidR="00F65AD6" w:rsidRPr="002B0E69">
        <w:rPr>
          <w:sz w:val="28"/>
          <w:szCs w:val="28"/>
        </w:rPr>
        <w:t>39,5% .</w:t>
      </w:r>
    </w:p>
    <w:p w:rsidR="00F6252F" w:rsidRPr="002B0E69" w:rsidRDefault="00F65AD6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В соответствии с бюджетной устройством РФ, за каждым</w:t>
      </w:r>
      <w:r w:rsidR="00F6252F" w:rsidRPr="002B0E69">
        <w:rPr>
          <w:sz w:val="28"/>
          <w:szCs w:val="28"/>
        </w:rPr>
        <w:t xml:space="preserve"> </w:t>
      </w:r>
      <w:r w:rsidRPr="002B0E69">
        <w:rPr>
          <w:sz w:val="28"/>
          <w:szCs w:val="28"/>
        </w:rPr>
        <w:t xml:space="preserve">уровнем </w:t>
      </w:r>
      <w:r w:rsidR="00C175AB" w:rsidRPr="002B0E69">
        <w:rPr>
          <w:sz w:val="28"/>
          <w:szCs w:val="28"/>
        </w:rPr>
        <w:t>бюджетной</w:t>
      </w:r>
      <w:r w:rsidR="00F6252F" w:rsidRPr="002B0E69">
        <w:rPr>
          <w:sz w:val="28"/>
          <w:szCs w:val="28"/>
        </w:rPr>
        <w:t xml:space="preserve"> </w:t>
      </w:r>
      <w:r w:rsidR="00C175AB" w:rsidRPr="002B0E69">
        <w:rPr>
          <w:sz w:val="28"/>
          <w:szCs w:val="28"/>
        </w:rPr>
        <w:t>системы</w:t>
      </w:r>
      <w:r w:rsidR="002B0E69">
        <w:rPr>
          <w:sz w:val="28"/>
          <w:szCs w:val="28"/>
        </w:rPr>
        <w:t xml:space="preserve"> </w:t>
      </w:r>
      <w:r w:rsidR="00F6252F" w:rsidRPr="002B0E69">
        <w:rPr>
          <w:sz w:val="28"/>
          <w:szCs w:val="28"/>
        </w:rPr>
        <w:t>з</w:t>
      </w:r>
      <w:r w:rsidR="00C175AB" w:rsidRPr="002B0E69">
        <w:rPr>
          <w:sz w:val="28"/>
          <w:szCs w:val="28"/>
        </w:rPr>
        <w:t xml:space="preserve">акреплены полномочия </w:t>
      </w:r>
      <w:r w:rsidR="00F6252F" w:rsidRPr="002B0E69">
        <w:rPr>
          <w:sz w:val="28"/>
          <w:szCs w:val="28"/>
        </w:rPr>
        <w:t xml:space="preserve">за </w:t>
      </w:r>
      <w:r w:rsidR="00F6252F" w:rsidRPr="002B0E69">
        <w:rPr>
          <w:i/>
          <w:sz w:val="28"/>
          <w:szCs w:val="28"/>
        </w:rPr>
        <w:t>федеральными    органами</w:t>
      </w:r>
      <w:r w:rsidR="00F6252F" w:rsidRPr="002B0E69">
        <w:rPr>
          <w:sz w:val="28"/>
          <w:szCs w:val="28"/>
        </w:rPr>
        <w:t xml:space="preserve"> – оказание специализированной медицинской помощи в федеральных специализированных медицинских учреждениях, а также содержанию сборных команд Российской Федерации и их подготовке к спортивным соревнования, олимпиадам. </w:t>
      </w:r>
    </w:p>
    <w:p w:rsidR="00F6252F" w:rsidRPr="002B0E69" w:rsidRDefault="00F6252F" w:rsidP="002B0E6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B0E69">
        <w:rPr>
          <w:sz w:val="28"/>
          <w:szCs w:val="28"/>
        </w:rPr>
        <w:t xml:space="preserve"> За </w:t>
      </w:r>
      <w:r w:rsidRPr="002B0E69">
        <w:rPr>
          <w:i/>
          <w:sz w:val="28"/>
          <w:szCs w:val="28"/>
        </w:rPr>
        <w:t>органами государственной власти субъектов РФ</w:t>
      </w:r>
      <w:r w:rsidRPr="002B0E69">
        <w:rPr>
          <w:sz w:val="28"/>
          <w:szCs w:val="28"/>
        </w:rPr>
        <w:t xml:space="preserve"> – </w:t>
      </w:r>
      <w:r w:rsidRPr="002B0E69">
        <w:rPr>
          <w:snapToGrid w:val="0"/>
          <w:sz w:val="28"/>
          <w:szCs w:val="28"/>
        </w:rPr>
        <w:t xml:space="preserve">оказание   специализированной медицинской помощи в специализированных медицинских учреждениях, организация и осуществление региональных и межмуниципальных программ и проектов в области физической культуры и спорта. </w:t>
      </w:r>
    </w:p>
    <w:p w:rsidR="00F6252F" w:rsidRPr="002B0E69" w:rsidRDefault="00F6252F" w:rsidP="002B0E69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2B0E69">
        <w:rPr>
          <w:snapToGrid w:val="0"/>
          <w:sz w:val="28"/>
          <w:szCs w:val="28"/>
        </w:rPr>
        <w:t xml:space="preserve">К полномочиям </w:t>
      </w:r>
      <w:r w:rsidRPr="002B0E69">
        <w:rPr>
          <w:i/>
          <w:snapToGrid w:val="0"/>
          <w:sz w:val="28"/>
          <w:szCs w:val="28"/>
        </w:rPr>
        <w:t>органов местного самоуправления</w:t>
      </w:r>
      <w:r w:rsidRPr="002B0E69">
        <w:rPr>
          <w:snapToGrid w:val="0"/>
          <w:sz w:val="28"/>
          <w:szCs w:val="28"/>
        </w:rPr>
        <w:t xml:space="preserve"> отнесены вопросы организации оказания скорой медицинской помощи, первичной медико-санитарной помощи, медицинской помощи женщинам в период беременности, во время и после родов, а также  обеспечения условий для развития на территории районов, поселений и городских округов физической культуры и массового спорта, организации проведения официальных физкультурно-оздоровительных и спортивных мероприятий.</w:t>
      </w:r>
    </w:p>
    <w:p w:rsidR="000B0E7B" w:rsidRPr="002B0E69" w:rsidRDefault="00F6252F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Основные направления финансирования </w:t>
      </w:r>
      <w:r w:rsidR="000B0E7B" w:rsidRPr="002B0E69">
        <w:rPr>
          <w:sz w:val="28"/>
          <w:szCs w:val="28"/>
        </w:rPr>
        <w:t>«Здравоохранения»: п</w:t>
      </w:r>
      <w:r w:rsidRPr="002B0E69">
        <w:rPr>
          <w:sz w:val="28"/>
          <w:szCs w:val="28"/>
        </w:rPr>
        <w:t>овышение заработной платы медицинским работника</w:t>
      </w:r>
      <w:r w:rsidR="000B0E7B" w:rsidRPr="002B0E69">
        <w:rPr>
          <w:sz w:val="28"/>
          <w:szCs w:val="28"/>
        </w:rPr>
        <w:t>м</w:t>
      </w:r>
      <w:r w:rsidRPr="002B0E69">
        <w:rPr>
          <w:sz w:val="28"/>
          <w:szCs w:val="28"/>
        </w:rPr>
        <w:t>, оснащение поликлиник, больниц</w:t>
      </w:r>
      <w:r w:rsidR="000B0E7B" w:rsidRPr="002B0E69">
        <w:rPr>
          <w:sz w:val="28"/>
          <w:szCs w:val="28"/>
        </w:rPr>
        <w:t xml:space="preserve"> - </w:t>
      </w:r>
      <w:r w:rsidRPr="002B0E69">
        <w:rPr>
          <w:sz w:val="28"/>
          <w:szCs w:val="28"/>
        </w:rPr>
        <w:t xml:space="preserve"> мед. учреждений </w:t>
      </w:r>
      <w:r w:rsidR="000B0E7B" w:rsidRPr="002B0E69">
        <w:rPr>
          <w:sz w:val="28"/>
          <w:szCs w:val="28"/>
        </w:rPr>
        <w:t>новым оборудованием, закупки медикаментов и реализации приоритетного национального проекта «Здоровье». «Спорт и физкультур</w:t>
      </w:r>
      <w:r w:rsidR="001C3FA8" w:rsidRPr="002B0E69">
        <w:rPr>
          <w:sz w:val="28"/>
          <w:szCs w:val="28"/>
        </w:rPr>
        <w:t>а</w:t>
      </w:r>
      <w:r w:rsidR="000B0E7B" w:rsidRPr="002B0E69">
        <w:rPr>
          <w:sz w:val="28"/>
          <w:szCs w:val="28"/>
        </w:rPr>
        <w:t xml:space="preserve">» </w:t>
      </w:r>
      <w:r w:rsidR="001C3FA8" w:rsidRPr="002B0E69">
        <w:rPr>
          <w:sz w:val="28"/>
          <w:szCs w:val="28"/>
        </w:rPr>
        <w:t>-</w:t>
      </w:r>
      <w:r w:rsidR="000B0E7B" w:rsidRPr="002B0E69">
        <w:rPr>
          <w:sz w:val="28"/>
          <w:szCs w:val="28"/>
        </w:rPr>
        <w:t>проведение спортивных мероприятий и соревнований</w:t>
      </w:r>
      <w:r w:rsidR="001C3FA8" w:rsidRPr="002B0E69">
        <w:rPr>
          <w:sz w:val="28"/>
          <w:szCs w:val="28"/>
        </w:rPr>
        <w:t xml:space="preserve">, </w:t>
      </w:r>
      <w:r w:rsidR="000B0E7B" w:rsidRPr="002B0E69">
        <w:rPr>
          <w:sz w:val="28"/>
          <w:szCs w:val="28"/>
        </w:rPr>
        <w:t>содержание центров спортивной подготовки</w:t>
      </w:r>
      <w:r w:rsidR="001C3FA8" w:rsidRPr="002B0E69">
        <w:rPr>
          <w:sz w:val="28"/>
          <w:szCs w:val="28"/>
        </w:rPr>
        <w:t>,</w:t>
      </w:r>
      <w:r w:rsidR="000B0E7B" w:rsidRPr="002B0E69">
        <w:rPr>
          <w:sz w:val="28"/>
          <w:szCs w:val="28"/>
        </w:rPr>
        <w:t xml:space="preserve"> реализаци</w:t>
      </w:r>
      <w:r w:rsidR="001C3FA8" w:rsidRPr="002B0E69">
        <w:rPr>
          <w:sz w:val="28"/>
          <w:szCs w:val="28"/>
        </w:rPr>
        <w:t>я</w:t>
      </w:r>
      <w:r w:rsidR="000B0E7B" w:rsidRPr="002B0E69">
        <w:rPr>
          <w:sz w:val="28"/>
          <w:szCs w:val="28"/>
        </w:rPr>
        <w:t xml:space="preserve"> государственной программы «Патриотическое воспитание граждан РФ на 2006 - 2010 годы».</w:t>
      </w:r>
    </w:p>
    <w:p w:rsidR="003D0959" w:rsidRPr="002B0E69" w:rsidRDefault="00873FEE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Мене финансируемые разделы федерального бюджета, удельный вес которых от 0,14-1,3% в общем объеме расходов занимают: 1. </w:t>
      </w:r>
      <w:r w:rsidRPr="002B0E69">
        <w:rPr>
          <w:b/>
          <w:i/>
          <w:sz w:val="28"/>
          <w:szCs w:val="28"/>
        </w:rPr>
        <w:t>культура, кинематография и СМИ</w:t>
      </w:r>
      <w:r w:rsidRPr="002B0E69">
        <w:rPr>
          <w:sz w:val="28"/>
          <w:szCs w:val="28"/>
        </w:rPr>
        <w:t>; 2. ж</w:t>
      </w:r>
      <w:r w:rsidRPr="002B0E69">
        <w:rPr>
          <w:b/>
          <w:i/>
          <w:sz w:val="28"/>
          <w:szCs w:val="28"/>
        </w:rPr>
        <w:t>илищно-коммунальное хозяйство</w:t>
      </w:r>
      <w:r w:rsidRPr="002B0E69">
        <w:rPr>
          <w:sz w:val="28"/>
          <w:szCs w:val="28"/>
        </w:rPr>
        <w:t xml:space="preserve">; 3. </w:t>
      </w:r>
      <w:r w:rsidRPr="002B0E69">
        <w:rPr>
          <w:b/>
          <w:i/>
          <w:sz w:val="28"/>
          <w:szCs w:val="28"/>
        </w:rPr>
        <w:t xml:space="preserve">охрана </w:t>
      </w:r>
      <w:r w:rsidRPr="002B0E69">
        <w:rPr>
          <w:sz w:val="28"/>
          <w:szCs w:val="28"/>
        </w:rPr>
        <w:t>окружающей среды.</w:t>
      </w:r>
    </w:p>
    <w:p w:rsidR="00720783" w:rsidRPr="002B0E69" w:rsidRDefault="00873FEE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(1)</w:t>
      </w:r>
      <w:r w:rsidR="00720783" w:rsidRPr="002B0E69">
        <w:rPr>
          <w:sz w:val="28"/>
          <w:szCs w:val="28"/>
        </w:rPr>
        <w:t xml:space="preserve"> В 2008 году объем расходов по этому подразделу составит 83,81 млрд. руб., к 2010 году это показатель снизится на 22%</w:t>
      </w:r>
      <w:r w:rsidR="00240579" w:rsidRPr="002B0E69">
        <w:rPr>
          <w:sz w:val="28"/>
          <w:szCs w:val="28"/>
        </w:rPr>
        <w:t xml:space="preserve">, и в относительном выражении уменьшится от 1,28 до 0,84%. </w:t>
      </w:r>
      <w:r w:rsidR="00720783" w:rsidRPr="002B0E69">
        <w:rPr>
          <w:sz w:val="28"/>
          <w:szCs w:val="28"/>
        </w:rPr>
        <w:t>Сокращение объема и доли расходов, предусматриваемых на культуру, кинематографию и средства массовой информации, обусловлены уменьшением ассигнований, направляемых на проведении разовых мероприятий в сфере культуры и средств массовой информации, а также сокращением в 2009-2010 годах бюджетных ассигнований в рамках программы государственных внешних заимствований Российской Федерации.</w:t>
      </w:r>
    </w:p>
    <w:p w:rsidR="00240579" w:rsidRPr="002B0E69" w:rsidRDefault="00720783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(2) </w:t>
      </w:r>
      <w:r w:rsidR="00240579" w:rsidRPr="002B0E69">
        <w:rPr>
          <w:sz w:val="28"/>
          <w:szCs w:val="28"/>
        </w:rPr>
        <w:t>Доля этого показателя не значительна, сумма расходов в 2009 году 56,29 млрд. руб., к 2008 году показатель вырос на 1,73 млрд. руб., а к 2010 году снизился на 4,43 млрд. руб. Основные полномочия в сфере жилищно–коммунального хозяйства относятся к сфере ведения субъектов Российской Федерации и органов местного самоуправления.</w:t>
      </w:r>
    </w:p>
    <w:p w:rsidR="00B32C85" w:rsidRPr="002B0E69" w:rsidRDefault="00102C96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(3) Объем расходов данного  раздела, в динамике нам показывает увеличение. В 2008 году сумма составит 9,33 млрд. руб., а в 2010 году произойдет увеличение на </w:t>
      </w:r>
      <w:r w:rsidR="00D07B93" w:rsidRPr="002B0E69">
        <w:rPr>
          <w:sz w:val="28"/>
          <w:szCs w:val="28"/>
        </w:rPr>
        <w:t>17%. Основное место в их структуре занимают бюджетные ассигнования на гидрометеорологию и мониторинг окружающей среды.</w:t>
      </w:r>
    </w:p>
    <w:p w:rsidR="00DC3291" w:rsidRPr="002B0E69" w:rsidRDefault="00DC3291" w:rsidP="002B0E69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Согласно изменениям в </w:t>
      </w:r>
      <w:r w:rsidR="00B27265" w:rsidRPr="002B0E69">
        <w:rPr>
          <w:sz w:val="28"/>
          <w:szCs w:val="28"/>
        </w:rPr>
        <w:t xml:space="preserve">бюджетном законодательстве в структуре расходов в 2009 и 2010 году появится новая статья </w:t>
      </w:r>
      <w:r w:rsidR="00B27265" w:rsidRPr="002B0E69">
        <w:rPr>
          <w:b/>
          <w:i/>
          <w:sz w:val="28"/>
          <w:szCs w:val="28"/>
        </w:rPr>
        <w:t xml:space="preserve">условно утвержденные расходы. </w:t>
      </w:r>
      <w:r w:rsidR="00646EB3" w:rsidRPr="002B0E69">
        <w:rPr>
          <w:sz w:val="28"/>
          <w:szCs w:val="28"/>
        </w:rPr>
        <w:t xml:space="preserve">То есть некий объем средств, который не распределен по разделам и статьям, что даст возможность планировать новые возникающие обязательства. </w:t>
      </w:r>
      <w:r w:rsidR="00B27265" w:rsidRPr="002B0E69">
        <w:rPr>
          <w:sz w:val="28"/>
          <w:szCs w:val="28"/>
        </w:rPr>
        <w:t>В соответствии со статьей 1</w:t>
      </w:r>
      <w:r w:rsidR="00971C63" w:rsidRPr="002B0E69">
        <w:rPr>
          <w:sz w:val="28"/>
          <w:szCs w:val="28"/>
        </w:rPr>
        <w:t>99</w:t>
      </w:r>
      <w:r w:rsidR="00B27265" w:rsidRPr="002B0E69">
        <w:rPr>
          <w:sz w:val="28"/>
          <w:szCs w:val="28"/>
        </w:rPr>
        <w:t xml:space="preserve"> БК РФ, </w:t>
      </w:r>
      <w:r w:rsidR="00971C63" w:rsidRPr="002B0E69">
        <w:rPr>
          <w:sz w:val="28"/>
          <w:szCs w:val="28"/>
        </w:rPr>
        <w:t xml:space="preserve">эти расходы должны </w:t>
      </w:r>
      <w:r w:rsidR="00F63F4D" w:rsidRPr="002B0E69">
        <w:rPr>
          <w:sz w:val="28"/>
          <w:szCs w:val="28"/>
        </w:rPr>
        <w:t>составлять</w:t>
      </w:r>
      <w:r w:rsidR="00971C63" w:rsidRPr="002B0E69">
        <w:rPr>
          <w:sz w:val="28"/>
          <w:szCs w:val="28"/>
        </w:rPr>
        <w:t xml:space="preserve"> в объеме не мене 2,5% общего объема расходов федерального бюджета на первый год планового периода и не менее 5% общего объема расходов федерального бюджета на второй год  планового периода</w:t>
      </w:r>
      <w:r w:rsidR="00F63F4D" w:rsidRPr="002B0E69">
        <w:rPr>
          <w:sz w:val="28"/>
          <w:szCs w:val="28"/>
        </w:rPr>
        <w:t xml:space="preserve">. Из таблицы мы видим, что эти показатели и рассчитаны с учетом выше сказанного. Но  увеличение этого показателя может произойти при одном </w:t>
      </w:r>
      <w:r w:rsidR="0094003E" w:rsidRPr="002B0E69">
        <w:rPr>
          <w:sz w:val="28"/>
          <w:szCs w:val="28"/>
        </w:rPr>
        <w:t xml:space="preserve">условии </w:t>
      </w:r>
      <w:r w:rsidR="00F63F4D" w:rsidRPr="002B0E69">
        <w:rPr>
          <w:sz w:val="28"/>
          <w:szCs w:val="28"/>
        </w:rPr>
        <w:t xml:space="preserve">ст.213 БК РФ </w:t>
      </w:r>
      <w:r w:rsidR="0094003E" w:rsidRPr="002B0E69">
        <w:rPr>
          <w:sz w:val="28"/>
          <w:szCs w:val="28"/>
        </w:rPr>
        <w:t>гласит о том, что «в</w:t>
      </w:r>
      <w:r w:rsidR="00F63F4D" w:rsidRPr="002B0E69">
        <w:rPr>
          <w:sz w:val="28"/>
          <w:szCs w:val="28"/>
        </w:rPr>
        <w:t xml:space="preserve"> случае </w:t>
      </w:r>
      <w:r w:rsidR="00971C63" w:rsidRPr="002B0E69">
        <w:rPr>
          <w:sz w:val="28"/>
          <w:szCs w:val="28"/>
        </w:rPr>
        <w:t>увеличения</w:t>
      </w:r>
      <w:r w:rsidR="007D6AF0" w:rsidRPr="002B0E69">
        <w:rPr>
          <w:sz w:val="28"/>
          <w:szCs w:val="28"/>
        </w:rPr>
        <w:t xml:space="preserve"> общ</w:t>
      </w:r>
      <w:r w:rsidR="00971C63" w:rsidRPr="002B0E69">
        <w:rPr>
          <w:sz w:val="28"/>
          <w:szCs w:val="28"/>
        </w:rPr>
        <w:t>его</w:t>
      </w:r>
      <w:r w:rsidR="007D6AF0" w:rsidRPr="002B0E69">
        <w:rPr>
          <w:sz w:val="28"/>
          <w:szCs w:val="28"/>
        </w:rPr>
        <w:t xml:space="preserve"> объем</w:t>
      </w:r>
      <w:r w:rsidR="00971C63" w:rsidRPr="002B0E69">
        <w:rPr>
          <w:sz w:val="28"/>
          <w:szCs w:val="28"/>
        </w:rPr>
        <w:t>а</w:t>
      </w:r>
      <w:r w:rsidR="007D6AF0" w:rsidRPr="002B0E69">
        <w:rPr>
          <w:sz w:val="28"/>
          <w:szCs w:val="28"/>
        </w:rPr>
        <w:t xml:space="preserve"> доходов </w:t>
      </w:r>
      <w:r w:rsidR="00B27265" w:rsidRPr="002B0E69">
        <w:rPr>
          <w:sz w:val="28"/>
          <w:szCs w:val="28"/>
        </w:rPr>
        <w:t xml:space="preserve"> </w:t>
      </w:r>
      <w:r w:rsidRPr="002B0E69">
        <w:rPr>
          <w:sz w:val="28"/>
          <w:szCs w:val="28"/>
        </w:rPr>
        <w:t>федерально</w:t>
      </w:r>
      <w:r w:rsidR="007D6AF0" w:rsidRPr="002B0E69">
        <w:rPr>
          <w:sz w:val="28"/>
          <w:szCs w:val="28"/>
        </w:rPr>
        <w:t>го бюджета в плановом периоде (за исключением нефтегазовых доходов федерального бюджета и доходов от управления средствами Резервного фонда и Фонд</w:t>
      </w:r>
      <w:r w:rsidR="0094003E" w:rsidRPr="002B0E69">
        <w:rPr>
          <w:sz w:val="28"/>
          <w:szCs w:val="28"/>
        </w:rPr>
        <w:t xml:space="preserve">а национального благосостояния), указанное увеличение относится на сокращение дефицита федерального бюджета… и на </w:t>
      </w:r>
      <w:r w:rsidRPr="002B0E69">
        <w:rPr>
          <w:sz w:val="28"/>
          <w:szCs w:val="28"/>
        </w:rPr>
        <w:t xml:space="preserve"> </w:t>
      </w:r>
      <w:r w:rsidR="0094003E" w:rsidRPr="002B0E69">
        <w:rPr>
          <w:sz w:val="28"/>
          <w:szCs w:val="28"/>
        </w:rPr>
        <w:t>соответствующее увеличение условно утвержденных расходов»</w:t>
      </w:r>
    </w:p>
    <w:p w:rsidR="00B34BE1" w:rsidRPr="002B0E69" w:rsidRDefault="00D07B93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Последним разделом расходов федерального бюджета  является секретные статьи. Если говорить о содержание этого показателя, то это статьи, которые не оглашаются, и нет доступа к этой информации, а также средства, которые не разнесены по статьям</w:t>
      </w:r>
      <w:r w:rsidR="008952A4" w:rsidRPr="002B0E69">
        <w:rPr>
          <w:sz w:val="28"/>
          <w:szCs w:val="28"/>
        </w:rPr>
        <w:t>,</w:t>
      </w:r>
      <w:r w:rsidRPr="002B0E69">
        <w:rPr>
          <w:sz w:val="28"/>
          <w:szCs w:val="28"/>
        </w:rPr>
        <w:t xml:space="preserve"> в связи с поправками в федеральном законе «О федеральном бюджете на 2008 год и плановый период 2009 и 2010 годов». </w:t>
      </w:r>
      <w:r w:rsidR="008952A4" w:rsidRPr="002B0E69">
        <w:rPr>
          <w:sz w:val="28"/>
          <w:szCs w:val="28"/>
        </w:rPr>
        <w:t xml:space="preserve">Надо не забывать о том, что это данные прогнозируемые, и если произойдут изменения в экономике (высокий уровень инфляции, падение курса доллара и др.), то они повлияют на результативность. </w:t>
      </w:r>
      <w:r w:rsidRPr="002B0E69">
        <w:rPr>
          <w:sz w:val="28"/>
          <w:szCs w:val="28"/>
        </w:rPr>
        <w:t>Данный показатель</w:t>
      </w:r>
      <w:r w:rsidR="008952A4" w:rsidRPr="002B0E69">
        <w:rPr>
          <w:sz w:val="28"/>
          <w:szCs w:val="28"/>
        </w:rPr>
        <w:t xml:space="preserve"> имеет не значительную погрешность. Но в целом можно увидеть наращивание средств, как в относительном, так и в абсолютном выражении.</w:t>
      </w:r>
    </w:p>
    <w:p w:rsidR="00B82E82" w:rsidRPr="002B0E69" w:rsidRDefault="005653D7" w:rsidP="002B0E69">
      <w:pPr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Проанализировав данные таблицы №1 и №2. Можно сделать вывод, что б</w:t>
      </w:r>
      <w:r w:rsidR="00B82E82" w:rsidRPr="002B0E69">
        <w:rPr>
          <w:sz w:val="28"/>
          <w:szCs w:val="28"/>
        </w:rPr>
        <w:t>юджет Российской Федерации является важнейшим звеном финансовой системы страны. Отражая содержание процессов производства и распределения общественного продукта и национального дохода, бюджет представляет собой экономическую форму образования и использования основного централизованного фонда денежных средств государства.</w:t>
      </w:r>
    </w:p>
    <w:p w:rsidR="002C5051" w:rsidRPr="002B0E69" w:rsidRDefault="002C5051" w:rsidP="002B0E69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>Федеральный бюджет должен стать надежным инструментом реализации экономической и социальной политики Правительства РФ.</w:t>
      </w:r>
    </w:p>
    <w:p w:rsidR="00B96F40" w:rsidRPr="002B0E69" w:rsidRDefault="00E2387C" w:rsidP="002B0E69">
      <w:pPr>
        <w:pStyle w:val="aa"/>
        <w:spacing w:line="360" w:lineRule="auto"/>
        <w:ind w:firstLine="709"/>
        <w:jc w:val="both"/>
        <w:rPr>
          <w:sz w:val="28"/>
          <w:szCs w:val="28"/>
        </w:rPr>
      </w:pPr>
      <w:r w:rsidRPr="002B0E69">
        <w:rPr>
          <w:sz w:val="28"/>
          <w:szCs w:val="28"/>
        </w:rPr>
        <w:t xml:space="preserve">  </w:t>
      </w:r>
      <w:r w:rsidR="002C5051" w:rsidRPr="002B0E69">
        <w:rPr>
          <w:sz w:val="28"/>
          <w:szCs w:val="28"/>
        </w:rPr>
        <w:t>Важнейшая задача - обеспечить его прозрачность для всех членов общества. Необходимо добиться, чтобы федеральный бюджет стал средством стабилизации государственных финансов. Он должен превратиться в надежную опору и гаранта для всех определенных законом получателей средств. Решить названные задачи можно, лишь объединив усилия Президента Российской Федерации, Правительства Р</w:t>
      </w:r>
      <w:r w:rsidR="00E51DF0" w:rsidRPr="002B0E69">
        <w:rPr>
          <w:sz w:val="28"/>
          <w:szCs w:val="28"/>
        </w:rPr>
        <w:t xml:space="preserve">Ф </w:t>
      </w:r>
      <w:r w:rsidR="002C5051" w:rsidRPr="002B0E69">
        <w:rPr>
          <w:sz w:val="28"/>
          <w:szCs w:val="28"/>
        </w:rPr>
        <w:t>и палат Федерального Собрания. Это крайне важно с учетом особенности подготовки проекта федерального бюджета на 2008-2010 год - необходимости его принятия. Правительство РФ должно стать организующим центром этой работы.</w:t>
      </w:r>
      <w:r w:rsidR="00B96F40" w:rsidRPr="002B0E69">
        <w:rPr>
          <w:sz w:val="28"/>
          <w:szCs w:val="28"/>
        </w:rPr>
        <w:t xml:space="preserve"> </w:t>
      </w:r>
      <w:bookmarkStart w:id="0" w:name="_GoBack"/>
      <w:bookmarkEnd w:id="0"/>
    </w:p>
    <w:sectPr w:rsidR="00B96F40" w:rsidRPr="002B0E69" w:rsidSect="002B0E6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741D"/>
    <w:multiLevelType w:val="hybridMultilevel"/>
    <w:tmpl w:val="AC64FA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024206A"/>
    <w:multiLevelType w:val="hybridMultilevel"/>
    <w:tmpl w:val="B8F88012"/>
    <w:lvl w:ilvl="0" w:tplc="0778FE9E">
      <w:start w:val="1"/>
      <w:numFmt w:val="decimal"/>
      <w:lvlText w:val="%1."/>
      <w:lvlJc w:val="left"/>
      <w:pPr>
        <w:tabs>
          <w:tab w:val="num" w:pos="1454"/>
        </w:tabs>
        <w:ind w:left="1454" w:hanging="915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2">
    <w:nsid w:val="5CDC2691"/>
    <w:multiLevelType w:val="hybridMultilevel"/>
    <w:tmpl w:val="9C3061A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DC2"/>
    <w:rsid w:val="00034F2C"/>
    <w:rsid w:val="00056755"/>
    <w:rsid w:val="000904E6"/>
    <w:rsid w:val="000941E9"/>
    <w:rsid w:val="000A1EA0"/>
    <w:rsid w:val="000B0E7B"/>
    <w:rsid w:val="000D77C5"/>
    <w:rsid w:val="000E2193"/>
    <w:rsid w:val="000F6A8D"/>
    <w:rsid w:val="00101172"/>
    <w:rsid w:val="00102C96"/>
    <w:rsid w:val="00102FCE"/>
    <w:rsid w:val="00107034"/>
    <w:rsid w:val="00127A3E"/>
    <w:rsid w:val="001366D0"/>
    <w:rsid w:val="00147D81"/>
    <w:rsid w:val="00164040"/>
    <w:rsid w:val="00197FD7"/>
    <w:rsid w:val="001A0515"/>
    <w:rsid w:val="001C3FA8"/>
    <w:rsid w:val="00231245"/>
    <w:rsid w:val="002314FD"/>
    <w:rsid w:val="002322C3"/>
    <w:rsid w:val="00240579"/>
    <w:rsid w:val="00256BE7"/>
    <w:rsid w:val="00270977"/>
    <w:rsid w:val="002B0E69"/>
    <w:rsid w:val="002C5051"/>
    <w:rsid w:val="002F140A"/>
    <w:rsid w:val="003134E6"/>
    <w:rsid w:val="003317EA"/>
    <w:rsid w:val="00331818"/>
    <w:rsid w:val="00332107"/>
    <w:rsid w:val="00333288"/>
    <w:rsid w:val="00333F34"/>
    <w:rsid w:val="00337CC3"/>
    <w:rsid w:val="0035768E"/>
    <w:rsid w:val="00370D8F"/>
    <w:rsid w:val="003A0087"/>
    <w:rsid w:val="003A46BD"/>
    <w:rsid w:val="003D0959"/>
    <w:rsid w:val="003E5256"/>
    <w:rsid w:val="003F318E"/>
    <w:rsid w:val="00405DC2"/>
    <w:rsid w:val="0041252F"/>
    <w:rsid w:val="00424785"/>
    <w:rsid w:val="00427B9D"/>
    <w:rsid w:val="00454807"/>
    <w:rsid w:val="0045631B"/>
    <w:rsid w:val="004B0B9E"/>
    <w:rsid w:val="004E5247"/>
    <w:rsid w:val="004E77C7"/>
    <w:rsid w:val="00507004"/>
    <w:rsid w:val="0053713A"/>
    <w:rsid w:val="005653D7"/>
    <w:rsid w:val="00581EFB"/>
    <w:rsid w:val="005A3265"/>
    <w:rsid w:val="005D6148"/>
    <w:rsid w:val="00646EB3"/>
    <w:rsid w:val="006756A7"/>
    <w:rsid w:val="00677879"/>
    <w:rsid w:val="0069489D"/>
    <w:rsid w:val="00695122"/>
    <w:rsid w:val="006A0D1F"/>
    <w:rsid w:val="006C492E"/>
    <w:rsid w:val="006F71F2"/>
    <w:rsid w:val="006F764C"/>
    <w:rsid w:val="007160CC"/>
    <w:rsid w:val="007177F3"/>
    <w:rsid w:val="00720783"/>
    <w:rsid w:val="0073427D"/>
    <w:rsid w:val="00737B71"/>
    <w:rsid w:val="00752064"/>
    <w:rsid w:val="007A1965"/>
    <w:rsid w:val="007C7588"/>
    <w:rsid w:val="007D038C"/>
    <w:rsid w:val="007D6AF0"/>
    <w:rsid w:val="007E1B39"/>
    <w:rsid w:val="008124FB"/>
    <w:rsid w:val="00835462"/>
    <w:rsid w:val="008663B0"/>
    <w:rsid w:val="00873FEE"/>
    <w:rsid w:val="008942A4"/>
    <w:rsid w:val="008952A4"/>
    <w:rsid w:val="008A3545"/>
    <w:rsid w:val="008D33E6"/>
    <w:rsid w:val="008D7202"/>
    <w:rsid w:val="008E2DA1"/>
    <w:rsid w:val="009065C7"/>
    <w:rsid w:val="00937194"/>
    <w:rsid w:val="0094003E"/>
    <w:rsid w:val="0094232C"/>
    <w:rsid w:val="00963A51"/>
    <w:rsid w:val="00971C63"/>
    <w:rsid w:val="009919E8"/>
    <w:rsid w:val="009949D5"/>
    <w:rsid w:val="009A6DF1"/>
    <w:rsid w:val="009B7CA6"/>
    <w:rsid w:val="009D5528"/>
    <w:rsid w:val="009D62DE"/>
    <w:rsid w:val="009E067B"/>
    <w:rsid w:val="00A52BE5"/>
    <w:rsid w:val="00A579E5"/>
    <w:rsid w:val="00A66B21"/>
    <w:rsid w:val="00A82253"/>
    <w:rsid w:val="00A8769B"/>
    <w:rsid w:val="00AA4B66"/>
    <w:rsid w:val="00AF067C"/>
    <w:rsid w:val="00B208FB"/>
    <w:rsid w:val="00B24569"/>
    <w:rsid w:val="00B27265"/>
    <w:rsid w:val="00B32C85"/>
    <w:rsid w:val="00B34BE1"/>
    <w:rsid w:val="00B55E78"/>
    <w:rsid w:val="00B63DCB"/>
    <w:rsid w:val="00B82E82"/>
    <w:rsid w:val="00B94EE8"/>
    <w:rsid w:val="00B96F40"/>
    <w:rsid w:val="00BD70E2"/>
    <w:rsid w:val="00BE0FD1"/>
    <w:rsid w:val="00BF4690"/>
    <w:rsid w:val="00C114A6"/>
    <w:rsid w:val="00C175AB"/>
    <w:rsid w:val="00C60452"/>
    <w:rsid w:val="00C6344B"/>
    <w:rsid w:val="00CC1D5C"/>
    <w:rsid w:val="00D07B93"/>
    <w:rsid w:val="00D35787"/>
    <w:rsid w:val="00D402D5"/>
    <w:rsid w:val="00D528E4"/>
    <w:rsid w:val="00D620C9"/>
    <w:rsid w:val="00D70CCF"/>
    <w:rsid w:val="00D97A69"/>
    <w:rsid w:val="00DA13A9"/>
    <w:rsid w:val="00DC3291"/>
    <w:rsid w:val="00E14C84"/>
    <w:rsid w:val="00E2387C"/>
    <w:rsid w:val="00E44248"/>
    <w:rsid w:val="00E51C80"/>
    <w:rsid w:val="00E51DF0"/>
    <w:rsid w:val="00E9455F"/>
    <w:rsid w:val="00EA0B0D"/>
    <w:rsid w:val="00EB0751"/>
    <w:rsid w:val="00F12E56"/>
    <w:rsid w:val="00F17A9B"/>
    <w:rsid w:val="00F21AB9"/>
    <w:rsid w:val="00F25BC6"/>
    <w:rsid w:val="00F3569D"/>
    <w:rsid w:val="00F4503A"/>
    <w:rsid w:val="00F6252F"/>
    <w:rsid w:val="00F63DCA"/>
    <w:rsid w:val="00F63F4D"/>
    <w:rsid w:val="00F65AD6"/>
    <w:rsid w:val="00FC3CF6"/>
    <w:rsid w:val="00FC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155D053C-5416-4ED5-BCB2-E635E387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16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56755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1366D0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Normal (Web)"/>
    <w:basedOn w:val="a"/>
    <w:uiPriority w:val="99"/>
    <w:rsid w:val="00A579E5"/>
    <w:pPr>
      <w:spacing w:before="100" w:beforeAutospacing="1" w:after="100" w:afterAutospacing="1"/>
    </w:pPr>
    <w:rPr>
      <w:color w:val="000000"/>
    </w:rPr>
  </w:style>
  <w:style w:type="character" w:styleId="a6">
    <w:name w:val="Strong"/>
    <w:uiPriority w:val="22"/>
    <w:qFormat/>
    <w:rsid w:val="00256BE7"/>
    <w:rPr>
      <w:rFonts w:cs="Times New Roman"/>
      <w:b/>
      <w:bCs/>
    </w:rPr>
  </w:style>
  <w:style w:type="character" w:styleId="a7">
    <w:name w:val="Hyperlink"/>
    <w:uiPriority w:val="99"/>
    <w:rsid w:val="00256BE7"/>
    <w:rPr>
      <w:rFonts w:cs="Times New Roman"/>
      <w:color w:val="003399"/>
      <w:u w:val="single"/>
    </w:rPr>
  </w:style>
  <w:style w:type="paragraph" w:styleId="3">
    <w:name w:val="Body Text Indent 3"/>
    <w:basedOn w:val="a"/>
    <w:link w:val="30"/>
    <w:uiPriority w:val="99"/>
    <w:rsid w:val="000A1E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sz w:val="16"/>
      <w:szCs w:val="16"/>
    </w:rPr>
  </w:style>
  <w:style w:type="paragraph" w:customStyle="1" w:styleId="NormalANX">
    <w:name w:val="NormalANX"/>
    <w:basedOn w:val="a"/>
    <w:rsid w:val="00B34BE1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link w:val="a9"/>
    <w:uiPriority w:val="99"/>
    <w:rsid w:val="000B0E7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33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2C505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First Indent 2"/>
    <w:basedOn w:val="a8"/>
    <w:link w:val="24"/>
    <w:uiPriority w:val="99"/>
    <w:rsid w:val="002C5051"/>
    <w:pPr>
      <w:ind w:firstLine="210"/>
    </w:pPr>
  </w:style>
  <w:style w:type="character" w:customStyle="1" w:styleId="24">
    <w:name w:val="Красная строка 2 Знак"/>
    <w:link w:val="23"/>
    <w:uiPriority w:val="99"/>
    <w:semiHidden/>
  </w:style>
  <w:style w:type="paragraph" w:styleId="aa">
    <w:name w:val="header"/>
    <w:basedOn w:val="a"/>
    <w:link w:val="ab"/>
    <w:uiPriority w:val="99"/>
    <w:rsid w:val="002C50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  <w:style w:type="paragraph" w:customStyle="1" w:styleId="ConsPlusNormal">
    <w:name w:val="ConsPlusNormal"/>
    <w:rsid w:val="0045631B"/>
    <w:pPr>
      <w:ind w:firstLine="720"/>
    </w:pPr>
    <w:rPr>
      <w:rFonts w:ascii="Arial" w:hAnsi="Arial"/>
    </w:rPr>
  </w:style>
  <w:style w:type="paragraph" w:customStyle="1" w:styleId="ConsPlusTitle">
    <w:name w:val="ConsPlusTitle"/>
    <w:rsid w:val="000941E9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4384</Words>
  <Characters>24993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Управления, Бизнеса и Права</vt:lpstr>
    </vt:vector>
  </TitlesOfParts>
  <Company>2</Company>
  <LinksUpToDate>false</LinksUpToDate>
  <CharactersWithSpaces>29319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Управления, Бизнеса и Права</dc:title>
  <dc:subject/>
  <dc:creator>1</dc:creator>
  <cp:keywords/>
  <dc:description/>
  <cp:lastModifiedBy>admin</cp:lastModifiedBy>
  <cp:revision>2</cp:revision>
  <cp:lastPrinted>2008-03-12T20:33:00Z</cp:lastPrinted>
  <dcterms:created xsi:type="dcterms:W3CDTF">2014-02-21T07:58:00Z</dcterms:created>
  <dcterms:modified xsi:type="dcterms:W3CDTF">2014-02-21T07:58:00Z</dcterms:modified>
</cp:coreProperties>
</file>