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BA" w:rsidRPr="000D52BA" w:rsidRDefault="000D52BA" w:rsidP="000D52BA">
      <w:pPr>
        <w:spacing w:before="120"/>
        <w:jc w:val="center"/>
        <w:rPr>
          <w:b/>
          <w:bCs/>
          <w:sz w:val="32"/>
          <w:szCs w:val="32"/>
        </w:rPr>
      </w:pPr>
      <w:r w:rsidRPr="000D52BA">
        <w:rPr>
          <w:b/>
          <w:bCs/>
          <w:sz w:val="32"/>
          <w:szCs w:val="32"/>
        </w:rPr>
        <w:t xml:space="preserve">Оценка платежного баланса России за I квартал 2004 г.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2 апреля 2004 г. ЦБ РФ опубликовал предварительные данные по оценке платежного баланса РФ за I квартал 2004 г., согласно которым положительное сальдо счета текущих операций составило $11 млрд., что на 5,3% меньше по сравнению с соответствующим периодом 2003 г. (с учетом переоценки ЦБ РФ платежного баланса за 2003 г. и 2002 г.). Положительное сальдо торгового баланса по отношению к показателю I квартала 2003 г. выросло на 11,5% (с $15,3 млрд. до $17 млрд.), при этом экспорт вырос на 15,2% до $35,8 млрд., а импорт на 18,8% и составил $18,8 млрд. Доля нефти, нефтепродуктов и природного газа в общем объеме экспорта практически не изменилась по сравнению с прошлогодним значением и составляет порядка 59%. </w:t>
      </w:r>
    </w:p>
    <w:p w:rsidR="000D52BA" w:rsidRPr="000D52BA" w:rsidRDefault="00A535C7" w:rsidP="000D52B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3in">
            <v:imagedata r:id="rId4" o:title=""/>
          </v:shape>
        </w:pict>
      </w:r>
      <w:r w:rsidR="000D52BA" w:rsidRPr="000D52BA">
        <w:br/>
        <w:t xml:space="preserve">Источник: ЦБ РФ, расчеты РЭО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Дефицит счета операций с капиталом и финансовыми инструментами вырос в I квартале т.г. по сравнению с аналогичным периодом 2003 г. на 22,5% и составил $3 млрд.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Основной объем притока капитала в размере $5,5 млрд. приходится на нефинансовые предприятия, что на 38,4% больше, чем в I квартале 2003 г. Причем в 2,3 раза вырос объем прямых иностранных инвестиций ($2,8 млрд.), превысив впервые с III квартала 2001 г. объем привлеченных ссуд и займов ($2,7 млрд.), который сократился на 16,4%. Кроме того, в I квартале т.г. по сравнению с I кварталом 2003 г. на 24,7% сократился отток капитала из нефинансового сектора ($2,7 млрд.).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В банковский сектор приток капитала увеличился в I квартале т.г. более чем на 50% по сравнению с аналогичным периодом 2003 г. и составил $1 млрд. В то же время более чем в 10 раз вырос уровень вывоза капитала банками ($2,8 млрд.). Итого чистый официальный приток капитала в негосударственный сектор в I квартале т.г. составил $4,4 млрд., что на 5,3% ниже уровня I квартала 2003 г.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Всего общий чистый отток капитала из страны (сальдо официального и неофициального потоков) в I квартале т.г., по нашим оценкам, произведенным в соответствии с международной методологией МВФ, составил $0,2 млрд. (в I квартале 2003 г. наблюдался отток капитала из нефинансового сектора в размере $0,3 млрд.) (см. рисунок ниже), что схоже с оценками ЦБ РФ. В отношении к внешнеторговому обороту общий отток капитала сократился с 0,71% в I квартале 2003 г. до 0,37% в I квартале т.г. </w:t>
      </w:r>
    </w:p>
    <w:p w:rsidR="000D52BA" w:rsidRPr="000D52BA" w:rsidRDefault="00A535C7" w:rsidP="000D52BA">
      <w:pPr>
        <w:spacing w:before="120"/>
        <w:ind w:firstLine="567"/>
        <w:jc w:val="both"/>
      </w:pPr>
      <w:r>
        <w:pict>
          <v:shape id="_x0000_i1026" type="#_x0000_t75" style="width:5in;height:3in">
            <v:imagedata r:id="rId5" o:title=""/>
          </v:shape>
        </w:pict>
      </w:r>
      <w:r w:rsidR="000D52BA" w:rsidRPr="000D52BA">
        <w:br/>
        <w:t xml:space="preserve">Источник: ЦБ РФ, расчеты РЭО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Что касается неофициального оттока капитала (бегство капиталов), то данный показатель в I квартале т.г. незначительно снизился в абсолютном выражении по сравнению со значением I квартала 2003 г. (на 7,6%) и составил, по нашим оценкам, порядка $4,6 млрд. </w:t>
      </w:r>
    </w:p>
    <w:p w:rsidR="000D52BA" w:rsidRPr="000D52BA" w:rsidRDefault="00A535C7" w:rsidP="000D52BA">
      <w:pPr>
        <w:spacing w:before="120"/>
        <w:ind w:firstLine="567"/>
        <w:jc w:val="both"/>
      </w:pPr>
      <w:r>
        <w:pict>
          <v:shape id="_x0000_i1027" type="#_x0000_t75" style="width:5in;height:3in">
            <v:imagedata r:id="rId6" o:title=""/>
          </v:shape>
        </w:pict>
      </w:r>
      <w:r w:rsidR="000D52BA" w:rsidRPr="000D52BA">
        <w:br/>
        <w:t xml:space="preserve">Источник: ЦБ РФ, расчеты РЭО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В отношении к внешнеторговому обороту в I квартале т.г. снижение объема бегства капитала выглядит более существенным (с 10,6% в I квартале 2003 г. до 8,4% в I квартале т.г.), однако по-прежнему остается на довольно высоком уровне. Стоит также отметить, что показатели I квартала т.г. показывают, что сохраняется сложившаяся тенденция бегства капитала, когда в начале года объемы сокращаются и нарастают к концу года.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Вывод: Проведенный анализ показывает, что кардинальных изменений в вопросе притока/оттока капитала в страну в I квартале т.г. не произошло. Официальный приток капитала, как и ранее, компенсируется за счет сохранения на высоком уровне объемов бегства капитала. Как мы не раз писали, существующий уровень бегства капитала свидетельствует о том, что нормализация инвестиционного климата внутри страны недостаточна. В первую очередь речь идет о стимулировании инвестиций отечественного бизнеса в национальную экономику, в направлении которого серьезных продвижений не наблюдается.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Однако следует отметить и некоторые позитивные моменты, как существенный рост прямых иностранных инвестиций в нефинансовом секторе, в результате чего их доля превысила долю привлеченных ссуд и займов. В то же время, отметим, что: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  во-первых, это обусловлено несколькими сделками в корпоративном секторе и не отражает общую тенденцию привлечения капитала отечественными компаниями,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  во-вторых, высокие темпы прироста прямых иностранных инвестиций отталкиваются от низкой базы, а объемы в целом не соответствует масштабам российской экономики и по отношению к ВВП значительно ниже показателей ряда развивающихся и развитых стран.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В дальнейшем же при сохранении относительной политической стабильности следует ожидать улучшения ситуации в области притока/оттока капитала в страну, так как экономические показатели достаточно позитивны и наблюдается усиление интереса к России со стороны зарубежных инвесторов. Так, по нашим прогнозам, с большой вероятностью по итогам 2004 г. может произойти смена суммарного годового оттока капитала из страны на приток. Что касается бегства капитала, то вероятно в данном вопросе существенных позитивных изменений не будет. </w:t>
      </w:r>
    </w:p>
    <w:p w:rsidR="000D52BA" w:rsidRPr="000D52BA" w:rsidRDefault="000D52BA" w:rsidP="000D52BA">
      <w:pPr>
        <w:spacing w:before="120"/>
        <w:ind w:firstLine="567"/>
        <w:jc w:val="both"/>
      </w:pPr>
      <w:r w:rsidRPr="000D52BA">
        <w:t xml:space="preserve">Кроме того, при анализе платежного баланса, стоит отметить, что по-прежнему доходы от экспорта энергоносителей составляют более половины и из года в год наблюдается рост их доли в общей структуре экспорта. Все это по-прежнему свидетельствует о сохранении высокой зависимости экономики России от экспорта сырья и конъюнктуры цен на него. </w:t>
      </w:r>
    </w:p>
    <w:p w:rsidR="000D52BA" w:rsidRPr="000D52BA" w:rsidRDefault="000D52BA" w:rsidP="000D52BA">
      <w:pPr>
        <w:spacing w:before="120"/>
        <w:ind w:firstLine="567"/>
        <w:jc w:val="both"/>
      </w:pPr>
      <w:bookmarkStart w:id="0" w:name="_GoBack"/>
      <w:bookmarkEnd w:id="0"/>
    </w:p>
    <w:sectPr w:rsidR="000D52BA" w:rsidRPr="000D52BA" w:rsidSect="000D52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2BA"/>
    <w:rsid w:val="000D52BA"/>
    <w:rsid w:val="0062593D"/>
    <w:rsid w:val="008148F2"/>
    <w:rsid w:val="00961FDC"/>
    <w:rsid w:val="00A535C7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BE59551-CE02-4DD7-859A-0DEC6A7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D52BA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rsid w:val="000D52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3253</Words>
  <Characters>1855</Characters>
  <Application>Microsoft Office Word</Application>
  <DocSecurity>0</DocSecurity>
  <Lines>15</Lines>
  <Paragraphs>10</Paragraphs>
  <ScaleCrop>false</ScaleCrop>
  <Company>Home</Company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Оценка платежного баланса России за I квартал 2004 г</dc:title>
  <dc:subject/>
  <dc:creator>User</dc:creator>
  <cp:keywords/>
  <dc:description/>
  <cp:lastModifiedBy>admin</cp:lastModifiedBy>
  <cp:revision>2</cp:revision>
  <dcterms:created xsi:type="dcterms:W3CDTF">2014-01-25T21:45:00Z</dcterms:created>
  <dcterms:modified xsi:type="dcterms:W3CDTF">2014-01-25T21:45:00Z</dcterms:modified>
</cp:coreProperties>
</file>