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ppt" ContentType="application/vnd.ms-powerpoi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9C" w:rsidRPr="00476D9C" w:rsidRDefault="00476D9C" w:rsidP="00476D9C">
      <w:pPr>
        <w:spacing w:before="120"/>
        <w:jc w:val="center"/>
        <w:rPr>
          <w:b/>
          <w:bCs/>
          <w:sz w:val="32"/>
          <w:szCs w:val="32"/>
        </w:rPr>
      </w:pPr>
      <w:r w:rsidRPr="00476D9C">
        <w:rPr>
          <w:b/>
          <w:bCs/>
          <w:sz w:val="32"/>
          <w:szCs w:val="32"/>
        </w:rPr>
        <w:t>Предложения по идеологии технического регулирования в области использования атомной энергии</w:t>
      </w:r>
    </w:p>
    <w:p w:rsidR="00476D9C" w:rsidRPr="00476D9C" w:rsidRDefault="00476D9C" w:rsidP="00476D9C">
      <w:pPr>
        <w:spacing w:before="120"/>
        <w:jc w:val="center"/>
        <w:rPr>
          <w:sz w:val="28"/>
          <w:szCs w:val="28"/>
        </w:rPr>
      </w:pPr>
      <w:r w:rsidRPr="00476D9C">
        <w:rPr>
          <w:sz w:val="28"/>
          <w:szCs w:val="28"/>
        </w:rPr>
        <w:t>Б.Г. Гордон,</w:t>
      </w:r>
      <w:r>
        <w:rPr>
          <w:sz w:val="28"/>
          <w:szCs w:val="28"/>
        </w:rPr>
        <w:t xml:space="preserve"> </w:t>
      </w:r>
      <w:r w:rsidRPr="00476D9C">
        <w:rPr>
          <w:sz w:val="28"/>
          <w:szCs w:val="28"/>
        </w:rPr>
        <w:t>директор НТЦ ЯРБ, профессор МИФИ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Федеральный закон “О техническом регулировании” [1] содержит ряд неясных, неточных, а иногда ошибочных правовых норм. Попытка охватить все сферы технического регулирования и стремление ускорить его обсуждение в обществе привели к</w:t>
      </w:r>
      <w:r>
        <w:t xml:space="preserve"> </w:t>
      </w:r>
      <w:r w:rsidRPr="00476D9C">
        <w:t>несогласованным, не всегда увязанным между собой требованиям. По сути, это признано его авторами, которые уже подготовили уточнения и поправки к указанному закону. Но он вступил в силу с 1 июля 2003 г.,</w:t>
      </w:r>
      <w:r>
        <w:t xml:space="preserve"> </w:t>
      </w:r>
      <w:r w:rsidRPr="00476D9C">
        <w:t>нам всем предстоит его исполнять, и наша задача сегодня</w:t>
      </w:r>
      <w:r>
        <w:t xml:space="preserve"> </w:t>
      </w:r>
      <w:r w:rsidRPr="00476D9C">
        <w:t>- обсудить проблемы и договориться о совместных действиях по разработке технических регламентов (ТР).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Вступление в силу [1] совпало по времени с началом административной реформы [2], на мой взгляд,</w:t>
      </w:r>
      <w:r>
        <w:t xml:space="preserve"> </w:t>
      </w:r>
      <w:r w:rsidRPr="00476D9C">
        <w:t>не случайно. Обе реформы проводятся с весьма похожими по декларациям благими намерениями, с использованием международного опыта и рекомендаций и, в общем, одними и теми же структурами исполнительной власти. Попытка ряда ведущих ученых [3] исключить область</w:t>
      </w:r>
      <w:r>
        <w:t xml:space="preserve"> </w:t>
      </w:r>
      <w:r w:rsidRPr="00476D9C">
        <w:t>использования атомной энергии из сферы действия [1] не удалась, хотя в ее основе лежали вполне здравые соображения, что в этой наукоемкой передовой области уже сформирована система технического регулирования, которая соответствует отечественному законодательству, международным конвенциям и подкреплена опытом</w:t>
      </w:r>
      <w:r>
        <w:t xml:space="preserve"> </w:t>
      </w:r>
      <w:r w:rsidRPr="00476D9C">
        <w:t>эксплуатации и научно-техническими достижениями. Именно это позволило в [4] предложить систему нормативного регулирования ядерной и радиационной безопасности (ЯРБ) в качестве образца или первого приближения для создаваемой системы технического регулирования.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Последовательное исполнение [1] в лучшем случае требует согласования, если не перестройки действующей системы регулирования ЯРБ, то приведения ее в соответствие с создаваемой системой технических регламентов, согласования их понятийного и содержательного элементов. Это может быть осуществлено разными способами, и даже в нашем</w:t>
      </w:r>
      <w:r>
        <w:t xml:space="preserve"> </w:t>
      </w:r>
      <w:r w:rsidRPr="00476D9C">
        <w:t>небольшом институте существует несколько внутренне непротиворечивых, но различающихся между собой концепций такого согласования. По сути, это несколько идеологических, умозрительных построений, истинность</w:t>
      </w:r>
      <w:r>
        <w:t xml:space="preserve"> </w:t>
      </w:r>
      <w:r w:rsidRPr="00476D9C">
        <w:t>которых</w:t>
      </w:r>
      <w:r>
        <w:t xml:space="preserve"> </w:t>
      </w:r>
      <w:r w:rsidRPr="00476D9C">
        <w:t>может быть доказана только опытом, но опытом</w:t>
      </w:r>
      <w:r>
        <w:t xml:space="preserve"> </w:t>
      </w:r>
      <w:r w:rsidRPr="00476D9C">
        <w:t>реализации лишь одного</w:t>
      </w:r>
      <w:r>
        <w:t xml:space="preserve"> </w:t>
      </w:r>
      <w:r w:rsidRPr="00476D9C">
        <w:t>из них.</w:t>
      </w:r>
      <w:r>
        <w:t xml:space="preserve"> </w:t>
      </w:r>
      <w:r w:rsidRPr="00476D9C">
        <w:t>То есть, взявшись за осуществление одной из</w:t>
      </w:r>
      <w:r>
        <w:t xml:space="preserve"> </w:t>
      </w:r>
      <w:r w:rsidRPr="00476D9C">
        <w:t>концепций, мы можем получить результат, ухудшающий обеспечение ЯРБ действующих объектов, что недопустимо и противоречит нашей культуре безопасности. Поэтому так важно предварительное неспешное совместное обсуждение имеющихся вариантов всеми заинтересованными специалистами, организациями и ведомствами, среди которых в области ЯРБ основными являются Минатом, Госатомнадзор и Минздрав. Для такого обсуждения написана данная статья.</w:t>
      </w:r>
    </w:p>
    <w:p w:rsidR="00476D9C" w:rsidRDefault="00476D9C" w:rsidP="00476D9C">
      <w:pPr>
        <w:spacing w:before="120"/>
        <w:ind w:firstLine="567"/>
        <w:jc w:val="both"/>
      </w:pPr>
      <w:r w:rsidRPr="00476D9C">
        <w:t>1. Что мы имеем ?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Прежде всего надо иметь ясное представление о том, как выглядит существующая система нормативных документов по ЯРБ и как она может быть трансформирована в систему, содержащую ТР. Схематически это иллюстрирует рис. 1</w:t>
      </w:r>
      <w:r>
        <w:t xml:space="preserve"> </w:t>
      </w:r>
      <w:r w:rsidRPr="00476D9C">
        <w:t>до и после вступления в силу [1]. Специалистам не требуется расшифровка содержащихся на</w:t>
      </w:r>
      <w:r>
        <w:t xml:space="preserve"> </w:t>
      </w:r>
      <w:r w:rsidRPr="00476D9C">
        <w:t>рис. 1 понятий, которые уже давно прижились в нашей отрасли и многократно описаны, например, в [5].</w:t>
      </w:r>
    </w:p>
    <w:p w:rsidR="00476D9C" w:rsidRDefault="006210B9" w:rsidP="00476D9C">
      <w:pPr>
        <w:spacing w:before="120"/>
        <w:ind w:firstLine="567"/>
        <w:jc w:val="both"/>
      </w:pPr>
      <w:r w:rsidRPr="00476D9C">
        <w:object w:dxaOrig="7308" w:dyaOrig="5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5pt;height:273.75pt" o:ole="" fillcolor="window">
            <v:imagedata r:id="rId7" o:title="" grayscale="t" bilevel="t"/>
          </v:shape>
          <o:OLEObject Type="Embed" ProgID="PowerPoint.Slide.8" ShapeID="_x0000_i1025" DrawAspect="Content" ObjectID="_1452194604" r:id="rId8"/>
        </w:objec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Рис.1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Эти документы, на основании которых осуществляется регулирование ЯРБ,</w:t>
      </w:r>
      <w:r>
        <w:t xml:space="preserve"> </w:t>
      </w:r>
      <w:r w:rsidRPr="00476D9C">
        <w:t xml:space="preserve"> систематизированы Госатомнадзором в [6]. К их числу относятся федеральные нормы и правила (ФНП), обязательные для исполнения согласно [7], рекомендательные руководства по безопасности (РБ) и руководящие документы Госатомнадзора (РД). Статус последних двух определен в [6].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ФНП структурированы для различных объектов использования атомной энергии (ОИАЭ): атомных станций (АС), исследовательских ядерных установок (ИЯУ), ядерно-энергетических установок судов (ЯЭУС), объектов ядерного топливного цикла (ОЯТЦ), пунктов хранения радиоактивных отходов (ПХ РАО) и радиационных источников (РИ). Вместе с тем они относятся ко всем этапам жизненного цикла объектов в соответствии с [7],</w:t>
      </w:r>
      <w:r>
        <w:t xml:space="preserve"> </w:t>
      </w:r>
      <w:r w:rsidRPr="00476D9C">
        <w:t xml:space="preserve">к объектам в целом, их системам и оборудованию. 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Существующая система ФНП представлена в таблице. Она состоит из 85 документов,</w:t>
      </w:r>
      <w:r>
        <w:t xml:space="preserve"> </w:t>
      </w:r>
      <w:r w:rsidRPr="00476D9C">
        <w:t>из которых на 1 января 2004 г. 42 утверждены и 43 (в таблице заштрихованы)</w:t>
      </w:r>
      <w:r>
        <w:t xml:space="preserve"> </w:t>
      </w:r>
      <w:r w:rsidRPr="00476D9C">
        <w:t xml:space="preserve">находятся на различных стадиях разработки, которая должна быть завершена в 2005 г. В целом система ФНП в основном сформирована, что не исключает ее локальных изменений: может возникнуть необходимость в разработке или в прекращении действия отдельных документов. </w:t>
      </w:r>
    </w:p>
    <w:p w:rsidR="00476D9C" w:rsidRDefault="00476D9C" w:rsidP="00476D9C">
      <w:pPr>
        <w:spacing w:before="120"/>
        <w:ind w:firstLine="567"/>
        <w:jc w:val="both"/>
      </w:pPr>
      <w:r w:rsidRPr="00476D9C">
        <w:t>Это живая система, совершенствуемая по мере накопления опыта эксплуатации действующих объектов, проектирования будущих объектов, научно-технических достижений и развития международных рекомендаций. Именно ее имели в виду авторы [3], говоря, что в области использования атомной энергии разработана и апробирована система документов, подобную которой еще предстоит создать в ряде общепромышленных отраслей.</w:t>
      </w:r>
      <w:r>
        <w:t xml:space="preserve"> </w:t>
      </w:r>
      <w:r w:rsidRPr="00476D9C">
        <w:t>Разумеется, в ней есть противоречия, повторы и неточности, но в целом она доказала свою полезность и эффективность всем опытом ее использования в последние годы.</w:t>
      </w:r>
      <w:r>
        <w:t xml:space="preserve"> 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 xml:space="preserve">Таблица 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Система</w:t>
      </w:r>
      <w:r>
        <w:t xml:space="preserve"> </w:t>
      </w:r>
      <w:r w:rsidRPr="00476D9C">
        <w:t xml:space="preserve">федеральных норм и правил в области использования атомной энергии, утвержденных и разрабатываемых </w:t>
      </w:r>
      <w:r>
        <w:t>Г</w:t>
      </w:r>
      <w:r w:rsidRPr="00476D9C">
        <w:t xml:space="preserve">осатомнадзором </w:t>
      </w:r>
      <w:r>
        <w:t>Р</w:t>
      </w:r>
      <w:r w:rsidRPr="00476D9C">
        <w:t>оссии</w:t>
      </w:r>
    </w:p>
    <w:tbl>
      <w:tblPr>
        <w:tblW w:w="14142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6"/>
        <w:gridCol w:w="489"/>
        <w:gridCol w:w="2913"/>
        <w:gridCol w:w="708"/>
        <w:gridCol w:w="2977"/>
        <w:gridCol w:w="709"/>
        <w:gridCol w:w="2551"/>
        <w:gridCol w:w="709"/>
        <w:gridCol w:w="1985"/>
      </w:tblGrid>
      <w:tr w:rsidR="00476D9C" w:rsidRPr="00476D9C">
        <w:trPr>
          <w:cantSplit/>
          <w:tblHeader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Общие НД для всех ОИАЭ</w:t>
            </w:r>
          </w:p>
          <w:p w:rsidR="00476D9C" w:rsidRPr="00476D9C" w:rsidRDefault="00476D9C" w:rsidP="00476D9C">
            <w:pPr>
              <w:jc w:val="both"/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АС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ИЯУ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  <w:p w:rsidR="00476D9C" w:rsidRDefault="00476D9C" w:rsidP="00476D9C">
            <w:pPr>
              <w:jc w:val="both"/>
            </w:pPr>
            <w:r w:rsidRPr="00476D9C">
              <w:t>ЯЭУ судов</w:t>
            </w:r>
          </w:p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  <w:p w:rsidR="00476D9C" w:rsidRPr="00476D9C" w:rsidRDefault="00476D9C" w:rsidP="00476D9C">
            <w:pPr>
              <w:jc w:val="both"/>
            </w:pPr>
            <w:r w:rsidRPr="00476D9C">
              <w:t>ОПБ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Общие положения</w:t>
            </w:r>
            <w:r>
              <w:t xml:space="preserve"> </w:t>
            </w:r>
            <w:r w:rsidRPr="00476D9C">
              <w:t>обеспечения</w:t>
            </w:r>
            <w:r>
              <w:t xml:space="preserve"> </w:t>
            </w:r>
            <w:r w:rsidRPr="00476D9C">
              <w:t>безопасности</w:t>
            </w:r>
            <w:r>
              <w:t xml:space="preserve"> </w:t>
            </w:r>
            <w:r w:rsidRPr="00476D9C">
              <w:t>атомных</w:t>
            </w:r>
            <w:r>
              <w:t xml:space="preserve"> </w:t>
            </w:r>
            <w:r w:rsidRPr="00476D9C">
              <w:t>станций. ОПБ-88/97.</w:t>
            </w:r>
            <w:r>
              <w:t xml:space="preserve"> </w:t>
            </w:r>
            <w:r w:rsidRPr="00476D9C">
              <w:t xml:space="preserve"> </w:t>
            </w:r>
          </w:p>
          <w:p w:rsidR="00476D9C" w:rsidRPr="00476D9C" w:rsidRDefault="00476D9C" w:rsidP="00476D9C">
            <w:pPr>
              <w:jc w:val="both"/>
            </w:pPr>
            <w:r w:rsidRPr="00476D9C">
              <w:t>НП-001-97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Общие</w:t>
            </w:r>
            <w:r>
              <w:t xml:space="preserve"> </w:t>
            </w:r>
            <w:r w:rsidRPr="00476D9C">
              <w:t>положения обеспечения безопасности</w:t>
            </w:r>
            <w:r>
              <w:t xml:space="preserve"> </w:t>
            </w:r>
            <w:r w:rsidRPr="00476D9C">
              <w:t>исследовательских ядерных установок.</w:t>
            </w:r>
          </w:p>
          <w:p w:rsidR="00476D9C" w:rsidRPr="00476D9C" w:rsidRDefault="00476D9C" w:rsidP="00476D9C">
            <w:pPr>
              <w:jc w:val="both"/>
            </w:pPr>
            <w:r w:rsidRPr="00476D9C">
              <w:t>НП-033-01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Общие положения обеспечения безопасности ядерных энергетических установок судов. НП-022-2000</w:t>
            </w:r>
          </w:p>
        </w:tc>
      </w:tr>
      <w:tr w:rsidR="00476D9C" w:rsidRPr="00476D9C">
        <w:trPr>
          <w:cantSplit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76D9C" w:rsidRPr="00476D9C" w:rsidRDefault="00476D9C" w:rsidP="00476D9C">
            <w:pPr>
              <w:jc w:val="both"/>
            </w:pPr>
            <w:r w:rsidRPr="00476D9C">
              <w:t xml:space="preserve">Размещение, </w:t>
            </w:r>
          </w:p>
          <w:p w:rsidR="00476D9C" w:rsidRPr="00476D9C" w:rsidRDefault="00476D9C" w:rsidP="00476D9C">
            <w:pPr>
              <w:jc w:val="both"/>
            </w:pPr>
            <w:r w:rsidRPr="00476D9C">
              <w:t>проектирование, сооружение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76D9C" w:rsidRPr="00476D9C" w:rsidRDefault="00476D9C" w:rsidP="00476D9C">
            <w:pPr>
              <w:jc w:val="both"/>
            </w:pPr>
            <w:r w:rsidRPr="00476D9C">
              <w:t>Объект в целом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 xml:space="preserve">Учет внешних воздействий природного и техногенного происхождения на ядерно- и радиационно опасные объекты. ПНАЭ Г-05-35-94 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2.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программе обеспечения качества для атомных станций. НП-011-99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2.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программе обеспечения качества для исследовательских ядерных установок. НП-042-02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2.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программе обеспечения качества для ядерных</w:t>
            </w:r>
            <w:r>
              <w:t xml:space="preserve"> </w:t>
            </w:r>
            <w:r w:rsidRPr="00476D9C">
              <w:t>энергетических установок судов</w:t>
            </w: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2.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Основные правила по учету и контролю ядерных материалов.</w:t>
            </w:r>
          </w:p>
          <w:p w:rsidR="00476D9C" w:rsidRPr="00476D9C" w:rsidRDefault="00476D9C" w:rsidP="00476D9C">
            <w:pPr>
              <w:jc w:val="both"/>
            </w:pPr>
            <w:r w:rsidRPr="00476D9C">
              <w:t>НП-030-01</w:t>
            </w:r>
          </w:p>
        </w:tc>
        <w:tc>
          <w:tcPr>
            <w:tcW w:w="708" w:type="dxa"/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3.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проектирования атомных станций. Организационные процедуры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3.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Основные правила по учету и контролю радиоактивных веществ и радиоактивных отходов</w:t>
            </w:r>
          </w:p>
        </w:tc>
        <w:tc>
          <w:tcPr>
            <w:tcW w:w="708" w:type="dxa"/>
          </w:tcPr>
          <w:p w:rsidR="00476D9C" w:rsidRPr="00476D9C" w:rsidRDefault="00476D9C" w:rsidP="00476D9C">
            <w:pPr>
              <w:jc w:val="both"/>
            </w:pPr>
            <w:r w:rsidRPr="00476D9C">
              <w:t>4.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Размещение атомных станций.</w:t>
            </w:r>
            <w:r>
              <w:t xml:space="preserve"> </w:t>
            </w:r>
            <w:r w:rsidRPr="00476D9C">
              <w:t>Основные критерии и</w:t>
            </w:r>
            <w:r>
              <w:t xml:space="preserve"> </w:t>
            </w:r>
            <w:r w:rsidRPr="00476D9C">
              <w:t>требования</w:t>
            </w:r>
            <w:r>
              <w:t xml:space="preserve"> </w:t>
            </w:r>
            <w:r w:rsidRPr="00476D9C">
              <w:t>по обеспечению безопасности.</w:t>
            </w:r>
            <w:r>
              <w:t xml:space="preserve"> </w:t>
            </w:r>
            <w:r w:rsidRPr="00476D9C">
              <w:t xml:space="preserve"> НП-032-01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4.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физической защиты радиационных источников, пунктов хранения, радиоактивных веществ.</w:t>
            </w:r>
            <w:r>
              <w:t xml:space="preserve"> </w:t>
            </w:r>
            <w:r w:rsidRPr="00476D9C">
              <w:t>НП-034-01</w:t>
            </w:r>
          </w:p>
        </w:tc>
        <w:tc>
          <w:tcPr>
            <w:tcW w:w="708" w:type="dxa"/>
          </w:tcPr>
          <w:p w:rsidR="00476D9C" w:rsidRPr="00476D9C" w:rsidRDefault="00476D9C" w:rsidP="00476D9C">
            <w:pPr>
              <w:jc w:val="both"/>
            </w:pPr>
            <w:r w:rsidRPr="00476D9C">
              <w:t>5.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Нормы проектирования</w:t>
            </w:r>
            <w:r>
              <w:t xml:space="preserve"> </w:t>
            </w:r>
            <w:r w:rsidRPr="00476D9C">
              <w:t>сейсмостойких атомных станций.</w:t>
            </w:r>
            <w:r>
              <w:t xml:space="preserve"> </w:t>
            </w:r>
            <w:r w:rsidRPr="00476D9C">
              <w:t>НП-031-01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5.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отнесения ядерных материалов к радиоактивным отходам</w:t>
            </w:r>
          </w:p>
        </w:tc>
        <w:tc>
          <w:tcPr>
            <w:tcW w:w="708" w:type="dxa"/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6.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строительным конструкциям герметичного ограждения локализующих систем безопасности АС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6.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физической защиты радиоактивных веществ и радиационных источников при их транспортировании</w:t>
            </w:r>
          </w:p>
        </w:tc>
        <w:tc>
          <w:tcPr>
            <w:tcW w:w="708" w:type="dxa"/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7.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содержанию отчета по обоснованию безопасности АС с реакторами типа ВВЭР.</w:t>
            </w:r>
            <w:r>
              <w:t xml:space="preserve"> </w:t>
            </w:r>
            <w:r w:rsidRPr="00476D9C">
              <w:t>НП-006-98 (пересмотр)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3.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содержанию отчета по обоснованию безопасности исследовательских</w:t>
            </w:r>
            <w:r>
              <w:t xml:space="preserve"> </w:t>
            </w:r>
            <w:r w:rsidRPr="00476D9C">
              <w:t>ядерных установок. НП-049-03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3.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отчету по обоснованию безопасности ядерных энергетических установок судов.</w:t>
            </w:r>
            <w:r>
              <w:t xml:space="preserve"> </w:t>
            </w:r>
            <w:r w:rsidRPr="00476D9C">
              <w:t>НП-023-2000</w:t>
            </w: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8" w:type="dxa"/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8.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 xml:space="preserve">Требования к содержанию отчета по обоснованию безопасности АС с реакторами на быстрых нейтронах. НП-018-2000 </w:t>
            </w:r>
          </w:p>
          <w:p w:rsidR="00476D9C" w:rsidRPr="00476D9C" w:rsidRDefault="00476D9C" w:rsidP="00476D9C">
            <w:pPr>
              <w:jc w:val="both"/>
            </w:pPr>
            <w:r w:rsidRPr="00476D9C">
              <w:t>(пересмотр)</w:t>
            </w:r>
          </w:p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76D9C" w:rsidRPr="00476D9C" w:rsidRDefault="00476D9C" w:rsidP="00476D9C">
            <w:pPr>
              <w:jc w:val="both"/>
            </w:pPr>
            <w:r w:rsidRPr="00476D9C">
              <w:t>системы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7.</w:t>
            </w:r>
          </w:p>
          <w:p w:rsidR="00476D9C" w:rsidRPr="00476D9C" w:rsidRDefault="00476D9C" w:rsidP="00476D9C">
            <w:pPr>
              <w:jc w:val="both"/>
            </w:pPr>
          </w:p>
        </w:tc>
        <w:tc>
          <w:tcPr>
            <w:tcW w:w="2913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безопасности при хранении и транспортировании ядерного топлива на объектах атомной энергетики.</w:t>
            </w:r>
          </w:p>
          <w:p w:rsidR="00476D9C" w:rsidRPr="00476D9C" w:rsidRDefault="00476D9C" w:rsidP="00476D9C">
            <w:pPr>
              <w:jc w:val="both"/>
            </w:pPr>
            <w:r w:rsidRPr="00476D9C">
              <w:t>ПБ-ЯТ-ХТ-90.</w:t>
            </w:r>
          </w:p>
          <w:p w:rsidR="00476D9C" w:rsidRPr="00476D9C" w:rsidRDefault="00476D9C" w:rsidP="00476D9C">
            <w:pPr>
              <w:jc w:val="both"/>
            </w:pPr>
            <w:r w:rsidRPr="00476D9C">
              <w:t xml:space="preserve">ПНАЭ Г-14-029-91 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9.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ядерной безопасности</w:t>
            </w:r>
            <w:r>
              <w:t xml:space="preserve"> </w:t>
            </w:r>
            <w:r w:rsidRPr="00476D9C">
              <w:t xml:space="preserve"> реакторных</w:t>
            </w:r>
            <w:r>
              <w:t xml:space="preserve"> </w:t>
            </w:r>
            <w:r w:rsidRPr="00476D9C">
              <w:t xml:space="preserve"> установок</w:t>
            </w:r>
            <w:r>
              <w:t xml:space="preserve"> </w:t>
            </w:r>
            <w:r w:rsidRPr="00476D9C">
              <w:t>атомных</w:t>
            </w:r>
            <w:r>
              <w:t xml:space="preserve"> </w:t>
            </w:r>
            <w:r w:rsidRPr="00476D9C">
              <w:t>станций. ПБЯ РУ</w:t>
            </w:r>
            <w:r>
              <w:t xml:space="preserve"> </w:t>
            </w:r>
            <w:r w:rsidRPr="00476D9C">
              <w:t>АС-89.</w:t>
            </w:r>
            <w:r>
              <w:t xml:space="preserve"> </w:t>
            </w:r>
            <w:r w:rsidRPr="00476D9C">
              <w:t xml:space="preserve">ПНАЭ Г-1-024-90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4.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ядерной безопасности</w:t>
            </w:r>
            <w:r>
              <w:t xml:space="preserve"> </w:t>
            </w:r>
            <w:r w:rsidRPr="00476D9C">
              <w:t>исследовательских реакторов.</w:t>
            </w:r>
            <w:r>
              <w:t xml:space="preserve"> </w:t>
            </w:r>
            <w:r w:rsidRPr="00476D9C">
              <w:t>НП-009-98 (пересмотр)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4.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ядерной безопасности ядерных энергетических установок судов. НП-029-01</w:t>
            </w: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8.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системе физической защиты ядерных материалов, ядерных установок и пунктов хранения ядерных материалов</w:t>
            </w:r>
          </w:p>
        </w:tc>
        <w:tc>
          <w:tcPr>
            <w:tcW w:w="708" w:type="dxa"/>
          </w:tcPr>
          <w:p w:rsidR="00476D9C" w:rsidRPr="00476D9C" w:rsidRDefault="00476D9C" w:rsidP="00476D9C">
            <w:pPr>
              <w:jc w:val="both"/>
            </w:pPr>
            <w:r w:rsidRPr="00476D9C">
              <w:t>10.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устройства и эксплуатации</w:t>
            </w:r>
            <w:r>
              <w:t xml:space="preserve"> </w:t>
            </w:r>
            <w:r w:rsidRPr="00476D9C">
              <w:t>локализующих систем безопасности</w:t>
            </w:r>
            <w:r>
              <w:t xml:space="preserve"> </w:t>
            </w:r>
            <w:r w:rsidRPr="00476D9C">
              <w:t>атомных станций.</w:t>
            </w:r>
            <w:r>
              <w:t xml:space="preserve"> </w:t>
            </w:r>
            <w:r w:rsidRPr="00476D9C">
              <w:t>НП-010-98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5.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ядерной безопасности критических стендов. НП-008-98 (пересмотр)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8" w:type="dxa"/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11.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 xml:space="preserve">Требования к управляющим системам, важным для безопасности, атомных станций. </w:t>
            </w:r>
          </w:p>
          <w:p w:rsidR="00476D9C" w:rsidRPr="00476D9C" w:rsidRDefault="00476D9C" w:rsidP="00476D9C">
            <w:pPr>
              <w:jc w:val="both"/>
            </w:pPr>
            <w:r w:rsidRPr="00476D9C">
              <w:t>НП-026-01 (пересмотр)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6.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ядерной безопасности импульсных исследовательских ядерных реакторов. НП-048-03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8" w:type="dxa"/>
          </w:tcPr>
          <w:p w:rsidR="00476D9C" w:rsidRPr="00476D9C" w:rsidRDefault="00476D9C" w:rsidP="00476D9C">
            <w:pPr>
              <w:jc w:val="both"/>
            </w:pPr>
            <w:r w:rsidRPr="00476D9C">
              <w:t>12.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устройства и эксплуатации систем вентиляции, важных для безопасности, атомных станций. НП-036-02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7.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ядерной безопасности подкритических ядерных стендов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8" w:type="dxa"/>
          </w:tcPr>
          <w:p w:rsidR="00476D9C" w:rsidRPr="00476D9C" w:rsidRDefault="00476D9C" w:rsidP="00476D9C">
            <w:pPr>
              <w:jc w:val="both"/>
            </w:pPr>
            <w:r w:rsidRPr="00476D9C">
              <w:t>13.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обеспечения водородной взрывозащиты на атомной станции. НП-040-02</w:t>
            </w:r>
          </w:p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76D9C" w:rsidRPr="00476D9C" w:rsidRDefault="00476D9C" w:rsidP="00476D9C">
            <w:pPr>
              <w:jc w:val="both"/>
            </w:pPr>
            <w:r w:rsidRPr="00476D9C">
              <w:t>оборудование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9.</w:t>
            </w:r>
          </w:p>
        </w:tc>
        <w:tc>
          <w:tcPr>
            <w:tcW w:w="2913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устройству и безопасной эксплуатации грузоподъемных кранов для объектов использования атомной энергии. НП-043-03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5.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Нормы расчета на прочность элементов оборудования и трубопроводов для судовых атомных паропроизводящих установок с водо-водяными реакторами</w:t>
            </w: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10.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устройства и безопасной эксплуатации сосудов, работающих под давлением, для объектов использования атомной энергии. НП-044-03</w:t>
            </w:r>
          </w:p>
        </w:tc>
        <w:tc>
          <w:tcPr>
            <w:tcW w:w="708" w:type="dxa"/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14.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устройства и безопасной эксплуатации оборудования и трубопроводов атомных энергетических установок. ПНАЭ Г-7-008-89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11.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устройства и безопасной эксплуатации трубопроводов пара и горячей воды для объектов использования атомной энергии. НП-045-03</w:t>
            </w:r>
          </w:p>
        </w:tc>
        <w:tc>
          <w:tcPr>
            <w:tcW w:w="708" w:type="dxa"/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15.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Основные требования к уран-плутониевому (МОХ) топливу для АС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12.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устройства и безопасной эксплуатации паровых и водогрейных котлов для объектов использования атомной энергии. НП-046-03</w:t>
            </w:r>
          </w:p>
        </w:tc>
        <w:tc>
          <w:tcPr>
            <w:tcW w:w="708" w:type="dxa"/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16.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Арматура для оборудования.</w:t>
            </w:r>
            <w:r>
              <w:t xml:space="preserve"> </w:t>
            </w:r>
            <w:r w:rsidRPr="00476D9C">
              <w:t>Общие технические требования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sym w:font="Symbol" w:char="F0DC"/>
            </w:r>
            <w:r w:rsidRPr="00476D9C">
              <w:t xml:space="preserve"> см. АС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13.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Сбор, переработка, хранение и кондиционирование жидких радиоактивных отходов. Требования безопасности. НП-019-2000</w:t>
            </w:r>
          </w:p>
        </w:tc>
        <w:tc>
          <w:tcPr>
            <w:tcW w:w="708" w:type="dxa"/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17.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устройства и безопасной эксплуатации оборудования и изделий ядерных установок с водным теплоносителем плавучих атомных станций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14.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Сбор, переработка, хранение и кондиционирование твердых радиоактивных отходов. Требования</w:t>
            </w:r>
            <w:r>
              <w:t xml:space="preserve"> </w:t>
            </w:r>
            <w:r w:rsidRPr="00476D9C">
              <w:t>безопасности. НП-020-2000</w:t>
            </w:r>
          </w:p>
        </w:tc>
        <w:tc>
          <w:tcPr>
            <w:tcW w:w="708" w:type="dxa"/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15.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Обращение с газообразными радиоактивными отходами. Требования безопасности. НП-021-2000</w:t>
            </w:r>
          </w:p>
        </w:tc>
        <w:tc>
          <w:tcPr>
            <w:tcW w:w="708" w:type="dxa"/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  <w:trHeight w:val="475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16.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 xml:space="preserve">Требования к условиям поставки оборудования, обеспечивающего ядерную и радиационную безопасность объектов использования атомной энергии </w:t>
            </w:r>
          </w:p>
        </w:tc>
        <w:tc>
          <w:tcPr>
            <w:tcW w:w="708" w:type="dxa"/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11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76D9C" w:rsidRDefault="00476D9C" w:rsidP="00476D9C">
            <w:pPr>
              <w:jc w:val="both"/>
            </w:pPr>
          </w:p>
          <w:p w:rsidR="00476D9C" w:rsidRPr="00476D9C" w:rsidRDefault="00476D9C" w:rsidP="00476D9C">
            <w:pPr>
              <w:jc w:val="both"/>
            </w:pPr>
            <w:r w:rsidRPr="00476D9C">
              <w:t>Эксплуатация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13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18.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Положение о порядке объявления аварийной обстановки, оперативной передачи информации и организации экстренной помощи атомным станциям в случае радиационно опасных ситуаций. НП-005-98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11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8" w:type="dxa"/>
          </w:tcPr>
          <w:p w:rsidR="00476D9C" w:rsidRPr="00476D9C" w:rsidRDefault="00476D9C" w:rsidP="00476D9C">
            <w:pPr>
              <w:jc w:val="both"/>
            </w:pPr>
            <w:r w:rsidRPr="00476D9C">
              <w:t>19.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Типовое содержание плана</w:t>
            </w:r>
            <w:r>
              <w:t xml:space="preserve"> </w:t>
            </w:r>
            <w:r w:rsidRPr="00476D9C">
              <w:t>мероприятий по защите персонала в</w:t>
            </w:r>
            <w:r>
              <w:t xml:space="preserve"> </w:t>
            </w:r>
            <w:r w:rsidRPr="00476D9C">
              <w:t>случае аварии на атомной</w:t>
            </w:r>
            <w:r>
              <w:t xml:space="preserve"> </w:t>
            </w:r>
            <w:r w:rsidRPr="00476D9C">
              <w:t>станции. НП-015-2000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8.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Типовое содержание плана мероприятий по защите работников (персонала) в случае аварии на исследовательской ядерной установке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11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8" w:type="dxa"/>
          </w:tcPr>
          <w:p w:rsidR="00476D9C" w:rsidRPr="00476D9C" w:rsidRDefault="00476D9C" w:rsidP="00476D9C">
            <w:pPr>
              <w:jc w:val="both"/>
            </w:pPr>
            <w:r w:rsidRPr="00476D9C">
              <w:t>20.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 xml:space="preserve">Требования к полномасштабным тренажерам для подготовки операторов блочного пункта управления атомной станции. </w:t>
            </w:r>
          </w:p>
          <w:p w:rsidR="00476D9C" w:rsidRPr="00476D9C" w:rsidRDefault="00476D9C" w:rsidP="00476D9C">
            <w:pPr>
              <w:jc w:val="both"/>
            </w:pPr>
            <w:r w:rsidRPr="00476D9C">
              <w:t>НП-003-97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11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17.</w:t>
            </w: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обоснованию возможности продления назначенного срока эксплуатации объектов использования атомной энергии.</w:t>
            </w:r>
            <w:r>
              <w:t xml:space="preserve"> </w:t>
            </w:r>
            <w:r w:rsidRPr="00476D9C">
              <w:t>НП-024-2000</w:t>
            </w:r>
          </w:p>
        </w:tc>
        <w:tc>
          <w:tcPr>
            <w:tcW w:w="708" w:type="dxa"/>
          </w:tcPr>
          <w:p w:rsidR="00476D9C" w:rsidRPr="00476D9C" w:rsidRDefault="00476D9C" w:rsidP="00476D9C">
            <w:pPr>
              <w:jc w:val="both"/>
            </w:pPr>
            <w:r w:rsidRPr="00476D9C">
              <w:t>21.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 xml:space="preserve">Основные требования к продлению срока эксплуатации блока атомной станции. </w:t>
            </w:r>
          </w:p>
          <w:p w:rsidR="00476D9C" w:rsidRPr="00476D9C" w:rsidRDefault="00476D9C" w:rsidP="00476D9C">
            <w:pPr>
              <w:jc w:val="both"/>
            </w:pPr>
            <w:r w:rsidRPr="00476D9C">
              <w:t>НП-017-2000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11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8" w:type="dxa"/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22.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безопасности при обращении с радиоактивными отходами атомных станций. НП-002-97 (пересмотр)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11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8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1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8" w:type="dxa"/>
          </w:tcPr>
          <w:p w:rsidR="00476D9C" w:rsidRPr="00476D9C" w:rsidRDefault="00476D9C" w:rsidP="00476D9C">
            <w:pPr>
              <w:jc w:val="both"/>
            </w:pPr>
            <w:r w:rsidRPr="00476D9C">
              <w:t>23.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 xml:space="preserve">Положение о порядке расследования и учета нарушений в работе атомных станций. </w:t>
            </w:r>
          </w:p>
          <w:p w:rsidR="00476D9C" w:rsidRPr="00476D9C" w:rsidRDefault="00476D9C" w:rsidP="00476D9C">
            <w:pPr>
              <w:jc w:val="both"/>
            </w:pPr>
            <w:r w:rsidRPr="00476D9C">
              <w:t>НП-004-97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9.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Положение о порядке расследования и учета нарушений в работе исследовательских ядерных установок. НП-027-01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Вывод из эксплуатации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9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24.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обеспечения безопасности при выводе из эксплуатации блока атомной станции. НП-012-99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10.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обеспечения безопасности при выводе из эксплуатации исследовательских</w:t>
            </w:r>
            <w:r>
              <w:t xml:space="preserve"> </w:t>
            </w:r>
            <w:r w:rsidRPr="00476D9C">
              <w:t>ядерных установок.</w:t>
            </w:r>
            <w:r>
              <w:t xml:space="preserve"> </w:t>
            </w:r>
            <w:r w:rsidRPr="00476D9C">
              <w:t>НП-028-01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6.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 xml:space="preserve">Правила обеспечения безопасности при выводе из эксплуатации ядерных энергетических установок судов. </w:t>
            </w:r>
          </w:p>
          <w:p w:rsidR="00476D9C" w:rsidRPr="00476D9C" w:rsidRDefault="00476D9C" w:rsidP="00476D9C">
            <w:pPr>
              <w:jc w:val="both"/>
            </w:pPr>
            <w:r w:rsidRPr="00476D9C">
              <w:t>НП-037-02</w:t>
            </w:r>
          </w:p>
        </w:tc>
      </w:tr>
    </w:tbl>
    <w:p w:rsidR="00476D9C" w:rsidRDefault="00476D9C" w:rsidP="00476D9C">
      <w:pPr>
        <w:spacing w:before="120"/>
        <w:ind w:firstLine="567"/>
        <w:jc w:val="both"/>
      </w:pPr>
    </w:p>
    <w:p w:rsidR="00476D9C" w:rsidRPr="00476D9C" w:rsidRDefault="00476D9C" w:rsidP="00476D9C">
      <w:pPr>
        <w:spacing w:before="120"/>
        <w:jc w:val="center"/>
        <w:rPr>
          <w:b/>
          <w:bCs/>
          <w:sz w:val="28"/>
          <w:szCs w:val="28"/>
        </w:rPr>
      </w:pPr>
      <w:r w:rsidRPr="00476D9C">
        <w:rPr>
          <w:b/>
          <w:bCs/>
          <w:sz w:val="28"/>
          <w:szCs w:val="28"/>
        </w:rPr>
        <w:t>Перечень федеральных норм и правил в области использования атомной энергии, утвержденных и разрабатываемых Госатомнадзором России</w:t>
      </w:r>
    </w:p>
    <w:tbl>
      <w:tblPr>
        <w:tblW w:w="14146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567"/>
        <w:gridCol w:w="4111"/>
        <w:gridCol w:w="425"/>
        <w:gridCol w:w="4103"/>
        <w:gridCol w:w="540"/>
        <w:gridCol w:w="2874"/>
      </w:tblGrid>
      <w:tr w:rsidR="00476D9C" w:rsidRPr="00476D9C">
        <w:trPr>
          <w:cantSplit/>
          <w:tblHeader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ОЯТЦ</w:t>
            </w:r>
          </w:p>
        </w:tc>
        <w:tc>
          <w:tcPr>
            <w:tcW w:w="45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ПХ РАО</w:t>
            </w:r>
          </w:p>
        </w:tc>
        <w:tc>
          <w:tcPr>
            <w:tcW w:w="3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РИ</w:t>
            </w:r>
          </w:p>
        </w:tc>
      </w:tr>
      <w:tr w:rsidR="00476D9C" w:rsidRPr="00476D9C">
        <w:trPr>
          <w:cantSplit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ОПБ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1.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Общие положения обеспечения безопасности объектов ядерного топливного цикла. ОПБ ОЯТЦ. НП-016-2000 (пересмотр)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1.</w:t>
            </w:r>
          </w:p>
        </w:tc>
        <w:tc>
          <w:tcPr>
            <w:tcW w:w="4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Безопасность при обращении с радиоактивными отходами. Общие положения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1.</w:t>
            </w:r>
          </w:p>
        </w:tc>
        <w:tc>
          <w:tcPr>
            <w:tcW w:w="28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Общие положения обеспечения безопасности радиационных источников. НП-038-02</w:t>
            </w:r>
          </w:p>
        </w:tc>
      </w:tr>
      <w:tr w:rsidR="00476D9C" w:rsidRPr="00476D9C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76D9C" w:rsidRPr="00476D9C" w:rsidRDefault="00476D9C" w:rsidP="00476D9C">
            <w:pPr>
              <w:jc w:val="both"/>
            </w:pPr>
            <w:r w:rsidRPr="00476D9C">
              <w:t>Размещение,</w:t>
            </w:r>
            <w:r>
              <w:t xml:space="preserve"> </w:t>
            </w:r>
            <w:r w:rsidRPr="00476D9C">
              <w:t>проектирование,</w:t>
            </w:r>
          </w:p>
          <w:p w:rsidR="00476D9C" w:rsidRPr="00476D9C" w:rsidRDefault="00476D9C" w:rsidP="00476D9C">
            <w:pPr>
              <w:jc w:val="both"/>
            </w:pPr>
            <w:r w:rsidRPr="00476D9C">
              <w:t>сооружение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76D9C" w:rsidRPr="00476D9C" w:rsidRDefault="00476D9C" w:rsidP="00476D9C">
            <w:pPr>
              <w:jc w:val="both"/>
            </w:pPr>
            <w:r w:rsidRPr="00476D9C">
              <w:t>Объект в целом</w:t>
            </w:r>
          </w:p>
          <w:p w:rsidR="00476D9C" w:rsidRPr="00476D9C" w:rsidRDefault="00476D9C" w:rsidP="00476D9C">
            <w:pPr>
              <w:jc w:val="both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2.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ядерной безопасности для предприятий ядерного топливного цикла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2.</w:t>
            </w:r>
          </w:p>
        </w:tc>
        <w:tc>
          <w:tcPr>
            <w:tcW w:w="4103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Захоронение радиоактивных отходов. Принципы, критерии и требования безопасности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3.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Размещение ядерных установок ядерного топливного цикла. Основные критерии и требования по обеспечению безопасности.</w:t>
            </w:r>
            <w:r>
              <w:t xml:space="preserve"> </w:t>
            </w:r>
            <w:r w:rsidRPr="00476D9C">
              <w:t>НП-050-03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3.</w:t>
            </w:r>
          </w:p>
        </w:tc>
        <w:tc>
          <w:tcPr>
            <w:tcW w:w="410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Размещение пунктов хранения ядерных материалов, радиоактивных веществ и радиоактивных отходов. Основные критерии и требования по обеспечению безопасности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4.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программе обеспечения качества для объектов ядерного топливного цикла. НП-041-02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4.</w:t>
            </w:r>
          </w:p>
        </w:tc>
        <w:tc>
          <w:tcPr>
            <w:tcW w:w="410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Приповерхностное захоронение радиоактивных отходов. Требования безопасности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5.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Установки по переработке отработавшего ядерного топлива. Требования безопасности. НП-013-99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5.</w:t>
            </w:r>
          </w:p>
        </w:tc>
        <w:tc>
          <w:tcPr>
            <w:tcW w:w="410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Пункты сухого хранения отработавшего ядерного топлива. Требования безопасности. НП-035-02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6.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Установки по конверсии оружейного плутония. Требования безопасности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103" w:type="dxa"/>
            <w:vMerge w:val="restart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vMerge w:val="restart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7.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Установки по производству оксидного уран-плутониевого (МОХ) топлива. Требования безопасности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103" w:type="dxa"/>
            <w:vMerge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40" w:type="dxa"/>
            <w:vMerge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vMerge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8.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безопасности при транспортировании радиоактивных</w:t>
            </w:r>
            <w:r>
              <w:t xml:space="preserve"> </w:t>
            </w:r>
            <w:r w:rsidRPr="00476D9C">
              <w:t>материалов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6.</w:t>
            </w:r>
          </w:p>
        </w:tc>
        <w:tc>
          <w:tcPr>
            <w:tcW w:w="410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Установка по иммобилизации плутония. Требования безопасности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9.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содержанию отчета по обоснованию безопасности</w:t>
            </w:r>
            <w:r>
              <w:t xml:space="preserve"> </w:t>
            </w:r>
            <w:r w:rsidRPr="00476D9C">
              <w:t>нереакторных ядерных установок объектов ядерного топливного цикла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10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10.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содержанию отчета по обоснованию безопасности при проведении научно-исследовательских работ на объектах ядерного топливного цикла с плутонийсодержащими материалами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7.</w:t>
            </w:r>
          </w:p>
        </w:tc>
        <w:tc>
          <w:tcPr>
            <w:tcW w:w="410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содержанию отчета по обоснованию безопасности пунктов хранения ядерных материалов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2.</w:t>
            </w:r>
          </w:p>
        </w:tc>
        <w:tc>
          <w:tcPr>
            <w:tcW w:w="2874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содержанию отчета по обоснованию безопасности радиационных источников. НП-039-02</w:t>
            </w:r>
          </w:p>
        </w:tc>
      </w:tr>
      <w:tr w:rsidR="00476D9C" w:rsidRPr="00476D9C">
        <w:trPr>
          <w:cantSplit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системы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103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3.</w:t>
            </w:r>
          </w:p>
        </w:tc>
        <w:tc>
          <w:tcPr>
            <w:tcW w:w="2874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обеспечения безопасности при временном хранении радиоактивных отходов, образующихся при добыче, переработке и использовании полезных ископаемых</w:t>
            </w:r>
          </w:p>
        </w:tc>
      </w:tr>
      <w:tr w:rsidR="00476D9C" w:rsidRPr="00476D9C">
        <w:trPr>
          <w:cantSplit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оборудование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11.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устройства и безопасной эксплуатации оборудования и трубопроводов объектов ядерного топливного цикла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103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1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76D9C" w:rsidRDefault="00476D9C" w:rsidP="00476D9C">
            <w:pPr>
              <w:jc w:val="both"/>
            </w:pPr>
          </w:p>
          <w:p w:rsidR="00476D9C" w:rsidRPr="00476D9C" w:rsidRDefault="00476D9C" w:rsidP="00476D9C">
            <w:pPr>
              <w:jc w:val="both"/>
            </w:pPr>
            <w:r w:rsidRPr="00476D9C">
              <w:t>Эксплуатация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12.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Типовое содержание плана мероприятий по защите работников (персонала) в случае аварии на объекте ядерного топливного цикла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103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15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13.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Положение о порядке объявления аварийной обстановки, оперативной передачи информации и организации экстренной помощи объектам ядерного топливного цикла в случае радиационно опасных ситуаций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10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1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14.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Требования к планированию и обеспечению готовности к ликвидации последствий радиационных аварий при транспортировании ядерных материалов и радиоактивных веществ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103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tcBorders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1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15.</w:t>
            </w: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Положение о порядке расследования и учета нарушений в работе объектов ядерного топливного цикла. НП-047-03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103" w:type="dxa"/>
            <w:tcBorders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4.</w:t>
            </w:r>
          </w:p>
        </w:tc>
        <w:tc>
          <w:tcPr>
            <w:tcW w:w="2874" w:type="dxa"/>
            <w:tcBorders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расследования и учета нарушений при обращении с радиационными источниками и радиоактивными веществами, применяемыми в народном хозяйстве. НП-014-2000</w:t>
            </w:r>
          </w:p>
        </w:tc>
      </w:tr>
      <w:tr w:rsidR="00476D9C" w:rsidRPr="00476D9C">
        <w:trPr>
          <w:cantSplit/>
        </w:trPr>
        <w:tc>
          <w:tcPr>
            <w:tcW w:w="1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  <w:p w:rsidR="00476D9C" w:rsidRPr="00476D9C" w:rsidRDefault="00476D9C" w:rsidP="00476D9C">
            <w:pPr>
              <w:jc w:val="both"/>
            </w:pPr>
            <w:r w:rsidRPr="00476D9C">
              <w:t>Вывод из эксплуатации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16.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обеспечения безопасности при выводе из эксплуатации промышленных реакторов. НП-007-98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103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tcBorders>
              <w:top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  <w:tr w:rsidR="00476D9C" w:rsidRPr="00476D9C">
        <w:trPr>
          <w:cantSplit/>
        </w:trPr>
        <w:tc>
          <w:tcPr>
            <w:tcW w:w="1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476D9C" w:rsidRPr="00476D9C" w:rsidRDefault="00476D9C" w:rsidP="00476D9C">
            <w:pPr>
              <w:jc w:val="both"/>
            </w:pPr>
            <w:r w:rsidRPr="00476D9C">
              <w:t>17.</w:t>
            </w: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  <w:r w:rsidRPr="00476D9C">
              <w:t>Правила обеспечения безопасности при выводе из эксплуатации ядерных установок и радиационных источников (за исключением промышленных реакторов)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4103" w:type="dxa"/>
            <w:tcBorders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  <w:tc>
          <w:tcPr>
            <w:tcW w:w="2874" w:type="dxa"/>
            <w:tcBorders>
              <w:bottom w:val="single" w:sz="12" w:space="0" w:color="auto"/>
              <w:right w:val="single" w:sz="12" w:space="0" w:color="auto"/>
            </w:tcBorders>
          </w:tcPr>
          <w:p w:rsidR="00476D9C" w:rsidRPr="00476D9C" w:rsidRDefault="00476D9C" w:rsidP="00476D9C">
            <w:pPr>
              <w:jc w:val="both"/>
            </w:pPr>
          </w:p>
        </w:tc>
      </w:tr>
    </w:tbl>
    <w:p w:rsidR="00476D9C" w:rsidRPr="00476D9C" w:rsidRDefault="00476D9C" w:rsidP="00476D9C">
      <w:pPr>
        <w:spacing w:before="120"/>
        <w:jc w:val="center"/>
        <w:rPr>
          <w:b/>
          <w:bCs/>
          <w:sz w:val="28"/>
          <w:szCs w:val="28"/>
        </w:rPr>
      </w:pPr>
      <w:r w:rsidRPr="00476D9C">
        <w:rPr>
          <w:b/>
          <w:bCs/>
          <w:sz w:val="28"/>
          <w:szCs w:val="28"/>
        </w:rPr>
        <w:t xml:space="preserve">2. Как осуществляется регулирование ЯРБ 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Система нормативных документов по ЯРБ встроена в общую систему регулирования ЯРБ наряду с лицензированием и надзором. Как показала международная практика использования атомной энергии,</w:t>
      </w:r>
      <w:r>
        <w:t xml:space="preserve"> </w:t>
      </w:r>
      <w:r w:rsidRPr="00476D9C">
        <w:t>жизненный цикл многих ОИАЭ может достигать 50 лет и более. Нормы же, основанные на опыте эксплуатации и научно-технических достижениях, изменяются примерно раз в 10 лет. То есть объекты</w:t>
      </w:r>
      <w:r>
        <w:t xml:space="preserve"> </w:t>
      </w:r>
      <w:r w:rsidRPr="00476D9C">
        <w:t>давней постройки не соответствуют в полной мере нынешним нормам и правилам. И это одна из причин, по которой созданы государственные органы регулирования ЯРБ, чтобы, с одной стороны, постоянно вместе с эксплуатирующими организациями усиливать требования</w:t>
      </w:r>
      <w:r>
        <w:t xml:space="preserve"> </w:t>
      </w:r>
      <w:r w:rsidRPr="00476D9C">
        <w:t>ЯРБ, а с другой стороны, – оценивать то, как несоответствие нормам может</w:t>
      </w:r>
      <w:r>
        <w:t xml:space="preserve"> </w:t>
      </w:r>
      <w:r w:rsidRPr="00476D9C">
        <w:t>сказываться на обеспеченности ЯРБ. Основной же причиной является высокая потенциальная опасность объектов использования атомной энергии, отличающая эту отрасль от иных общепромышленных отраслей.</w:t>
      </w:r>
    </w:p>
    <w:p w:rsidR="00476D9C" w:rsidRDefault="00476D9C" w:rsidP="00476D9C">
      <w:pPr>
        <w:spacing w:before="120"/>
        <w:ind w:firstLine="567"/>
        <w:jc w:val="both"/>
      </w:pPr>
      <w:r w:rsidRPr="00476D9C">
        <w:t>Эксплуатирующие организации в рамках получения лицензии представляют перечень отступлений от действующих обязательных требований ФНП. Одни отступления могут быть устранены,</w:t>
      </w:r>
      <w:r>
        <w:t xml:space="preserve"> </w:t>
      </w:r>
      <w:r w:rsidRPr="00476D9C">
        <w:t>и тогда представляются программы устранения</w:t>
      </w:r>
      <w:r>
        <w:t xml:space="preserve"> </w:t>
      </w:r>
      <w:r w:rsidRPr="00476D9C">
        <w:t>этих отступлений, другие – скомпенсированы различными способами (техническими, организационными и т.п.). Анализ этих отступлений и составляет важный элемент экспертизы безопасности, которая завершается предложениями в условия действия лицензий. А надзор за безопасностью состоит в оценке соблюдения действующих норм, правил и условий действия лицензий.</w:t>
      </w:r>
      <w:r>
        <w:t xml:space="preserve"> </w:t>
      </w:r>
    </w:p>
    <w:p w:rsidR="00476D9C" w:rsidRDefault="00476D9C" w:rsidP="00476D9C">
      <w:pPr>
        <w:spacing w:before="120"/>
        <w:ind w:firstLine="567"/>
        <w:jc w:val="both"/>
      </w:pPr>
      <w:r w:rsidRPr="00476D9C">
        <w:t>В атомной отрасли постоянно проводится анализ опыта эксплуатации действующих ОИАЭ, моделируются различные аварийные режимы и на их базе совершенствуются требования к ЯРБ. Ужесточение требований обеспечения безопасности не должно приводить к запрещению эксплуатации объектов, а быть основанием для их модернизации. Так вот механизмы этой деятельности, отработанные за последние десятилетия и доказавшие свою эффективность и у нас, и во всем мире, должны быть сохранены. В том, что атомная энергетика России, по общему мнению, за последние годы существенно повысила как безопасность, так и эффективность есть весомый вклад Госатомнадзора. Рассматриваемые изменения системы регулирования ЯРБ могут привести к необратимым ухудшениям в обеспечении безопасности, и наша общая задача – не допустить реализации этой возможности. Поэтому если такие изменения предстоят, то их надо осуществлять с соблюдением ряда апробированных жизнью принципов.</w:t>
      </w:r>
    </w:p>
    <w:p w:rsidR="00476D9C" w:rsidRPr="00476D9C" w:rsidRDefault="00476D9C" w:rsidP="00476D9C">
      <w:pPr>
        <w:spacing w:before="120"/>
        <w:jc w:val="center"/>
        <w:rPr>
          <w:b/>
          <w:bCs/>
          <w:sz w:val="28"/>
          <w:szCs w:val="28"/>
        </w:rPr>
      </w:pPr>
      <w:r w:rsidRPr="00476D9C">
        <w:rPr>
          <w:b/>
          <w:bCs/>
          <w:sz w:val="28"/>
          <w:szCs w:val="28"/>
        </w:rPr>
        <w:t xml:space="preserve">3. Основные принципы предложенной идеологии 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3.1. Культура безопасности лежит в основе любой деятельности в области использования атомной энергии. Чтобы атомная энергетика была завтра, она должна быть безопасной сегодня. И если для этого надо изменить законы, ущемить амбиции, подмочить репутации, то это надо делать.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3.2. Равносильность федеральных законов, состоящая</w:t>
      </w:r>
      <w:r>
        <w:t xml:space="preserve"> </w:t>
      </w:r>
      <w:r w:rsidRPr="00476D9C">
        <w:t>в том, что юридические нормы [1] и</w:t>
      </w:r>
      <w:r>
        <w:t xml:space="preserve"> </w:t>
      </w:r>
      <w:r w:rsidRPr="00476D9C">
        <w:t>[7] имеют одинаковое значение, и нельзя говорить, что один закон выше другого. Во всяком случае, [1] еще предстоит сделать то, что уже доказал [7] на правоприменительной практике: подтвердить согласованность с международным и отечественным</w:t>
      </w:r>
      <w:r>
        <w:t xml:space="preserve"> </w:t>
      </w:r>
      <w:r w:rsidRPr="00476D9C">
        <w:t xml:space="preserve">законодательством, стать основой практически полезных мероприятий, доказать жизнеспособность и исполнимость заложенных в него положений и т.п. 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3.3. Учет отечественного и зарубежного</w:t>
      </w:r>
      <w:r>
        <w:t xml:space="preserve"> </w:t>
      </w:r>
      <w:r w:rsidRPr="00476D9C">
        <w:t>опыта эксплуатации, обеспечения и регулирования безопасности</w:t>
      </w:r>
      <w:r>
        <w:t xml:space="preserve"> </w:t>
      </w:r>
      <w:r w:rsidRPr="00476D9C">
        <w:t>объектов использования атомной энергии.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 xml:space="preserve">3.4. Учет отечественного и зарубежного научно-технического опыта обоснования безопасности. 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 xml:space="preserve">3.5. Бережное и критическое использование действующих федеральных норм, правил и механизмов регулирования ЯРБ на их основе. 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3.6. Соответствие различных ТР действующему законодательству, регламентирование ими всех видов деятельности, обеспечивающих ЯРБ, на всех объектах, установленных в [7].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3.7. Осуществление взаимодействия всех компетентных и заинтересованных государственных органов и общественных организаций.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3.8. Обеспечение гласности и открытости всех разработок ТР.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3.9. Единство процедуры разработки разных ТР (при этом процедура должна соответствовать требованиям [1] и быть согласованной всеми участниками).</w:t>
      </w:r>
    </w:p>
    <w:p w:rsidR="00476D9C" w:rsidRDefault="00476D9C" w:rsidP="00476D9C">
      <w:pPr>
        <w:spacing w:before="120"/>
        <w:ind w:firstLine="567"/>
        <w:jc w:val="both"/>
      </w:pPr>
      <w:r w:rsidRPr="00476D9C">
        <w:t>3.10. Разработка ТР за бюджетные средства должна проводиться на конкурсной основе в соответствии с [8].</w:t>
      </w:r>
    </w:p>
    <w:p w:rsidR="00476D9C" w:rsidRPr="00476D9C" w:rsidRDefault="00476D9C" w:rsidP="00476D9C">
      <w:pPr>
        <w:spacing w:before="120"/>
        <w:jc w:val="center"/>
        <w:rPr>
          <w:b/>
          <w:bCs/>
          <w:sz w:val="28"/>
          <w:szCs w:val="28"/>
        </w:rPr>
      </w:pPr>
      <w:r w:rsidRPr="00476D9C">
        <w:rPr>
          <w:b/>
          <w:bCs/>
          <w:sz w:val="28"/>
          <w:szCs w:val="28"/>
        </w:rPr>
        <w:t>4. Существо предложений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Формулируя законодательное поле в области использования атомной энергии, надо исходить из того, что</w:t>
      </w:r>
      <w:r>
        <w:t xml:space="preserve"> </w:t>
      </w:r>
      <w:r w:rsidRPr="00476D9C">
        <w:t>действующие объекты</w:t>
      </w:r>
      <w:r>
        <w:t xml:space="preserve"> </w:t>
      </w:r>
      <w:r w:rsidRPr="00476D9C">
        <w:t>уже доказали свою безопасность и эффективность многолетним опытом их эксплуатации, многочисленными анализами их безопасности, выполненными как отечественными, так и зарубежными специалистами. Конечно, наши знания и опыт ограничены, но ограничены и возможности человечества обойтись без атомной энергии.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Поэтому общий технический регламент по ЯРБ должен содержать только технические требования, отобранные по основному критерию:</w:t>
      </w:r>
      <w:r>
        <w:t xml:space="preserve"> </w:t>
      </w:r>
      <w:r w:rsidRPr="00476D9C">
        <w:t>они должны быть общими для всех ОИАЭ, а значит, все действующие ОИАЭ должны удовлетворять этим требованиям. Эти нормы уже содержатся в общих положениях обеспечения безопасности (ОПБ, НРБ, ОСПОРБ), и надо выбрать те, которым удовлетворяют все без исключения ОИАЭ. Впоследствии специальные технические регламенты по ядерной и радиационной безопасности будут содержать более конкретные требования, которые также должны удовлетворять данному критерию для каждого типа объектов: АС, ИЯУ, РИ и т.д. Указанные</w:t>
      </w:r>
      <w:r>
        <w:t xml:space="preserve"> </w:t>
      </w:r>
      <w:r w:rsidRPr="00476D9C">
        <w:t>требования также уже содержатся в ОПБ, разработанных для каждого типа объектов.</w:t>
      </w:r>
    </w:p>
    <w:p w:rsidR="00476D9C" w:rsidRDefault="00476D9C" w:rsidP="00476D9C">
      <w:pPr>
        <w:spacing w:before="120"/>
        <w:ind w:firstLine="567"/>
        <w:jc w:val="both"/>
      </w:pPr>
      <w:r w:rsidRPr="00476D9C">
        <w:t>Пока</w:t>
      </w:r>
      <w:r>
        <w:t xml:space="preserve"> </w:t>
      </w:r>
      <w:r w:rsidRPr="00476D9C">
        <w:t>требования к обеспечению ЯРБ не имеют количественной меры, тенденцию их усиления можно представить качественно, как это изображено</w:t>
      </w:r>
      <w:r>
        <w:t xml:space="preserve"> </w:t>
      </w:r>
      <w:r w:rsidRPr="00476D9C">
        <w:t xml:space="preserve"> на рис. 2. </w:t>
      </w:r>
    </w:p>
    <w:p w:rsidR="00476D9C" w:rsidRPr="00476D9C" w:rsidRDefault="006210B9" w:rsidP="00476D9C">
      <w:pPr>
        <w:spacing w:before="120"/>
        <w:ind w:firstLine="567"/>
        <w:jc w:val="both"/>
      </w:pPr>
      <w:r w:rsidRPr="00476D9C">
        <w:object w:dxaOrig="7110" w:dyaOrig="5330">
          <v:shape id="_x0000_i1026" type="#_x0000_t75" style="width:355.5pt;height:266.25pt" o:ole="" o:bordertopcolor="this" o:borderleftcolor="this" o:borderbottomcolor="this" o:borderrightcolor="this" fillcolor="window">
            <v:imagedata r:id="rId9" o:title="" grayscale="t" bilevel="t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how.8" ShapeID="_x0000_i1026" DrawAspect="Content" ObjectID="_1452194605" r:id="rId10"/>
        </w:object>
      </w:r>
    </w:p>
    <w:p w:rsidR="00476D9C" w:rsidRDefault="00476D9C" w:rsidP="00476D9C">
      <w:pPr>
        <w:spacing w:before="120"/>
        <w:ind w:firstLine="567"/>
        <w:jc w:val="both"/>
      </w:pPr>
      <w:r w:rsidRPr="00476D9C">
        <w:t>Рис. 2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Тогда в коридоре между общим и специальными ТР содержатся только те требования, которым удовлетворяют все действующие объекты. А нынешние, основанные на опыте прежних лет федеральные нормы и правила должны быть переведены в разряд рекомендательных, как это требует [1], в виде, скажем, руководств по безопасности.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Как будет работать такая система?</w:t>
      </w:r>
      <w:r>
        <w:t xml:space="preserve"> </w:t>
      </w:r>
      <w:r w:rsidRPr="00476D9C">
        <w:t>Понятно, что отступления от законов должны быть исключены. Поэтому все действующие ОИАЭ будут удовлетворять как общему, так и специальным ТР. А все отступления от руководств по безопасности будут устраняться точно тем же механизмом, который существует и описан в разделе 2. Тогда при экспертизе будут оцениваться не только отступления от РБ, но и методы, которые эксплуатирующие организации предлагают для устранения или компенсации этих отступлений, так как сами тексты всех ФНП, представленных в таблице, за исключением ОПБ, сохраняются без изменений в составе будущих РБ.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Важно отметить, что эти тексты уже разработаны совместно и органами управления и органами регулирования, т.е. отражают уже согласованные всеми ведомствами требования. Статус же</w:t>
      </w:r>
      <w:r>
        <w:t xml:space="preserve"> </w:t>
      </w:r>
      <w:r w:rsidRPr="00476D9C">
        <w:t xml:space="preserve">РБ должен быть прописан в общем техническом регламенте так же, как и механизм отступления от этих рекомендаций, что позволит сохранить не только систему, перечень и тексты действующих ФНП, но и действующую систему лицензирования и надзора. 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По сути дела, предложенная концепция позволяет перейти от жестких, предписывающих, прескрипционных</w:t>
      </w:r>
      <w:r>
        <w:t xml:space="preserve"> </w:t>
      </w:r>
      <w:r w:rsidRPr="00476D9C">
        <w:t>требований к не менее жестким рекомендациям. Предписывающая система требований переносит часть ответственности с эксплуатирующих организаций, полностью отвечающих согласно [7] за безопасность, на тех,</w:t>
      </w:r>
      <w:r>
        <w:t xml:space="preserve"> </w:t>
      </w:r>
      <w:r w:rsidRPr="00476D9C">
        <w:t>кто утвердил и ввел в действие эти требования, т.е. на регулирующий орган. А это противоречит [7], который установил ответственность регулирующего органа совсем за другие вещи.</w:t>
      </w:r>
    </w:p>
    <w:p w:rsidR="00476D9C" w:rsidRDefault="00476D9C" w:rsidP="00476D9C">
      <w:pPr>
        <w:spacing w:before="120"/>
        <w:ind w:firstLine="567"/>
        <w:jc w:val="both"/>
      </w:pPr>
      <w:r w:rsidRPr="00476D9C">
        <w:t>Рекомендательная же система остается такой же жесткой по содержанию норм, так как они, по существу, сохраняются, но требует от эксплуатирующей организации собственных доказательств безопасности в любом случае, следует ли она им или нет. Рекомендации указывают направление совершенствования безопасности, но не предписывают, как эти усовершенствования производить. То есть рекомендательная система нормативного регулирования более отвечает требованию [7] о полноте ответственности эксплуатирующей организации, чем предписывающая.</w:t>
      </w:r>
    </w:p>
    <w:p w:rsidR="00476D9C" w:rsidRPr="00476D9C" w:rsidRDefault="00476D9C" w:rsidP="00476D9C">
      <w:pPr>
        <w:spacing w:before="120"/>
        <w:jc w:val="center"/>
        <w:rPr>
          <w:b/>
          <w:bCs/>
          <w:sz w:val="28"/>
          <w:szCs w:val="28"/>
        </w:rPr>
      </w:pPr>
      <w:r w:rsidRPr="00476D9C">
        <w:rPr>
          <w:b/>
          <w:bCs/>
          <w:sz w:val="28"/>
          <w:szCs w:val="28"/>
        </w:rPr>
        <w:t>5. Метод реализации предложенных подходов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Разумеется, существуют различные варианты идеологии технического регулирования. Еще летом 2003 г. Минатом и Госатомнадзор согласовали программу разработки ТР в области использования атомной энергии, и в настоящее время эти предложения ожидают своего</w:t>
      </w:r>
      <w:r>
        <w:t xml:space="preserve"> </w:t>
      </w:r>
      <w:r w:rsidRPr="00476D9C">
        <w:t>утверждения в составе национальной программы</w:t>
      </w:r>
      <w:r>
        <w:t xml:space="preserve"> </w:t>
      </w:r>
      <w:r w:rsidRPr="00476D9C">
        <w:t>разработки ТР на 2004-2010 гг. В состав программы входят 18 ТР. За разработку 11 из них отвечает</w:t>
      </w:r>
      <w:r>
        <w:t xml:space="preserve"> </w:t>
      </w:r>
      <w:r w:rsidRPr="00476D9C">
        <w:t>Минатом, за 7 – Госатомнадзор. Предложенная программа исходила из того, что на базе текстов ФНП будут разработаны общие ТР по видам деятельности при использовании атомной энергии, зафиксированным в [7]: размещение, проектирование, сооружение, эксплуатация и вывод из эксплуатации. При этом надо отметить, что подобных документов, пригодных сразу ко всем видам ОИАЭ, в нашей практике почти не существует. В группу по разработке ТР, например, по эксплуатации</w:t>
      </w:r>
      <w:r>
        <w:t xml:space="preserve"> </w:t>
      </w:r>
      <w:r w:rsidRPr="00476D9C">
        <w:t>ядерных установок, пунктов хранения и радиационных источников должны были бы выйти специалисты по нормированию эксплуатации АС, ИЯУ, ПХ, РИ и т.п. При этом сами тексты ФНП должны были бы быть разобраны на разделы, относящиеся строго к эксплуатации, и из них должен бы получиться общий ТР. То есть существующая система ФНП, представленная в таблице, должна бы быть разрушена, а потом перемонтирована из имеющихся элементов. Это очень ответственное решение, предполагающее длительную реализацию.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Предложен и другой подход: сложить все имеющиеся ФНП по объектам в специальные ТР по АС, ИЯУ, ПХ и т.д.</w:t>
      </w:r>
      <w:r>
        <w:t xml:space="preserve"> </w:t>
      </w:r>
      <w:r w:rsidRPr="00476D9C">
        <w:t>Такой подход в рамках, скажем, ТР для АС, потребовал бы обязательной подгонки всех ФНП по АС друг к другу в рамках единого документа: устранение повторов, исключение противоречий и т.п.</w:t>
      </w:r>
      <w:r>
        <w:t xml:space="preserve"> </w:t>
      </w:r>
      <w:r w:rsidRPr="00476D9C">
        <w:t>То есть в рамках работы над ТР следовало бы осуществить все то, что мы еще не успели сделать при разработке ФНП, – привести их к взаимно согласованному виду. Это заняло бы также немало времени, но здесь уже в рабочие группы должны были бы входить только специалисты по АС, способные нормировать требования по всем видам деятельности: проектанты, строители, эксплуатационники и т.п. Именно такими рабочими группами разрабатывались ФНП, опыт указанной работы накоплен, и его носители, слава Богу, еще живы.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При этом буквальное перенесение объектового принципа</w:t>
      </w:r>
      <w:r>
        <w:t xml:space="preserve"> </w:t>
      </w:r>
      <w:r w:rsidRPr="00476D9C">
        <w:t>на объекты, например, ядерного топливного цикла, навряд ли целесообразно. Во-первых, там такой системы ФНП еще нет, во-вторых, там слишком большое разнообразие различных установок и производств.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Здесь уместно отметить обстоятельство, на которое недостаточно обращается внимание: ОИАЭ, как они определены в [7], неоднородны с позиции норм [1]. Так, ЯМ, РВ, ТВС и РИ являются предметом производства – продукцией, и [1] предусматривает разработку требований ЯРБ к процессам производства, эксплуатации, хранения и тому подобного обращения этой продукции, но не при проектировании и сооружении самих установок, на</w:t>
      </w:r>
      <w:r>
        <w:t xml:space="preserve"> </w:t>
      </w:r>
      <w:r w:rsidRPr="00476D9C">
        <w:t>которых эта продукция производится. А ИЯУ, АС, ЯЭУС, ПХ – это ядерные установки и пункты хранения, которые являются продукцией тогда, когда они создаются или продаются. ОТВС являются результатом эксплуатации ТВС в составе ядерных установок, а РАО, которые хранятся на ПХ, – это отходы производства ЯМ, РВ и ТВС, отходы эксплуатации ЯУ и результат утилизации РИ. При таком дифференцированном подходе к ОИАЭ и их разнообразии едва ли следует стремиться к реализации одного принципа, положенного в основу системы ТР: по видам деятельности или по объектам. Здесь надо проявить гибкость, исходя именно из принципа максимального сохранения наработанной системы ФНП.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Но при обоих подходах оставалась проблема несоответствия эксплуатируемых ОИАЭ действующим требованиям ФНП, на базе которых создаются ТР. Конечно, и общие, и специальные ТР – это не законы, а документы, принимаемые федеральными законами, указами Президента или постановлениями Правительства. В области использования атомной энергии ТР должны устанавливать обязательные для применения и исполнения минимально необходимые требования, обеспечивающие ЯРБ. Но, скорее всего, правовой статус ТР будет соответствовать</w:t>
      </w:r>
      <w:r>
        <w:t xml:space="preserve"> </w:t>
      </w:r>
      <w:r w:rsidRPr="00476D9C">
        <w:t>статусу тех нормативно-правовых документов, которыми они будут приниматься. И трудно представить себе закон, в котором предусмотрен механизм отступления от закона, то есть возможность его невыполнения. По крайней мере, мне такие примеры неизвестны, и навряд ли Государственная Дума позволит это сделать.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Соображение же, что законы обратной силы не имеют, ни в коем случае не может быть положено в основу законодательной системы. Это ограничивающая, а не созидающая</w:t>
      </w:r>
      <w:r>
        <w:t xml:space="preserve"> </w:t>
      </w:r>
      <w:r w:rsidRPr="00476D9C">
        <w:t>юридическая норма. Если на ней основать законодательство, то все действующие объекты окажутся вне закона, обреченные доживать свой век в тех случаях, когда их модернизация невозможна.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С другой стороны, совершенствование норм, усиление технических требований по обеспечению ЯРБ станет возможно только через изменение законов, что противоречит международной практике в атомной отрасли, объективно затормозит как развитие собственно технологий, так и развитие требований по обеспечению ЯРБ.</w:t>
      </w:r>
    </w:p>
    <w:p w:rsidR="00476D9C" w:rsidRDefault="00476D9C" w:rsidP="00476D9C">
      <w:pPr>
        <w:spacing w:before="120"/>
        <w:ind w:firstLine="567"/>
        <w:jc w:val="both"/>
      </w:pPr>
      <w:r w:rsidRPr="00476D9C">
        <w:t>На рис. 3</w:t>
      </w:r>
      <w:r>
        <w:t xml:space="preserve"> </w:t>
      </w:r>
      <w:r w:rsidRPr="00476D9C">
        <w:t>показана схема баланса требований технического регулирования и обеспечения ЯРБ, которому должны удовлетворять как общие, так и специальные технические регламенты. Вверху рис. 3 перечислены основные принципы [1],</w:t>
      </w:r>
      <w:r>
        <w:t xml:space="preserve"> </w:t>
      </w:r>
      <w:r w:rsidRPr="00476D9C">
        <w:t>внизу – принципы, вытекающие из практики обеспечения ЯРБ.</w:t>
      </w:r>
      <w:r>
        <w:t xml:space="preserve"> </w:t>
      </w:r>
    </w:p>
    <w:p w:rsidR="00476D9C" w:rsidRPr="00476D9C" w:rsidRDefault="00476D9C" w:rsidP="00476D9C">
      <w:pPr>
        <w:spacing w:before="120"/>
        <w:ind w:firstLine="567"/>
        <w:jc w:val="both"/>
      </w:pPr>
    </w:p>
    <w:p w:rsidR="00476D9C" w:rsidRPr="00476D9C" w:rsidRDefault="006210B9" w:rsidP="00476D9C">
      <w:pPr>
        <w:spacing w:before="120"/>
        <w:ind w:firstLine="567"/>
        <w:jc w:val="both"/>
      </w:pPr>
      <w:r w:rsidRPr="00476D9C">
        <w:object w:dxaOrig="7185" w:dyaOrig="5385">
          <v:shape id="_x0000_i1027" type="#_x0000_t75" style="width:359.25pt;height:269.25pt" o:ole="" fillcolor="window">
            <v:imagedata r:id="rId11" o:title="" grayscale="t" bilevel="t"/>
          </v:shape>
          <o:OLEObject Type="Embed" ProgID="PowerPoint.Slide.8" ShapeID="_x0000_i1027" DrawAspect="Content" ObjectID="_1452194606" r:id="rId12"/>
        </w:object>
      </w:r>
    </w:p>
    <w:p w:rsidR="00476D9C" w:rsidRDefault="00476D9C" w:rsidP="00476D9C">
      <w:pPr>
        <w:spacing w:before="120"/>
        <w:ind w:firstLine="567"/>
        <w:jc w:val="both"/>
      </w:pPr>
      <w:r w:rsidRPr="00476D9C">
        <w:t>Рис. 3</w:t>
      </w:r>
    </w:p>
    <w:p w:rsidR="00476D9C" w:rsidRPr="00476D9C" w:rsidRDefault="00476D9C" w:rsidP="00476D9C">
      <w:pPr>
        <w:spacing w:before="120"/>
        <w:ind w:firstLine="567"/>
        <w:jc w:val="both"/>
      </w:pPr>
    </w:p>
    <w:p w:rsidR="00476D9C" w:rsidRDefault="00476D9C" w:rsidP="00476D9C">
      <w:pPr>
        <w:spacing w:before="120"/>
        <w:ind w:firstLine="567"/>
        <w:jc w:val="both"/>
      </w:pPr>
      <w:r w:rsidRPr="00476D9C">
        <w:t>6. Взаимодействие ведомств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Хотя и Минатом, и Минздрав, и Госатомнадзор в равной степени являются федеральными органами исполнительной власти, иногда их собственные, ведомственные интересы не совпадают. Тогда</w:t>
      </w:r>
      <w:r>
        <w:t xml:space="preserve"> </w:t>
      </w:r>
      <w:r w:rsidRPr="00476D9C">
        <w:t>все стороны говорят о государственных интересах, но понимают их по-разному. К счастью, это не относится к данному случаю - выработке государственной идеологии технического регулирования в области использования атомной энергии.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В разделах 2 и 3 речь шла о документах по ядерной и радиационной (технические аспекты) безопасности, хотя для краткости использована аббревиатура ЯРБ. В компетенции Минздрава в соответствии с [7] находятся санитарно-гигиенические аспекты радиационной безопасности. Граница разделения технических и санитарно-гигиенических аспектов радиационной безопасности давно определена в соглашении двух регулирующих ведомств: все, что касается человека (персонала и населения), нормируется Минздравом, все, что касается объектов, нормируется Госатомнадзором.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 xml:space="preserve">Таким образом, предложенный подход вполне реализуем для всей области использования атомной энергии, хотя описан только для документов Госатомнадзора. Я не взялся бы приводить таблицу документов Минздрава, так как полагаю, что наши коллеги из Минздрава сами определят, какие нормы из НРБ и ОСПОРБ будут входить в общий технический регламент, а какие - в специальные по санитарно-гигиеническим аспектам радиационной безопасности. Это проблемы не выработки концепции, а разработки самих регламентов, которые будут решаться специалистами рабочих групп. </w:t>
      </w:r>
    </w:p>
    <w:p w:rsidR="00476D9C" w:rsidRDefault="00476D9C" w:rsidP="00476D9C">
      <w:pPr>
        <w:spacing w:before="120"/>
        <w:ind w:firstLine="567"/>
        <w:jc w:val="both"/>
      </w:pPr>
      <w:r w:rsidRPr="00476D9C">
        <w:t>У Минздрава будет другая проблема. Так как оно не выдает лицензии, то предложенная структура ТР и РБ для него не подходит. Ему еще предстоит вместе с Минатомом определиться с содержанием специальных ТР в процессе совместных действий по созданию системы технического регулирования санитарно-гигиенических аспектов радиационной безопасности.</w:t>
      </w:r>
    </w:p>
    <w:p w:rsidR="00476D9C" w:rsidRPr="00476D9C" w:rsidRDefault="00476D9C" w:rsidP="00476D9C">
      <w:pPr>
        <w:spacing w:before="120"/>
        <w:jc w:val="center"/>
        <w:rPr>
          <w:b/>
          <w:bCs/>
          <w:sz w:val="28"/>
          <w:szCs w:val="28"/>
        </w:rPr>
      </w:pPr>
      <w:r w:rsidRPr="00476D9C">
        <w:rPr>
          <w:b/>
          <w:bCs/>
          <w:sz w:val="28"/>
          <w:szCs w:val="28"/>
        </w:rPr>
        <w:t>7. Заключительные положения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К сожалению, предложенная идеология содержит ряд, так сказать,</w:t>
      </w:r>
      <w:r>
        <w:t xml:space="preserve"> </w:t>
      </w:r>
      <w:r w:rsidRPr="00476D9C">
        <w:t>в данный момент неизвестных граничных условий. В рамках административной реформы</w:t>
      </w:r>
      <w:r>
        <w:t xml:space="preserve"> </w:t>
      </w:r>
      <w:r w:rsidRPr="00476D9C">
        <w:t>государственные функции всех упомянутых ведомств могут быть изменены, упразднены или уточнены. Поэтому сейчас трудно говорить, как, в каких формах и кем будет устанавливаться соответствие, которое непременно должно быть отражено в каждом ТР.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Могут быть изменены структура государственных надзорных органов, система государственного лицензирования в области использования атомной энергии и т.п. Принцип культуры безопасности, внедренный в умы специалистов-атомщиков, известен не всем тем, кто осуществляет эти реформы.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В этих условиях реализация предложенной идеологии должна проводиться в три этапа. На первом</w:t>
      </w:r>
      <w:r>
        <w:t xml:space="preserve"> </w:t>
      </w:r>
      <w:r w:rsidRPr="00476D9C">
        <w:t xml:space="preserve">должен быть разработан общий технический регламент по ЯРБ, в полном соответствии с [1], с сохранением [7] и других федеральных законов, уже действующих в области использования атомной энергии. Должна быть реализована процедура разработки ТР, определенная в [1], подобная представленной на рис. 4, сформированы необходимые рабочие и экспертные группы, экспертный и методический советы и тому подобные необходимые участники этой процедуры. После завершения обсуждения проекта общего технического регламента по ЯРБ надо скорректировать программу разработки ТР, направленную в Правительство, о которой упоминалось в разделе 4. 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 xml:space="preserve">И не надо бояться, что кто-то разработает общий ТР по ЯРБ и направит его в Думу на обсуждение. Процедура разработки ТР, предусмотренная в [1], не позволит обойти Минатом, Минздрав и Госатомнадзор, если они будут действовать согласованно. 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Что же касается конкурсов на разработку ТР, то наши ведомства смогут объявить их лишь после получения в установленном порядке запрошенных средств. Поэтому представляется целесообразным уже сейчас приступить к разработке общего ТР, чтобы к моменту объявления конкурсов наши работы уже имели необходимые организационные и содержательные заделы.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На втором этапе следовало бы приступить к разработке сразу всех специальных ТР, число которых будет уточнено после принятия во втором чтении общего ТР и после корректировки этой программы.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Когда общий и все специальные ТР вступят в силу, можно будет продолжить совершенствование, согласование, уточнение основной массы всех ФНП, которые уже в статусе РБ будут</w:t>
      </w:r>
      <w:r>
        <w:t xml:space="preserve"> </w:t>
      </w:r>
      <w:r w:rsidRPr="00476D9C">
        <w:t>действовать, оставаясь основой</w:t>
      </w:r>
      <w:r>
        <w:t xml:space="preserve"> </w:t>
      </w:r>
      <w:r w:rsidRPr="00476D9C">
        <w:t>для анализа ЯРБ всех объектов использования атомной энергии, безопасная эксплуатация которых не должна прерываться. Это будет делаться в рамках третьего этапа, когда все основные ТР в области использования атомной энергии уже будут разработаны.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Подводя итоги, можно сказать, что сделанные предложения позволят максимально сохранить существующие тексты ФНП и механизмы регулирования ЯРБ.</w:t>
      </w:r>
      <w:r>
        <w:t xml:space="preserve"> </w:t>
      </w:r>
      <w:r w:rsidRPr="00476D9C">
        <w:t>Они последовательно</w:t>
      </w:r>
      <w:r>
        <w:t xml:space="preserve"> </w:t>
      </w:r>
      <w:r w:rsidRPr="00476D9C">
        <w:t>концентрируют усилия наших ведомств сначала на разработке общего ТР, потом</w:t>
      </w:r>
      <w:r>
        <w:t xml:space="preserve"> </w:t>
      </w:r>
      <w:r w:rsidRPr="00476D9C">
        <w:t>на специальных ТР и далее</w:t>
      </w:r>
      <w:r>
        <w:t xml:space="preserve"> </w:t>
      </w:r>
      <w:r w:rsidRPr="00476D9C">
        <w:t>на совершенствовании имеющихся текстов ФНП, переведенных в разряд рекомендательных документов.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По завершении разработки ТР система нормативного регулирования ЯРБ окажется весьма схожей с аналогичными системами ряда зарубежных стран, где уже давно регулирующие органы используют рекомендательные гайды. Например, система</w:t>
      </w:r>
      <w:r>
        <w:t xml:space="preserve"> </w:t>
      </w:r>
      <w:r w:rsidRPr="00476D9C">
        <w:t>нормативного регулирования Германии КТА-2000 состоит из одного общего документа (основы безопасности), семи базисных правил и 90 технических документов. Все они являются рекомендательными, а по количеству практически совпадают с числом наших ФНП*.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В настоящее время можно только догадываться, какие проблемы возникнут со временем при нашем движении по выбранному пути. Для их решения следовало бы предусмотреть подобные обсуждения для корректировки избранного курса.</w:t>
      </w:r>
    </w:p>
    <w:p w:rsidR="00476D9C" w:rsidRPr="00476D9C" w:rsidRDefault="00476D9C" w:rsidP="00476D9C">
      <w:pPr>
        <w:spacing w:before="120"/>
        <w:jc w:val="center"/>
        <w:rPr>
          <w:b/>
          <w:bCs/>
          <w:sz w:val="28"/>
          <w:szCs w:val="28"/>
        </w:rPr>
      </w:pPr>
      <w:r w:rsidRPr="00476D9C">
        <w:rPr>
          <w:b/>
          <w:bCs/>
          <w:sz w:val="28"/>
          <w:szCs w:val="28"/>
        </w:rPr>
        <w:t>Список литературы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Федеральный закон “О техническом регулировании”. № 184-ФЗ, 2002.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Указ Президента Российской Федерации “О мерах по проведению административной реформы в 2003-2004 годах”.</w:t>
      </w:r>
      <w:r>
        <w:t xml:space="preserve">   </w:t>
      </w:r>
      <w:r w:rsidRPr="00476D9C">
        <w:t>№ 824 от 23 июля 2003 г.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Открытое письмо</w:t>
      </w:r>
      <w:bookmarkStart w:id="0" w:name="BITSoft"/>
      <w:bookmarkEnd w:id="0"/>
      <w:r w:rsidRPr="00476D9C">
        <w:t xml:space="preserve"> депутатам Государственной Думы Федерального Собрания Российской Федерации. Парламентская газета, 2002.</w:t>
      </w:r>
    </w:p>
    <w:p w:rsidR="00476D9C" w:rsidRPr="00476D9C" w:rsidRDefault="007E3D3D" w:rsidP="00476D9C">
      <w:pPr>
        <w:spacing w:before="120"/>
        <w:ind w:firstLine="567"/>
        <w:jc w:val="both"/>
      </w:pPr>
      <w:r>
        <w:rPr>
          <w:noProof/>
          <w:lang w:val="uk-UA" w:eastAsia="uk-UA"/>
        </w:rPr>
        <w:object w:dxaOrig="1440" w:dyaOrig="1440">
          <v:shape id="_x0000_s1026" type="#_x0000_t75" style="position:absolute;left:0;text-align:left;margin-left:-6pt;margin-top:81.15pt;width:481.9pt;height:335.35pt;z-index:251658240" o:allowincell="f">
            <v:imagedata r:id="rId13" o:title=""/>
            <w10:wrap type="topAndBottom"/>
          </v:shape>
          <o:OLEObject Type="Embed" ProgID="Word.Document.8" ShapeID="_x0000_s1026" DrawAspect="Content" ObjectID="_1452194607" r:id="rId14">
            <o:FieldCodes>\s</o:FieldCodes>
          </o:OLEObject>
        </w:object>
      </w:r>
      <w:r w:rsidR="00476D9C" w:rsidRPr="00476D9C">
        <w:t>Гордон Б.Г.</w:t>
      </w:r>
      <w:r w:rsidR="00476D9C">
        <w:t xml:space="preserve"> </w:t>
      </w:r>
      <w:r w:rsidR="00476D9C" w:rsidRPr="00476D9C">
        <w:t>О техническом регулировании при использовании атомной энергии. / Вестник Госатомнадзора России, № 3, 2003.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 xml:space="preserve">Безопасность России. Правовые, социально-экономические и научно-технические аспекты. Регулирование ядерной и радиационной безопасности/Колл.авт. – М.: МГОФ “Знание”, НТЦ ЯРБ, 2003. 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Система нормативных документов Госатомнадзора России. РД-03-42-97.</w:t>
      </w:r>
    </w:p>
    <w:p w:rsidR="00476D9C" w:rsidRPr="00476D9C" w:rsidRDefault="00476D9C" w:rsidP="00476D9C">
      <w:pPr>
        <w:spacing w:before="120"/>
        <w:ind w:firstLine="567"/>
        <w:jc w:val="both"/>
      </w:pPr>
      <w:r w:rsidRPr="00476D9C">
        <w:t>Федеральный закон “Об использовании атомной энергии”. № 170-ФЗ, 1995.</w:t>
      </w:r>
    </w:p>
    <w:p w:rsidR="00476D9C" w:rsidRDefault="00476D9C" w:rsidP="00476D9C">
      <w:pPr>
        <w:spacing w:before="120"/>
        <w:ind w:firstLine="567"/>
        <w:jc w:val="both"/>
      </w:pPr>
      <w:r w:rsidRPr="00476D9C">
        <w:t>Федеральный закон “О конкурсах на размещение заказов на поставки товаров, выполнение работ, оказание услуг для государственных нужд”. № 97-ФЗ, 1997.</w:t>
      </w:r>
    </w:p>
    <w:p w:rsidR="00476D9C" w:rsidRDefault="00476D9C" w:rsidP="00476D9C">
      <w:pPr>
        <w:spacing w:before="120"/>
        <w:ind w:firstLine="567"/>
        <w:jc w:val="both"/>
      </w:pPr>
    </w:p>
    <w:p w:rsidR="00476D9C" w:rsidRPr="00476D9C" w:rsidRDefault="00476D9C" w:rsidP="00476D9C">
      <w:pPr>
        <w:spacing w:before="120"/>
        <w:ind w:firstLine="567"/>
        <w:jc w:val="both"/>
      </w:pPr>
    </w:p>
    <w:p w:rsidR="00476D9C" w:rsidRDefault="00476D9C" w:rsidP="00476D9C">
      <w:pPr>
        <w:spacing w:before="120"/>
        <w:ind w:firstLine="567"/>
        <w:jc w:val="both"/>
      </w:pPr>
      <w:r w:rsidRPr="00476D9C">
        <w:t>Рис. 4</w:t>
      </w:r>
    </w:p>
    <w:p w:rsidR="00476D9C" w:rsidRDefault="00476D9C" w:rsidP="00476D9C">
      <w:pPr>
        <w:spacing w:before="120"/>
        <w:ind w:firstLine="567"/>
        <w:jc w:val="both"/>
      </w:pPr>
    </w:p>
    <w:p w:rsidR="00476D9C" w:rsidRPr="00476D9C" w:rsidRDefault="00476D9C" w:rsidP="00476D9C">
      <w:pPr>
        <w:spacing w:before="120"/>
        <w:ind w:firstLine="567"/>
        <w:jc w:val="both"/>
      </w:pPr>
      <w:bookmarkStart w:id="1" w:name="_GoBack"/>
      <w:bookmarkEnd w:id="1"/>
    </w:p>
    <w:sectPr w:rsidR="00476D9C" w:rsidRPr="00476D9C" w:rsidSect="00476D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D9C" w:rsidRDefault="00476D9C">
      <w:r>
        <w:separator/>
      </w:r>
    </w:p>
  </w:endnote>
  <w:endnote w:type="continuationSeparator" w:id="0">
    <w:p w:rsidR="00476D9C" w:rsidRDefault="0047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D9C" w:rsidRDefault="00476D9C">
      <w:r>
        <w:separator/>
      </w:r>
    </w:p>
  </w:footnote>
  <w:footnote w:type="continuationSeparator" w:id="0">
    <w:p w:rsidR="00476D9C" w:rsidRDefault="00476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33CCE"/>
    <w:multiLevelType w:val="hybridMultilevel"/>
    <w:tmpl w:val="F462F8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29404E"/>
    <w:multiLevelType w:val="hybridMultilevel"/>
    <w:tmpl w:val="2196F06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74B751A"/>
    <w:multiLevelType w:val="hybridMultilevel"/>
    <w:tmpl w:val="C9C64A9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FFA1CCE"/>
    <w:multiLevelType w:val="hybridMultilevel"/>
    <w:tmpl w:val="8236BA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AB4EAD"/>
    <w:multiLevelType w:val="hybridMultilevel"/>
    <w:tmpl w:val="F4F6250E"/>
    <w:lvl w:ilvl="0" w:tplc="FFFFFFFF">
      <w:start w:val="1"/>
      <w:numFmt w:val="decimal"/>
      <w:lvlText w:val="%1."/>
      <w:lvlJc w:val="left"/>
      <w:pPr>
        <w:tabs>
          <w:tab w:val="num" w:pos="1691"/>
        </w:tabs>
        <w:ind w:left="169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11"/>
        </w:tabs>
        <w:ind w:left="241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131"/>
        </w:tabs>
        <w:ind w:left="313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851"/>
        </w:tabs>
        <w:ind w:left="385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71"/>
        </w:tabs>
        <w:ind w:left="457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91"/>
        </w:tabs>
        <w:ind w:left="5291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11"/>
        </w:tabs>
        <w:ind w:left="601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731"/>
        </w:tabs>
        <w:ind w:left="673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451"/>
        </w:tabs>
        <w:ind w:left="7451" w:hanging="180"/>
      </w:pPr>
    </w:lvl>
  </w:abstractNum>
  <w:abstractNum w:abstractNumId="5">
    <w:nsid w:val="6BE04776"/>
    <w:multiLevelType w:val="multilevel"/>
    <w:tmpl w:val="8C5C4D10"/>
    <w:lvl w:ilvl="0">
      <w:start w:val="1"/>
      <w:numFmt w:val="decimal"/>
      <w:lvlText w:val="%1."/>
      <w:lvlJc w:val="left"/>
      <w:pPr>
        <w:tabs>
          <w:tab w:val="num" w:pos="2162"/>
        </w:tabs>
        <w:ind w:left="2162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7"/>
        </w:tabs>
        <w:ind w:left="2327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7"/>
        </w:tabs>
        <w:ind w:left="2327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7"/>
        </w:tabs>
        <w:ind w:left="2327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7"/>
        </w:tabs>
        <w:ind w:left="232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27"/>
        </w:tabs>
        <w:ind w:left="2327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2"/>
        </w:tabs>
        <w:ind w:left="23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2"/>
        </w:tabs>
        <w:ind w:left="23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2"/>
        </w:tabs>
        <w:ind w:left="2702" w:hanging="1800"/>
      </w:pPr>
      <w:rPr>
        <w:rFonts w:hint="default"/>
      </w:rPr>
    </w:lvl>
  </w:abstractNum>
  <w:abstractNum w:abstractNumId="6">
    <w:nsid w:val="7EF019B9"/>
    <w:multiLevelType w:val="hybridMultilevel"/>
    <w:tmpl w:val="07521B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autoHyphenation/>
  <w:hyphenationZone w:val="357"/>
  <w:doNotHyphenateCaps/>
  <w:drawingGridHorizontalSpacing w:val="1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D9C"/>
    <w:rsid w:val="00476D9C"/>
    <w:rsid w:val="005C5516"/>
    <w:rsid w:val="006210B9"/>
    <w:rsid w:val="007E3D3D"/>
    <w:rsid w:val="00B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9DAF635-7188-4E7E-B4DB-B842F6B8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center"/>
      <w:outlineLvl w:val="1"/>
    </w:pPr>
    <w:rPr>
      <w:rFonts w:ascii="Book Antiqua" w:hAnsi="Book Antiqua" w:cs="Book Antiqu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Arial" w:hAnsi="Arial" w:cs="Arial"/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pPr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pPr>
      <w:spacing w:line="360" w:lineRule="auto"/>
      <w:ind w:firstLine="902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sz w:val="24"/>
      <w:szCs w:val="24"/>
      <w:lang w:val="ru-RU" w:eastAsia="ru-RU"/>
    </w:rPr>
  </w:style>
  <w:style w:type="character" w:styleId="a9">
    <w:name w:val="page number"/>
    <w:basedOn w:val="a0"/>
    <w:uiPriority w:val="99"/>
  </w:style>
  <w:style w:type="paragraph" w:styleId="21">
    <w:name w:val="Body Text Indent 2"/>
    <w:basedOn w:val="a"/>
    <w:link w:val="22"/>
    <w:uiPriority w:val="99"/>
    <w:pPr>
      <w:spacing w:line="360" w:lineRule="auto"/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90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  <w:lang w:val="ru-RU" w:eastAsia="ru-RU"/>
    </w:rPr>
  </w:style>
  <w:style w:type="paragraph" w:styleId="23">
    <w:name w:val="Body Text 2"/>
    <w:basedOn w:val="a"/>
    <w:link w:val="24"/>
    <w:uiPriority w:val="99"/>
    <w:pPr>
      <w:jc w:val="both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sz w:val="24"/>
      <w:szCs w:val="24"/>
      <w:lang w:val="ru-RU" w:eastAsia="ru-RU"/>
    </w:rPr>
  </w:style>
  <w:style w:type="paragraph" w:styleId="aa">
    <w:name w:val="foot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  <w:lang w:val="ru-RU" w:eastAsia="ru-RU"/>
    </w:rPr>
  </w:style>
  <w:style w:type="paragraph" w:styleId="ac">
    <w:name w:val="Block Text"/>
    <w:basedOn w:val="a"/>
    <w:uiPriority w:val="99"/>
    <w:pPr>
      <w:ind w:left="113" w:right="113"/>
      <w:jc w:val="center"/>
    </w:pPr>
    <w:rPr>
      <w:rFonts w:ascii="Arial" w:hAnsi="Arial" w:cs="Arial"/>
      <w:b/>
      <w:bCs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____________Microsoft_PowerPoint_97_20031.ppt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_________Microsoft_Word_97_20032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22031</Words>
  <Characters>12558</Characters>
  <Application>Microsoft Office Word</Application>
  <DocSecurity>0</DocSecurity>
  <Lines>104</Lines>
  <Paragraphs>69</Paragraphs>
  <ScaleCrop>false</ScaleCrop>
  <Company>Home</Company>
  <LinksUpToDate>false</LinksUpToDate>
  <CharactersWithSpaces>34520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выработке концепции технического регулирования в области использования атомной энергии</dc:title>
  <dc:subject/>
  <dc:creator>НТЦ ЯРБ Госатомнадзора РФ</dc:creator>
  <cp:keywords/>
  <dc:description/>
  <cp:lastModifiedBy>admin</cp:lastModifiedBy>
  <cp:revision>2</cp:revision>
  <cp:lastPrinted>2004-05-13T10:16:00Z</cp:lastPrinted>
  <dcterms:created xsi:type="dcterms:W3CDTF">2014-01-25T20:37:00Z</dcterms:created>
  <dcterms:modified xsi:type="dcterms:W3CDTF">2014-01-25T20:37:00Z</dcterms:modified>
</cp:coreProperties>
</file>