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A4" w:rsidRDefault="000154A4">
      <w:pPr>
        <w:spacing w:line="360" w:lineRule="auto"/>
        <w:jc w:val="center"/>
        <w:rPr>
          <w:szCs w:val="27"/>
        </w:rPr>
      </w:pPr>
      <w:r>
        <w:rPr>
          <w:szCs w:val="27"/>
        </w:rPr>
        <w:t>Министерство образования РФ.</w:t>
      </w:r>
    </w:p>
    <w:p w:rsidR="000154A4" w:rsidRDefault="000154A4">
      <w:pPr>
        <w:spacing w:line="360" w:lineRule="auto"/>
        <w:jc w:val="center"/>
        <w:rPr>
          <w:szCs w:val="27"/>
        </w:rPr>
      </w:pPr>
      <w:r>
        <w:rPr>
          <w:szCs w:val="27"/>
        </w:rPr>
        <w:t>Курский гуманитарно-технический институт.</w:t>
      </w: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r>
        <w:rPr>
          <w:b/>
          <w:bCs/>
          <w:szCs w:val="27"/>
        </w:rPr>
        <w:t>Контрольная работа по дисциплине:</w:t>
      </w:r>
      <w:r>
        <w:rPr>
          <w:i/>
          <w:iCs/>
          <w:szCs w:val="27"/>
        </w:rPr>
        <w:t xml:space="preserve"> «Основы правового регулирования хозяйственной деятельности».</w:t>
      </w:r>
    </w:p>
    <w:p w:rsidR="000154A4" w:rsidRDefault="000154A4">
      <w:pPr>
        <w:spacing w:line="360" w:lineRule="auto"/>
        <w:jc w:val="center"/>
        <w:rPr>
          <w:szCs w:val="27"/>
        </w:rPr>
      </w:pPr>
      <w:r>
        <w:rPr>
          <w:b/>
          <w:bCs/>
          <w:szCs w:val="27"/>
        </w:rPr>
        <w:t>Тема:</w:t>
      </w:r>
      <w:r>
        <w:rPr>
          <w:szCs w:val="27"/>
        </w:rPr>
        <w:t xml:space="preserve"> </w:t>
      </w:r>
      <w:r>
        <w:rPr>
          <w:i/>
          <w:iCs/>
          <w:szCs w:val="27"/>
        </w:rPr>
        <w:t>«Лицензирование на рынке ценных бумаг»</w:t>
      </w:r>
      <w:r>
        <w:rPr>
          <w:szCs w:val="27"/>
        </w:rPr>
        <w:t xml:space="preserve"> .</w:t>
      </w: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jc w:val="center"/>
        <w:rPr>
          <w:szCs w:val="27"/>
        </w:rPr>
      </w:pPr>
    </w:p>
    <w:p w:rsidR="000154A4" w:rsidRDefault="000154A4">
      <w:pPr>
        <w:spacing w:line="360" w:lineRule="auto"/>
        <w:rPr>
          <w:szCs w:val="27"/>
        </w:rPr>
      </w:pPr>
      <w:r>
        <w:rPr>
          <w:szCs w:val="27"/>
        </w:rPr>
        <w:t>Выполнила:                                                    студент  гр. БУЖ-11/2,5 Котлярова М</w:t>
      </w:r>
    </w:p>
    <w:p w:rsidR="000154A4" w:rsidRDefault="000154A4">
      <w:pPr>
        <w:spacing w:line="360" w:lineRule="auto"/>
        <w:rPr>
          <w:szCs w:val="27"/>
        </w:rPr>
      </w:pPr>
      <w:r>
        <w:rPr>
          <w:szCs w:val="27"/>
        </w:rPr>
        <w:t>Проверил:                                                                                                    Дудкин А.В.</w:t>
      </w:r>
    </w:p>
    <w:p w:rsidR="000154A4" w:rsidRDefault="000154A4">
      <w:pPr>
        <w:spacing w:line="360" w:lineRule="auto"/>
        <w:rPr>
          <w:szCs w:val="27"/>
        </w:rPr>
      </w:pPr>
    </w:p>
    <w:p w:rsidR="000154A4" w:rsidRDefault="000154A4">
      <w:pPr>
        <w:spacing w:line="360" w:lineRule="auto"/>
        <w:rPr>
          <w:szCs w:val="27"/>
        </w:rPr>
      </w:pPr>
    </w:p>
    <w:p w:rsidR="000154A4" w:rsidRDefault="000154A4">
      <w:pPr>
        <w:spacing w:line="360" w:lineRule="auto"/>
        <w:rPr>
          <w:szCs w:val="27"/>
        </w:rPr>
      </w:pPr>
    </w:p>
    <w:p w:rsidR="000154A4" w:rsidRDefault="000154A4">
      <w:pPr>
        <w:spacing w:line="360" w:lineRule="auto"/>
        <w:rPr>
          <w:szCs w:val="27"/>
        </w:rPr>
      </w:pPr>
    </w:p>
    <w:p w:rsidR="000154A4" w:rsidRDefault="000154A4">
      <w:pPr>
        <w:spacing w:line="360" w:lineRule="auto"/>
        <w:rPr>
          <w:szCs w:val="27"/>
        </w:rPr>
      </w:pPr>
    </w:p>
    <w:p w:rsidR="000154A4" w:rsidRDefault="000154A4">
      <w:pPr>
        <w:jc w:val="center"/>
      </w:pPr>
      <w:r>
        <w:rPr>
          <w:szCs w:val="27"/>
        </w:rPr>
        <w:t>Железногорск 2002 г.</w:t>
      </w:r>
    </w:p>
    <w:p w:rsidR="000154A4" w:rsidRDefault="000154A4">
      <w:pPr>
        <w:jc w:val="center"/>
        <w:rPr>
          <w:rFonts w:ascii="Arial" w:hAnsi="Arial" w:cs="Arial"/>
          <w:b/>
          <w:bCs/>
          <w:sz w:val="32"/>
        </w:rPr>
      </w:pPr>
      <w:r>
        <w:br w:type="page"/>
      </w:r>
      <w:r>
        <w:rPr>
          <w:rFonts w:ascii="Arial" w:hAnsi="Arial" w:cs="Arial"/>
          <w:b/>
          <w:bCs/>
          <w:sz w:val="32"/>
        </w:rPr>
        <w:t>Содержание</w:t>
      </w:r>
    </w:p>
    <w:p w:rsidR="000154A4" w:rsidRDefault="000154A4"/>
    <w:p w:rsidR="000154A4" w:rsidRDefault="000154A4">
      <w:pPr>
        <w:pStyle w:val="10"/>
        <w:tabs>
          <w:tab w:val="right" w:leader="dot" w:pos="10195"/>
        </w:tabs>
        <w:spacing w:line="360" w:lineRule="auto"/>
        <w:rPr>
          <w:noProof/>
          <w:sz w:val="24"/>
        </w:rPr>
      </w:pPr>
      <w:r w:rsidRPr="0039735A">
        <w:rPr>
          <w:rStyle w:val="a6"/>
          <w:noProof/>
        </w:rPr>
        <w:t>Лицензирование на рынке ценных бумаг.</w:t>
      </w:r>
      <w:r>
        <w:rPr>
          <w:noProof/>
          <w:webHidden/>
        </w:rPr>
        <w:tab/>
        <w:t>3</w:t>
      </w:r>
    </w:p>
    <w:p w:rsidR="000154A4" w:rsidRDefault="000154A4">
      <w:pPr>
        <w:pStyle w:val="10"/>
        <w:tabs>
          <w:tab w:val="right" w:leader="dot" w:pos="10195"/>
        </w:tabs>
        <w:spacing w:line="360" w:lineRule="auto"/>
        <w:rPr>
          <w:noProof/>
          <w:sz w:val="24"/>
        </w:rPr>
      </w:pPr>
      <w:r w:rsidRPr="0039735A">
        <w:rPr>
          <w:rStyle w:val="a6"/>
          <w:noProof/>
        </w:rPr>
        <w:t>Виды предпринимательской деятельности на рынке ценных бумаг, на осуществление которых необходимо получение лицензии</w:t>
      </w:r>
      <w:r>
        <w:rPr>
          <w:noProof/>
          <w:webHidden/>
        </w:rPr>
        <w:tab/>
        <w:t>5</w:t>
      </w:r>
    </w:p>
    <w:p w:rsidR="000154A4" w:rsidRDefault="000154A4">
      <w:pPr>
        <w:pStyle w:val="10"/>
        <w:tabs>
          <w:tab w:val="right" w:leader="dot" w:pos="10195"/>
        </w:tabs>
        <w:spacing w:line="360" w:lineRule="auto"/>
        <w:rPr>
          <w:noProof/>
          <w:sz w:val="24"/>
        </w:rPr>
      </w:pPr>
      <w:r w:rsidRPr="0039735A">
        <w:rPr>
          <w:rStyle w:val="a6"/>
          <w:noProof/>
        </w:rPr>
        <w:t>Банковские операции с ценными бумагами</w:t>
      </w:r>
      <w:r>
        <w:rPr>
          <w:noProof/>
          <w:webHidden/>
        </w:rPr>
        <w:tab/>
        <w:t>8</w:t>
      </w:r>
    </w:p>
    <w:p w:rsidR="000154A4" w:rsidRDefault="000154A4">
      <w:pPr>
        <w:pStyle w:val="20"/>
        <w:tabs>
          <w:tab w:val="right" w:leader="dot" w:pos="10195"/>
        </w:tabs>
        <w:spacing w:line="360" w:lineRule="auto"/>
        <w:rPr>
          <w:noProof/>
          <w:sz w:val="24"/>
        </w:rPr>
      </w:pPr>
      <w:r w:rsidRPr="0039735A">
        <w:rPr>
          <w:rStyle w:val="a6"/>
          <w:noProof/>
        </w:rPr>
        <w:t>Депозитарная деятельность</w:t>
      </w:r>
      <w:r>
        <w:rPr>
          <w:noProof/>
          <w:webHidden/>
        </w:rPr>
        <w:tab/>
        <w:t>9</w:t>
      </w:r>
    </w:p>
    <w:p w:rsidR="000154A4" w:rsidRDefault="000154A4">
      <w:pPr>
        <w:pStyle w:val="20"/>
        <w:tabs>
          <w:tab w:val="right" w:leader="dot" w:pos="10195"/>
        </w:tabs>
        <w:spacing w:line="360" w:lineRule="auto"/>
        <w:rPr>
          <w:noProof/>
          <w:sz w:val="24"/>
        </w:rPr>
      </w:pPr>
      <w:r w:rsidRPr="0039735A">
        <w:rPr>
          <w:rStyle w:val="a6"/>
          <w:noProof/>
        </w:rPr>
        <w:t>Дилерская деятельность</w:t>
      </w:r>
      <w:r>
        <w:rPr>
          <w:noProof/>
          <w:webHidden/>
        </w:rPr>
        <w:tab/>
        <w:t>9</w:t>
      </w:r>
    </w:p>
    <w:p w:rsidR="000154A4" w:rsidRDefault="000154A4">
      <w:pPr>
        <w:pStyle w:val="10"/>
        <w:tabs>
          <w:tab w:val="right" w:leader="dot" w:pos="10195"/>
        </w:tabs>
        <w:spacing w:line="360" w:lineRule="auto"/>
        <w:rPr>
          <w:noProof/>
          <w:sz w:val="24"/>
        </w:rPr>
      </w:pPr>
      <w:r w:rsidRPr="0039735A">
        <w:rPr>
          <w:rStyle w:val="a6"/>
          <w:noProof/>
        </w:rPr>
        <w:t>Список литературы</w:t>
      </w:r>
      <w:r>
        <w:rPr>
          <w:noProof/>
          <w:webHidden/>
        </w:rPr>
        <w:tab/>
        <w:t>10</w:t>
      </w:r>
    </w:p>
    <w:p w:rsidR="000154A4" w:rsidRDefault="000154A4">
      <w:pPr>
        <w:spacing w:line="360" w:lineRule="auto"/>
      </w:pPr>
    </w:p>
    <w:p w:rsidR="000154A4" w:rsidRDefault="000154A4">
      <w:pPr>
        <w:pStyle w:val="1"/>
        <w:rPr>
          <w:sz w:val="24"/>
        </w:rPr>
      </w:pPr>
      <w:r>
        <w:br w:type="page"/>
      </w:r>
      <w:bookmarkStart w:id="0" w:name="_Toc12696757"/>
      <w:r>
        <w:t>Лицензирование на рынке ценных бумаг.</w:t>
      </w:r>
      <w:bookmarkEnd w:id="0"/>
    </w:p>
    <w:p w:rsidR="000154A4" w:rsidRDefault="000154A4">
      <w:pPr>
        <w:pStyle w:val="a3"/>
      </w:pPr>
      <w:r>
        <w:t>В течение трех лет (с декабря 1991 года по ноябрь 1994 года) основополагающим документом, регулирующим функционирование фондового рынка являлось "Положение о выпуске и обращении ценных бумаг и фондовых биржах в РСФСР", утвержденное постановлением Правительства РФ от 28 декабря 1991 г. № 78. Им были введены основные принципы государственной регистрации ценных бумаг, деятельности инвестиционных институтов, порядок выпуска и обращения ценных бумаг, установлены основы деятельности фондовых бирж. В соответствии с нормами, введенными этим постановлением за Минфином России была закреплена обязанность по лицензированию деятельности на рынке ценных бумаг (для банков - по согласованию с Центральным банком России). Указом Президента "О мерах по организации рынка ценных бумаг в процессе приватизации государственных и муниципальных предприятии" от 7 октября 1992 г. № 1186 установлено, что лицензирование управляющих инвестиционными фондами, аккумулирующими приватизационные чеки граждан (чековыми) осуществляет Государственный комитет Российской Федерации по управлению государственным имуществом. Порядок лицензирования деятельности управляющих специализированных инвестиционных фондов приватизации, аккумулировавших приватизационные чеки граждан до 1 июля 1994 г. утвержден распоряжением Госкомимущества России от 18 октября 1994 г. № 2528-р. Порядок контроля за деятельностью специализированных инвестиционных фондов приватизации и управляющих этих фондов, а также приостановления действия и отзыва выданной им лицензии утвержден распоряжением Госкомимущества России от 1 июля 1994 г. № 1832-р.</w:t>
      </w:r>
    </w:p>
    <w:p w:rsidR="000154A4" w:rsidRDefault="000154A4">
      <w:pPr>
        <w:pStyle w:val="a3"/>
      </w:pPr>
      <w:r>
        <w:t xml:space="preserve">В соответствии с Указом Президента РФ от 4 ноября 1994 г. № 2063 "О мерах по государственному регулированию рынка ценных бумаг в Российской Федерации" на базе Комиссии по ценным бумагам и фондовым биржам при Президенте Российской Федерации. образована Федеральная комиссия по ценным бумагам и фондовому рынку при Правительстве Российской Федерации (далее - Федеральная комиссия). Согласно Положению о Федеральной комиссии, утвержденному названным Указом, к ее компетенции относится лицензирование различных видов профессиональной деятельности на рынке ценных бумаг, выдача генеральных лицензий на осуществление лицензирования деятельности специализированных депозитариев и профессиональной деятельности на рынке ценных бумаг, лицензирование расчетно-депозитарных организаций, создаваемых участниками рынка ценных бумаг, лицензирование и ведение реестра саморегулируемых организаций, создаваемых профессиональными участниками рынка ценных бумаг (союзов, ассоциаций, объединений), лицензирование деятельности фондовых бирж (фондовых отделов бирж) и аннулирование перечисленных лицензий в случаях нарушения требований законодательства Российской Федерации. </w:t>
      </w:r>
    </w:p>
    <w:p w:rsidR="000154A4" w:rsidRDefault="000154A4">
      <w:pPr>
        <w:pStyle w:val="a3"/>
      </w:pPr>
      <w:r>
        <w:br w:type="page"/>
      </w:r>
    </w:p>
    <w:p w:rsidR="000154A4" w:rsidRDefault="000154A4">
      <w:pPr>
        <w:pStyle w:val="1"/>
      </w:pPr>
      <w:bookmarkStart w:id="1" w:name="_Toc12696758"/>
      <w:r>
        <w:t>Виды предпринимательской деятельности на рынке ценных бумаг, на осуществление которых необходимо получение лицензии</w:t>
      </w:r>
      <w:bookmarkEnd w:id="1"/>
    </w:p>
    <w:p w:rsidR="000154A4" w:rsidRDefault="000154A4">
      <w:pPr>
        <w:spacing w:line="360" w:lineRule="auto"/>
        <w:ind w:firstLine="851"/>
        <w:jc w:val="both"/>
      </w:pPr>
      <w:r>
        <w:t xml:space="preserve">Согласно Указу Президента России от 4 ноября 1994 г. № 2063 на рынке ценных бумаг осуществляются следующие виды предпринимательской деятельности: брокерская, дилерская, депозитарная, деятельность по ведению и хранению реестра акционеров, расчетно-клиринговая деятельность по ценным бумагам, расчетно-клиринговая деятельность по денежным средствам, деятельность по организации торговли ценными бумагами. </w:t>
      </w:r>
    </w:p>
    <w:p w:rsidR="000154A4" w:rsidRDefault="000154A4">
      <w:pPr>
        <w:numPr>
          <w:ilvl w:val="0"/>
          <w:numId w:val="1"/>
        </w:numPr>
        <w:spacing w:before="100" w:beforeAutospacing="1" w:after="100" w:afterAutospacing="1" w:line="360" w:lineRule="auto"/>
        <w:ind w:firstLine="851"/>
        <w:jc w:val="both"/>
      </w:pPr>
      <w:r>
        <w:t>Брокерская деятельность - совершение гражданско-правовых сделок с ценными бумагами на основании договоров комиссии и/или поручения</w:t>
      </w:r>
    </w:p>
    <w:p w:rsidR="000154A4" w:rsidRDefault="000154A4">
      <w:pPr>
        <w:numPr>
          <w:ilvl w:val="0"/>
          <w:numId w:val="1"/>
        </w:numPr>
        <w:spacing w:before="100" w:beforeAutospacing="1" w:after="100" w:afterAutospacing="1" w:line="360" w:lineRule="auto"/>
        <w:ind w:firstLine="851"/>
        <w:jc w:val="both"/>
      </w:pPr>
      <w:r>
        <w:t xml:space="preserve">Дилерская деятельность - совершение сделок купли-продажи ценных бумаг от своего имени и за свой счет путем публичного объявления цен покупки и продажи ценных бумаг с обязательством их покупки и продажи по объявленым ценам. </w:t>
      </w:r>
    </w:p>
    <w:p w:rsidR="000154A4" w:rsidRDefault="000154A4">
      <w:pPr>
        <w:numPr>
          <w:ilvl w:val="0"/>
          <w:numId w:val="1"/>
        </w:numPr>
        <w:spacing w:before="100" w:beforeAutospacing="1" w:after="100" w:afterAutospacing="1" w:line="360" w:lineRule="auto"/>
        <w:ind w:firstLine="851"/>
        <w:jc w:val="both"/>
      </w:pPr>
      <w:r>
        <w:t>Депозитарная деятельность - предоставление услуг по хранению сертификатов ценных бумаг и/или учету прав на ценные бумаги.</w:t>
      </w:r>
    </w:p>
    <w:p w:rsidR="000154A4" w:rsidRDefault="000154A4">
      <w:pPr>
        <w:numPr>
          <w:ilvl w:val="0"/>
          <w:numId w:val="1"/>
        </w:numPr>
        <w:spacing w:before="100" w:beforeAutospacing="1" w:after="100" w:afterAutospacing="1" w:line="360" w:lineRule="auto"/>
        <w:ind w:firstLine="851"/>
        <w:jc w:val="both"/>
      </w:pPr>
      <w:r>
        <w:t>Деятельность по ведению и хранению реестра акционеров - деятельность, которую осуществляет держатель реестра акционеров в порядке, установленном законодательством Российской Федерации</w:t>
      </w:r>
    </w:p>
    <w:p w:rsidR="000154A4" w:rsidRDefault="000154A4">
      <w:pPr>
        <w:numPr>
          <w:ilvl w:val="0"/>
          <w:numId w:val="1"/>
        </w:numPr>
        <w:spacing w:before="100" w:beforeAutospacing="1" w:after="100" w:afterAutospacing="1" w:line="360" w:lineRule="auto"/>
        <w:ind w:firstLine="851"/>
        <w:jc w:val="both"/>
      </w:pPr>
      <w:r>
        <w:t>Расчетно-клиринговая деятельность по ценным бумагам - деятельность по определению взаимных обязательств по поставке (переводу) ценных бумаг участников операций с ценными бумагами</w:t>
      </w:r>
    </w:p>
    <w:p w:rsidR="000154A4" w:rsidRDefault="000154A4">
      <w:pPr>
        <w:numPr>
          <w:ilvl w:val="0"/>
          <w:numId w:val="1"/>
        </w:numPr>
        <w:spacing w:before="100" w:beforeAutospacing="1" w:after="100" w:afterAutospacing="1" w:line="360" w:lineRule="auto"/>
        <w:ind w:firstLine="851"/>
        <w:jc w:val="both"/>
      </w:pPr>
      <w:r>
        <w:t>Расчетно-клиринговая деятельность по денежным средствам - деятельность по определению взаимных обязательств и/или по поставке (переводу) денежных средств в связи с операциями с ценными бумагами</w:t>
      </w:r>
    </w:p>
    <w:p w:rsidR="000154A4" w:rsidRDefault="000154A4">
      <w:pPr>
        <w:numPr>
          <w:ilvl w:val="0"/>
          <w:numId w:val="1"/>
        </w:numPr>
        <w:spacing w:before="100" w:beforeAutospacing="1" w:after="100" w:afterAutospacing="1" w:line="360" w:lineRule="auto"/>
        <w:ind w:firstLine="851"/>
        <w:jc w:val="both"/>
      </w:pPr>
      <w:r>
        <w:t>Деятельность по организации торговли ценными бумагами - предоставление услуг, способствующих заключению сделок с ценными бумагами между профессиональными участниками рынка ценных бумаг включая деятельность фондовых бирж</w:t>
      </w:r>
    </w:p>
    <w:p w:rsidR="000154A4" w:rsidRDefault="000154A4">
      <w:pPr>
        <w:pStyle w:val="a3"/>
      </w:pPr>
      <w:r>
        <w:t>Все перечисленные виды деятельности на рынке ценных бумаг лицензируются Федеральной комиссией по ценным бумагам и фондовому рынку при Правительстве Российской Федерации (Указом Президента РФ от 27 февраля 1995 г. № 202 статус Федеральной комиссии приравнен к статусу федерального министерства). Указом Президента РФ от 4 ноября 1994 г. № 2063 Федеральной комиссии было предписано в трехмесячный срок установить новый порядок лицензирования профессиональной деятельности на рынке ценных бумаг, а также порядок квалификации всех финансовых инструментов и определения их видов. К настоящему моменту Федеральной комиссией по ценным бумагам и фондовому рынку при Правительстве Российской Федерации издано три документа, посвященных лицензированию профессиональной деятельности на рынке ценных бумаг:</w:t>
      </w:r>
    </w:p>
    <w:p w:rsidR="000154A4" w:rsidRDefault="000154A4">
      <w:pPr>
        <w:numPr>
          <w:ilvl w:val="0"/>
          <w:numId w:val="2"/>
        </w:numPr>
        <w:spacing w:before="100" w:beforeAutospacing="1" w:after="100" w:afterAutospacing="1" w:line="360" w:lineRule="auto"/>
        <w:ind w:firstLine="851"/>
        <w:jc w:val="both"/>
      </w:pPr>
      <w:r>
        <w:t xml:space="preserve">Временный порядок лицензирования деятельности по ведению реестра владельцев именных ценных бумаг (утвержден постановлением Федеральной комиссии по ценным бумагам и фондовому рынку от 30 августа 1995 г. № 6); </w:t>
      </w:r>
    </w:p>
    <w:p w:rsidR="000154A4" w:rsidRDefault="000154A4">
      <w:pPr>
        <w:numPr>
          <w:ilvl w:val="0"/>
          <w:numId w:val="2"/>
        </w:numPr>
        <w:spacing w:before="100" w:beforeAutospacing="1" w:after="100" w:afterAutospacing="1" w:line="360" w:lineRule="auto"/>
        <w:ind w:firstLine="851"/>
        <w:jc w:val="both"/>
      </w:pPr>
      <w:r>
        <w:t xml:space="preserve">Временное положение о лицензировании деятельности по оценке недвижимого имущества паевых инвестиционных фондов (утверждено постановлением Федеральной комиссии по ценным бумагам и фондовому рынку от 30 августа 1995 г. № 7); </w:t>
      </w:r>
    </w:p>
    <w:p w:rsidR="000154A4" w:rsidRDefault="000154A4">
      <w:pPr>
        <w:numPr>
          <w:ilvl w:val="0"/>
          <w:numId w:val="2"/>
        </w:numPr>
        <w:spacing w:before="100" w:beforeAutospacing="1" w:after="100" w:afterAutospacing="1" w:line="360" w:lineRule="auto"/>
        <w:ind w:firstLine="851"/>
        <w:jc w:val="both"/>
      </w:pPr>
      <w:r>
        <w:t>Положение о порядке лицензирования деятельности в качестве специализированного депозитария паевых инвестиционных фондов (утверждено постановлением Федеральной комиссии по ценным бумагам и фондовому рынку от 25 октября 1995 г. № 18)</w:t>
      </w:r>
    </w:p>
    <w:p w:rsidR="000154A4" w:rsidRDefault="000154A4">
      <w:pPr>
        <w:spacing w:line="360" w:lineRule="auto"/>
        <w:ind w:firstLine="851"/>
        <w:jc w:val="both"/>
      </w:pPr>
      <w:r>
        <w:t>Протоколом Комиссии по ценным бумагам и фондовым биржам при Президенте Российской Федерации от 14 апреля 1994 г. № 2 утверждено Положение о депозитариях (утверждено впоследствии распоряжением Госкомимущества России от 20 апреля 1994 г. № 859-р). Названным документом определен порядок лицензирования депозитарной деятельности. Учитывая, что Федеральной комиссией по ценным бумагам еще не приняты все необходимые для регулирования лицензионной деятельности нормативные акты, можно сделать вывод о том, что продолжают действовать следующие акты Министерства финансов России, регулирующие порядок лицензирования предпринимательской деятельности на рынке ценных бумаг:</w:t>
      </w:r>
    </w:p>
    <w:p w:rsidR="000154A4" w:rsidRDefault="000154A4">
      <w:pPr>
        <w:spacing w:line="360" w:lineRule="auto"/>
        <w:ind w:firstLine="851"/>
        <w:jc w:val="both"/>
      </w:pPr>
      <w:r>
        <w:rPr>
          <w:rFonts w:hAnsi="Symbol"/>
        </w:rPr>
        <w:t></w:t>
      </w:r>
      <w:r>
        <w:t xml:space="preserve">  Письмо Минфина России от 13 апреля 1992 г. № 20 "Положение о лицензировании биржевой деятельности на рынке ценных бумаг (с изменениями, внесенными письмами Минфина России от 2 марта 1993 г. № 18, от 31 марта 1993 г. № 39 и от 22 декабря 1993 г. № 151)</w:t>
      </w:r>
    </w:p>
    <w:p w:rsidR="000154A4" w:rsidRDefault="000154A4">
      <w:pPr>
        <w:spacing w:line="360" w:lineRule="auto"/>
        <w:ind w:firstLine="851"/>
        <w:jc w:val="both"/>
      </w:pPr>
      <w:r>
        <w:rPr>
          <w:rFonts w:hAnsi="Symbol"/>
        </w:rPr>
        <w:t></w:t>
      </w:r>
      <w:r>
        <w:t xml:space="preserve">  Письмо Минфина России от 21 сентября 1992 г. № 91 "О лицензировании деятельности на рынке ценных бумаг в качестве инвестиционных институтов" (с изменениями, внесенными письмами Минфина РФ от 28 января 1992 г.№ 122, 31 марта 1993 г. № 39, 22 декабря 1993 г. № 151, 11 мая 1994 г. № 64, 15 августа 1994 г. № 105) - устанавливает порядок лицензирования инвестиционных консультантов, посредников (финансовых брокеров), инвестиционных компаний;</w:t>
      </w:r>
    </w:p>
    <w:p w:rsidR="000154A4" w:rsidRDefault="000154A4">
      <w:pPr>
        <w:spacing w:line="360" w:lineRule="auto"/>
        <w:ind w:firstLine="851"/>
        <w:jc w:val="both"/>
      </w:pPr>
      <w:r>
        <w:rPr>
          <w:rFonts w:hAnsi="Symbol"/>
        </w:rPr>
        <w:t></w:t>
      </w:r>
      <w:r>
        <w:t xml:space="preserve">  Письмо Минфина России от 28 декабря 1992 г. № 121 "О лицензировании деятельности на рынке ценных бумаг в качестве инвестиционных фондов и лицензировании деятельности управляющих инвестиционными фондами" (с изменениями, внесенными письмом Минфина России от 22 декабря 1993 г. № 151;</w:t>
      </w:r>
    </w:p>
    <w:p w:rsidR="000154A4" w:rsidRDefault="000154A4">
      <w:pPr>
        <w:spacing w:line="360" w:lineRule="auto"/>
        <w:ind w:firstLine="851"/>
        <w:jc w:val="both"/>
      </w:pPr>
      <w:r>
        <w:rPr>
          <w:rFonts w:hAnsi="Symbol"/>
        </w:rPr>
        <w:t></w:t>
      </w:r>
      <w:r>
        <w:t xml:space="preserve">  Письмо Минфина России от 21 апреля 1992 г. № 23 "Об аттестации специалистов инвестиционных институтов и фондовых бирж (фондовых отделов бирж) на право совершения операций на рынке ценных бумаг" (с изменениями, внесенными письмами Минфина России от 31 марта 1993 г.№ 39, 5 мая 1993 г. № 57, 22 декабря 1993 г. № 151, 8 июня 1994 г. № 75).</w:t>
      </w:r>
    </w:p>
    <w:p w:rsidR="000154A4" w:rsidRDefault="000154A4">
      <w:pPr>
        <w:spacing w:line="360" w:lineRule="auto"/>
        <w:ind w:firstLine="851"/>
        <w:jc w:val="both"/>
      </w:pPr>
      <w:r>
        <w:br w:type="page"/>
      </w:r>
    </w:p>
    <w:p w:rsidR="000154A4" w:rsidRDefault="000154A4">
      <w:pPr>
        <w:pStyle w:val="1"/>
      </w:pPr>
      <w:bookmarkStart w:id="2" w:name="_Toc12696759"/>
      <w:r>
        <w:t>Банковские операции с ценными бумагами</w:t>
      </w:r>
      <w:bookmarkEnd w:id="2"/>
      <w:r>
        <w:t xml:space="preserve"> </w:t>
      </w:r>
    </w:p>
    <w:p w:rsidR="000154A4" w:rsidRDefault="000154A4">
      <w:pPr>
        <w:spacing w:line="360" w:lineRule="auto"/>
        <w:ind w:firstLine="851"/>
        <w:jc w:val="both"/>
      </w:pPr>
      <w:r>
        <w:t xml:space="preserve">Среди субъектов предпринимательской деятельности на рынке ценных бумаг следует выделить банки и другие кредитные учреждения. Согласно статье 5 Закона РСФСР от 2 декабря 1990 г. “О банках и банковской деятельности в РСФСР" организации, имеющие банковскую лицензию, среди прочих могут производить следующие операции и сделки: выпускать, покупать, продавать и хранить платежные документы и ценные бумаги (чеки, аккредитивы, векселя, акции, облигации и другие документы), осуществлять иные операции с ними; привлекать и размещать средства и управлять ценными бумагами по поручению клиентов (доверительные (трастовые) операции); оказывать брокерские и консультационные услуги; производить другие операции и сделки по разрешению ЦБР, выдаваемому в пределах его компетенции. </w:t>
      </w:r>
    </w:p>
    <w:p w:rsidR="000154A4" w:rsidRDefault="000154A4">
      <w:pPr>
        <w:spacing w:line="360" w:lineRule="auto"/>
        <w:ind w:firstLine="851"/>
        <w:jc w:val="both"/>
      </w:pPr>
      <w:r>
        <w:t>Согласно Федеральному закону "О Центральном банке Российской Федерации (Банке России)" (в редакции Федерального закона от 26 апреля 1995 г. № 65-ФЗ) ЦБР регистрирует кредитные организации в Книге государственной регистрации кредитных организаций, выдает кредитным организациям лицензии на осуществление банковских операций и отзывает их (статья 58).</w:t>
      </w:r>
    </w:p>
    <w:p w:rsidR="000154A4" w:rsidRDefault="000154A4">
      <w:pPr>
        <w:spacing w:line="360" w:lineRule="auto"/>
        <w:ind w:firstLine="851"/>
        <w:jc w:val="both"/>
      </w:pPr>
      <w:r>
        <w:t>Для осуществления банками депозитарной деятельности и дилерской деятельности на рынке ГКО необходима специальная регистрация в Центральном банке России.</w:t>
      </w:r>
    </w:p>
    <w:p w:rsidR="000154A4" w:rsidRDefault="000154A4">
      <w:pPr>
        <w:spacing w:line="360" w:lineRule="auto"/>
        <w:ind w:firstLine="851"/>
        <w:jc w:val="both"/>
      </w:pPr>
      <w:r>
        <w:br w:type="page"/>
      </w:r>
    </w:p>
    <w:p w:rsidR="000154A4" w:rsidRDefault="000154A4">
      <w:pPr>
        <w:pStyle w:val="2"/>
      </w:pPr>
      <w:bookmarkStart w:id="3" w:name="_Toc12696760"/>
      <w:r>
        <w:t>Депозитарная деятельность</w:t>
      </w:r>
      <w:bookmarkEnd w:id="3"/>
    </w:p>
    <w:p w:rsidR="000154A4" w:rsidRDefault="000154A4">
      <w:pPr>
        <w:spacing w:line="360" w:lineRule="auto"/>
        <w:ind w:firstLine="851"/>
        <w:jc w:val="both"/>
      </w:pPr>
      <w:r>
        <w:t>Объектом депозитарных операций банков могут быть только ценные бумаги, эмитированные резидентами Российской Федерации в соответствии с требованиями действующего законодательства, а также ценные бумаги, эмитированные нерезидентами, допущенные к обращению на территории России. Порядок выдачи свидетельств о регистрации банка в качестве депозитария установлен письмом ЦБР от 10 мая 1995 г. № 167. Регистрация банков в качестве депозитариев осуществляется главными территориальными управлениями (национальными банками) Банка России по месту нахождения банка. Телеграммой ЦБР от 22 мая 1995 г. № 66-95 сообщено, что обязанности по регистрации банков в качестве депозитариев возложены на подразделения по работе с ценными бумагами территориальных управлений ЦБР.</w:t>
      </w:r>
    </w:p>
    <w:p w:rsidR="000154A4" w:rsidRDefault="000154A4">
      <w:pPr>
        <w:pStyle w:val="2"/>
      </w:pPr>
      <w:bookmarkStart w:id="4" w:name="_Toc12696761"/>
      <w:r>
        <w:t>Дилерская деятельность</w:t>
      </w:r>
      <w:bookmarkEnd w:id="4"/>
    </w:p>
    <w:p w:rsidR="000154A4" w:rsidRDefault="000154A4">
      <w:pPr>
        <w:spacing w:line="360" w:lineRule="auto"/>
        <w:ind w:firstLine="851"/>
        <w:jc w:val="both"/>
        <w:rPr>
          <w:b/>
          <w:bCs/>
          <w:u w:val="single"/>
        </w:rPr>
      </w:pPr>
      <w:r>
        <w:t>Дилерская деятельность банков на рынке ГКО осуществляется на основании заключенного с Центральным банком договора. Условия заключения таких договоров установлены приказом ЦБР от 6 апреля 1995 г. № 02-86 "О порядке заключения Банком России договоров о выполнении функций дилера на рынке государственных краткосрочных бескупонных облигаций".</w:t>
      </w:r>
    </w:p>
    <w:p w:rsidR="000154A4" w:rsidRDefault="000154A4">
      <w:pPr>
        <w:spacing w:line="360" w:lineRule="auto"/>
        <w:ind w:firstLine="851"/>
        <w:jc w:val="both"/>
        <w:rPr>
          <w:b/>
          <w:bCs/>
        </w:rPr>
      </w:pPr>
    </w:p>
    <w:p w:rsidR="000154A4" w:rsidRDefault="000154A4">
      <w:pPr>
        <w:pStyle w:val="1"/>
        <w:rPr>
          <w:sz w:val="24"/>
        </w:rPr>
      </w:pPr>
      <w:r>
        <w:br w:type="page"/>
      </w:r>
      <w:bookmarkStart w:id="5" w:name="_Toc12696762"/>
      <w:r>
        <w:t>Список литературы</w:t>
      </w:r>
      <w:bookmarkEnd w:id="5"/>
    </w:p>
    <w:p w:rsidR="000154A4" w:rsidRDefault="000154A4">
      <w:pPr>
        <w:numPr>
          <w:ilvl w:val="0"/>
          <w:numId w:val="7"/>
        </w:numPr>
        <w:spacing w:line="360" w:lineRule="auto"/>
        <w:ind w:left="714" w:hanging="357"/>
        <w:jc w:val="both"/>
        <w:rPr>
          <w:bCs/>
        </w:rPr>
      </w:pPr>
      <w:r>
        <w:rPr>
          <w:color w:val="000000"/>
        </w:rPr>
        <w:t>Закон Российской Федерации N 39Ф3 “О рынке ценных бумаг”</w:t>
      </w:r>
      <w:r>
        <w:t>.</w:t>
      </w:r>
    </w:p>
    <w:p w:rsidR="000154A4" w:rsidRDefault="000154A4">
      <w:pPr>
        <w:numPr>
          <w:ilvl w:val="0"/>
          <w:numId w:val="7"/>
        </w:numPr>
        <w:spacing w:line="360" w:lineRule="auto"/>
        <w:ind w:left="714" w:hanging="357"/>
        <w:jc w:val="both"/>
        <w:rPr>
          <w:bCs/>
        </w:rPr>
      </w:pPr>
      <w:r>
        <w:t>Галанова В.А., Басова А.И.  «Рынок ценных бумаг»,. Москва, изд-во «Финансы и статистика», 1999.</w:t>
      </w:r>
    </w:p>
    <w:p w:rsidR="000154A4" w:rsidRDefault="000154A4">
      <w:pPr>
        <w:numPr>
          <w:ilvl w:val="0"/>
          <w:numId w:val="7"/>
        </w:numPr>
        <w:spacing w:line="360" w:lineRule="auto"/>
        <w:ind w:left="714" w:hanging="357"/>
        <w:jc w:val="both"/>
        <w:rPr>
          <w:bCs/>
        </w:rPr>
      </w:pPr>
      <w:r>
        <w:rPr>
          <w:color w:val="000000"/>
        </w:rPr>
        <w:t>Львов Ю.И. «Банки и финансовый рынок»,. Санкт-Петербург, изд-во«КультИнформПресс», 1995</w:t>
      </w:r>
    </w:p>
    <w:p w:rsidR="000154A4" w:rsidRDefault="000154A4">
      <w:pPr>
        <w:numPr>
          <w:ilvl w:val="0"/>
          <w:numId w:val="7"/>
        </w:numPr>
        <w:spacing w:line="360" w:lineRule="auto"/>
        <w:ind w:left="714" w:hanging="357"/>
        <w:jc w:val="both"/>
        <w:rPr>
          <w:bCs/>
        </w:rPr>
      </w:pPr>
      <w:r>
        <w:t>Савенков В. Н. «Ценные бумаги в России»,.изд-во «Ифра-М», Москва, 1998</w:t>
      </w:r>
    </w:p>
    <w:p w:rsidR="000154A4" w:rsidRDefault="000154A4">
      <w:pPr>
        <w:numPr>
          <w:ilvl w:val="0"/>
          <w:numId w:val="7"/>
        </w:numPr>
        <w:spacing w:line="360" w:lineRule="auto"/>
        <w:ind w:left="714" w:hanging="357"/>
        <w:jc w:val="both"/>
        <w:rPr>
          <w:bCs/>
        </w:rPr>
      </w:pPr>
      <w:r>
        <w:t xml:space="preserve">Миркин Я.М. Ценные бумаги и фондовый рынок., </w:t>
      </w:r>
      <w:r>
        <w:rPr>
          <w:rFonts w:ascii="Journal" w:hAnsi="Journal"/>
          <w:bCs/>
          <w:szCs w:val="28"/>
        </w:rPr>
        <w:t>Профессиональный курс в Финансовой Академии при Правительстве РФ, М., «Перспектива», 1995.</w:t>
      </w:r>
      <w:bookmarkStart w:id="6" w:name="_GoBack"/>
      <w:bookmarkEnd w:id="6"/>
    </w:p>
    <w:sectPr w:rsidR="000154A4">
      <w:headerReference w:type="even" r:id="rId7"/>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4A4" w:rsidRDefault="000154A4">
      <w:r>
        <w:separator/>
      </w:r>
    </w:p>
  </w:endnote>
  <w:endnote w:type="continuationSeparator" w:id="0">
    <w:p w:rsidR="000154A4" w:rsidRDefault="0001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4A4" w:rsidRDefault="000154A4">
      <w:r>
        <w:separator/>
      </w:r>
    </w:p>
  </w:footnote>
  <w:footnote w:type="continuationSeparator" w:id="0">
    <w:p w:rsidR="000154A4" w:rsidRDefault="00015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4A4" w:rsidRDefault="000154A4">
    <w:pPr>
      <w:pStyle w:val="a4"/>
      <w:framePr w:wrap="around" w:vAnchor="text" w:hAnchor="margin" w:xAlign="right" w:y="1"/>
      <w:rPr>
        <w:rStyle w:val="a5"/>
      </w:rPr>
    </w:pPr>
  </w:p>
  <w:p w:rsidR="000154A4" w:rsidRDefault="000154A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4A4" w:rsidRDefault="0039735A">
    <w:pPr>
      <w:pStyle w:val="a4"/>
      <w:framePr w:wrap="around" w:vAnchor="text" w:hAnchor="margin" w:xAlign="right" w:y="1"/>
      <w:rPr>
        <w:rStyle w:val="a5"/>
      </w:rPr>
    </w:pPr>
    <w:r>
      <w:rPr>
        <w:rStyle w:val="a5"/>
        <w:noProof/>
      </w:rPr>
      <w:t>2</w:t>
    </w:r>
  </w:p>
  <w:p w:rsidR="000154A4" w:rsidRDefault="000154A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D25"/>
    <w:multiLevelType w:val="singleLevel"/>
    <w:tmpl w:val="0419000F"/>
    <w:lvl w:ilvl="0">
      <w:start w:val="1"/>
      <w:numFmt w:val="decimal"/>
      <w:lvlText w:val="%1."/>
      <w:lvlJc w:val="left"/>
      <w:pPr>
        <w:tabs>
          <w:tab w:val="num" w:pos="360"/>
        </w:tabs>
        <w:ind w:left="360" w:hanging="360"/>
      </w:pPr>
    </w:lvl>
  </w:abstractNum>
  <w:abstractNum w:abstractNumId="1">
    <w:nsid w:val="2A1635FC"/>
    <w:multiLevelType w:val="hybridMultilevel"/>
    <w:tmpl w:val="90242074"/>
    <w:lvl w:ilvl="0" w:tplc="462C7F2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E05044"/>
    <w:multiLevelType w:val="hybridMultilevel"/>
    <w:tmpl w:val="FB7088CA"/>
    <w:lvl w:ilvl="0" w:tplc="462C7F28">
      <w:start w:val="1"/>
      <w:numFmt w:val="decimal"/>
      <w:lvlText w:val="%1."/>
      <w:lvlJc w:val="left"/>
      <w:pPr>
        <w:tabs>
          <w:tab w:val="num" w:pos="720"/>
        </w:tabs>
        <w:ind w:left="720" w:hanging="360"/>
      </w:pPr>
    </w:lvl>
    <w:lvl w:ilvl="1" w:tplc="BDC00658" w:tentative="1">
      <w:start w:val="1"/>
      <w:numFmt w:val="decimal"/>
      <w:lvlText w:val="%2."/>
      <w:lvlJc w:val="left"/>
      <w:pPr>
        <w:tabs>
          <w:tab w:val="num" w:pos="1440"/>
        </w:tabs>
        <w:ind w:left="1440" w:hanging="360"/>
      </w:pPr>
    </w:lvl>
    <w:lvl w:ilvl="2" w:tplc="C89C93F4" w:tentative="1">
      <w:start w:val="1"/>
      <w:numFmt w:val="decimal"/>
      <w:lvlText w:val="%3."/>
      <w:lvlJc w:val="left"/>
      <w:pPr>
        <w:tabs>
          <w:tab w:val="num" w:pos="2160"/>
        </w:tabs>
        <w:ind w:left="2160" w:hanging="360"/>
      </w:pPr>
    </w:lvl>
    <w:lvl w:ilvl="3" w:tplc="711CB184" w:tentative="1">
      <w:start w:val="1"/>
      <w:numFmt w:val="decimal"/>
      <w:lvlText w:val="%4."/>
      <w:lvlJc w:val="left"/>
      <w:pPr>
        <w:tabs>
          <w:tab w:val="num" w:pos="2880"/>
        </w:tabs>
        <w:ind w:left="2880" w:hanging="360"/>
      </w:pPr>
    </w:lvl>
    <w:lvl w:ilvl="4" w:tplc="8E2EF9E8" w:tentative="1">
      <w:start w:val="1"/>
      <w:numFmt w:val="decimal"/>
      <w:lvlText w:val="%5."/>
      <w:lvlJc w:val="left"/>
      <w:pPr>
        <w:tabs>
          <w:tab w:val="num" w:pos="3600"/>
        </w:tabs>
        <w:ind w:left="3600" w:hanging="360"/>
      </w:pPr>
    </w:lvl>
    <w:lvl w:ilvl="5" w:tplc="FCAAC3D4" w:tentative="1">
      <w:start w:val="1"/>
      <w:numFmt w:val="decimal"/>
      <w:lvlText w:val="%6."/>
      <w:lvlJc w:val="left"/>
      <w:pPr>
        <w:tabs>
          <w:tab w:val="num" w:pos="4320"/>
        </w:tabs>
        <w:ind w:left="4320" w:hanging="360"/>
      </w:pPr>
    </w:lvl>
    <w:lvl w:ilvl="6" w:tplc="211E076C" w:tentative="1">
      <w:start w:val="1"/>
      <w:numFmt w:val="decimal"/>
      <w:lvlText w:val="%7."/>
      <w:lvlJc w:val="left"/>
      <w:pPr>
        <w:tabs>
          <w:tab w:val="num" w:pos="5040"/>
        </w:tabs>
        <w:ind w:left="5040" w:hanging="360"/>
      </w:pPr>
    </w:lvl>
    <w:lvl w:ilvl="7" w:tplc="1110ECE0" w:tentative="1">
      <w:start w:val="1"/>
      <w:numFmt w:val="decimal"/>
      <w:lvlText w:val="%8."/>
      <w:lvlJc w:val="left"/>
      <w:pPr>
        <w:tabs>
          <w:tab w:val="num" w:pos="5760"/>
        </w:tabs>
        <w:ind w:left="5760" w:hanging="360"/>
      </w:pPr>
    </w:lvl>
    <w:lvl w:ilvl="8" w:tplc="EBC2383A" w:tentative="1">
      <w:start w:val="1"/>
      <w:numFmt w:val="decimal"/>
      <w:lvlText w:val="%9."/>
      <w:lvlJc w:val="left"/>
      <w:pPr>
        <w:tabs>
          <w:tab w:val="num" w:pos="6480"/>
        </w:tabs>
        <w:ind w:left="6480" w:hanging="360"/>
      </w:pPr>
    </w:lvl>
  </w:abstractNum>
  <w:abstractNum w:abstractNumId="3">
    <w:nsid w:val="3E271743"/>
    <w:multiLevelType w:val="hybridMultilevel"/>
    <w:tmpl w:val="3A181F9E"/>
    <w:lvl w:ilvl="0" w:tplc="462C7F2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BDF61AD"/>
    <w:multiLevelType w:val="hybridMultilevel"/>
    <w:tmpl w:val="E5CC4FB6"/>
    <w:lvl w:ilvl="0" w:tplc="535C6632">
      <w:start w:val="1"/>
      <w:numFmt w:val="decimal"/>
      <w:lvlText w:val="%1."/>
      <w:lvlJc w:val="left"/>
      <w:pPr>
        <w:tabs>
          <w:tab w:val="num" w:pos="720"/>
        </w:tabs>
        <w:ind w:left="720" w:hanging="360"/>
      </w:pPr>
    </w:lvl>
    <w:lvl w:ilvl="1" w:tplc="E6CA6D8C" w:tentative="1">
      <w:start w:val="1"/>
      <w:numFmt w:val="decimal"/>
      <w:lvlText w:val="%2."/>
      <w:lvlJc w:val="left"/>
      <w:pPr>
        <w:tabs>
          <w:tab w:val="num" w:pos="1440"/>
        </w:tabs>
        <w:ind w:left="1440" w:hanging="360"/>
      </w:pPr>
    </w:lvl>
    <w:lvl w:ilvl="2" w:tplc="09EC127E" w:tentative="1">
      <w:start w:val="1"/>
      <w:numFmt w:val="decimal"/>
      <w:lvlText w:val="%3."/>
      <w:lvlJc w:val="left"/>
      <w:pPr>
        <w:tabs>
          <w:tab w:val="num" w:pos="2160"/>
        </w:tabs>
        <w:ind w:left="2160" w:hanging="360"/>
      </w:pPr>
    </w:lvl>
    <w:lvl w:ilvl="3" w:tplc="CF4C35DA" w:tentative="1">
      <w:start w:val="1"/>
      <w:numFmt w:val="decimal"/>
      <w:lvlText w:val="%4."/>
      <w:lvlJc w:val="left"/>
      <w:pPr>
        <w:tabs>
          <w:tab w:val="num" w:pos="2880"/>
        </w:tabs>
        <w:ind w:left="2880" w:hanging="360"/>
      </w:pPr>
    </w:lvl>
    <w:lvl w:ilvl="4" w:tplc="73AE46F0" w:tentative="1">
      <w:start w:val="1"/>
      <w:numFmt w:val="decimal"/>
      <w:lvlText w:val="%5."/>
      <w:lvlJc w:val="left"/>
      <w:pPr>
        <w:tabs>
          <w:tab w:val="num" w:pos="3600"/>
        </w:tabs>
        <w:ind w:left="3600" w:hanging="360"/>
      </w:pPr>
    </w:lvl>
    <w:lvl w:ilvl="5" w:tplc="F6A24FD8" w:tentative="1">
      <w:start w:val="1"/>
      <w:numFmt w:val="decimal"/>
      <w:lvlText w:val="%6."/>
      <w:lvlJc w:val="left"/>
      <w:pPr>
        <w:tabs>
          <w:tab w:val="num" w:pos="4320"/>
        </w:tabs>
        <w:ind w:left="4320" w:hanging="360"/>
      </w:pPr>
    </w:lvl>
    <w:lvl w:ilvl="6" w:tplc="8C503D28" w:tentative="1">
      <w:start w:val="1"/>
      <w:numFmt w:val="decimal"/>
      <w:lvlText w:val="%7."/>
      <w:lvlJc w:val="left"/>
      <w:pPr>
        <w:tabs>
          <w:tab w:val="num" w:pos="5040"/>
        </w:tabs>
        <w:ind w:left="5040" w:hanging="360"/>
      </w:pPr>
    </w:lvl>
    <w:lvl w:ilvl="7" w:tplc="8778A532" w:tentative="1">
      <w:start w:val="1"/>
      <w:numFmt w:val="decimal"/>
      <w:lvlText w:val="%8."/>
      <w:lvlJc w:val="left"/>
      <w:pPr>
        <w:tabs>
          <w:tab w:val="num" w:pos="5760"/>
        </w:tabs>
        <w:ind w:left="5760" w:hanging="360"/>
      </w:pPr>
    </w:lvl>
    <w:lvl w:ilvl="8" w:tplc="098A680C" w:tentative="1">
      <w:start w:val="1"/>
      <w:numFmt w:val="decimal"/>
      <w:lvlText w:val="%9."/>
      <w:lvlJc w:val="left"/>
      <w:pPr>
        <w:tabs>
          <w:tab w:val="num" w:pos="6480"/>
        </w:tabs>
        <w:ind w:left="6480" w:hanging="360"/>
      </w:pPr>
    </w:lvl>
  </w:abstractNum>
  <w:abstractNum w:abstractNumId="5">
    <w:nsid w:val="64926E61"/>
    <w:multiLevelType w:val="hybridMultilevel"/>
    <w:tmpl w:val="B8AC3FE2"/>
    <w:lvl w:ilvl="0" w:tplc="0FCC8726">
      <w:start w:val="1"/>
      <w:numFmt w:val="bullet"/>
      <w:lvlText w:val=""/>
      <w:lvlJc w:val="left"/>
      <w:pPr>
        <w:tabs>
          <w:tab w:val="num" w:pos="720"/>
        </w:tabs>
        <w:ind w:left="720" w:hanging="360"/>
      </w:pPr>
      <w:rPr>
        <w:rFonts w:ascii="Symbol" w:hAnsi="Symbol" w:hint="default"/>
        <w:sz w:val="20"/>
      </w:rPr>
    </w:lvl>
    <w:lvl w:ilvl="1" w:tplc="33D4CD22" w:tentative="1">
      <w:start w:val="1"/>
      <w:numFmt w:val="bullet"/>
      <w:lvlText w:val="o"/>
      <w:lvlJc w:val="left"/>
      <w:pPr>
        <w:tabs>
          <w:tab w:val="num" w:pos="1440"/>
        </w:tabs>
        <w:ind w:left="1440" w:hanging="360"/>
      </w:pPr>
      <w:rPr>
        <w:rFonts w:ascii="Courier New" w:hAnsi="Courier New" w:hint="default"/>
        <w:sz w:val="20"/>
      </w:rPr>
    </w:lvl>
    <w:lvl w:ilvl="2" w:tplc="16681CB6" w:tentative="1">
      <w:start w:val="1"/>
      <w:numFmt w:val="bullet"/>
      <w:lvlText w:val=""/>
      <w:lvlJc w:val="left"/>
      <w:pPr>
        <w:tabs>
          <w:tab w:val="num" w:pos="2160"/>
        </w:tabs>
        <w:ind w:left="2160" w:hanging="360"/>
      </w:pPr>
      <w:rPr>
        <w:rFonts w:ascii="Wingdings" w:hAnsi="Wingdings" w:hint="default"/>
        <w:sz w:val="20"/>
      </w:rPr>
    </w:lvl>
    <w:lvl w:ilvl="3" w:tplc="DF22BAF2" w:tentative="1">
      <w:start w:val="1"/>
      <w:numFmt w:val="bullet"/>
      <w:lvlText w:val=""/>
      <w:lvlJc w:val="left"/>
      <w:pPr>
        <w:tabs>
          <w:tab w:val="num" w:pos="2880"/>
        </w:tabs>
        <w:ind w:left="2880" w:hanging="360"/>
      </w:pPr>
      <w:rPr>
        <w:rFonts w:ascii="Wingdings" w:hAnsi="Wingdings" w:hint="default"/>
        <w:sz w:val="20"/>
      </w:rPr>
    </w:lvl>
    <w:lvl w:ilvl="4" w:tplc="4CBC3B32" w:tentative="1">
      <w:start w:val="1"/>
      <w:numFmt w:val="bullet"/>
      <w:lvlText w:val=""/>
      <w:lvlJc w:val="left"/>
      <w:pPr>
        <w:tabs>
          <w:tab w:val="num" w:pos="3600"/>
        </w:tabs>
        <w:ind w:left="3600" w:hanging="360"/>
      </w:pPr>
      <w:rPr>
        <w:rFonts w:ascii="Wingdings" w:hAnsi="Wingdings" w:hint="default"/>
        <w:sz w:val="20"/>
      </w:rPr>
    </w:lvl>
    <w:lvl w:ilvl="5" w:tplc="3E1C4970" w:tentative="1">
      <w:start w:val="1"/>
      <w:numFmt w:val="bullet"/>
      <w:lvlText w:val=""/>
      <w:lvlJc w:val="left"/>
      <w:pPr>
        <w:tabs>
          <w:tab w:val="num" w:pos="4320"/>
        </w:tabs>
        <w:ind w:left="4320" w:hanging="360"/>
      </w:pPr>
      <w:rPr>
        <w:rFonts w:ascii="Wingdings" w:hAnsi="Wingdings" w:hint="default"/>
        <w:sz w:val="20"/>
      </w:rPr>
    </w:lvl>
    <w:lvl w:ilvl="6" w:tplc="D3BA46C6" w:tentative="1">
      <w:start w:val="1"/>
      <w:numFmt w:val="bullet"/>
      <w:lvlText w:val=""/>
      <w:lvlJc w:val="left"/>
      <w:pPr>
        <w:tabs>
          <w:tab w:val="num" w:pos="5040"/>
        </w:tabs>
        <w:ind w:left="5040" w:hanging="360"/>
      </w:pPr>
      <w:rPr>
        <w:rFonts w:ascii="Wingdings" w:hAnsi="Wingdings" w:hint="default"/>
        <w:sz w:val="20"/>
      </w:rPr>
    </w:lvl>
    <w:lvl w:ilvl="7" w:tplc="92EE3C2A" w:tentative="1">
      <w:start w:val="1"/>
      <w:numFmt w:val="bullet"/>
      <w:lvlText w:val=""/>
      <w:lvlJc w:val="left"/>
      <w:pPr>
        <w:tabs>
          <w:tab w:val="num" w:pos="5760"/>
        </w:tabs>
        <w:ind w:left="5760" w:hanging="360"/>
      </w:pPr>
      <w:rPr>
        <w:rFonts w:ascii="Wingdings" w:hAnsi="Wingdings" w:hint="default"/>
        <w:sz w:val="20"/>
      </w:rPr>
    </w:lvl>
    <w:lvl w:ilvl="8" w:tplc="79CCF43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26341D"/>
    <w:multiLevelType w:val="hybridMultilevel"/>
    <w:tmpl w:val="D7C66998"/>
    <w:lvl w:ilvl="0" w:tplc="462C7F2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F6C2EBE"/>
    <w:multiLevelType w:val="hybridMultilevel"/>
    <w:tmpl w:val="CCB48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35A"/>
    <w:rsid w:val="000154A4"/>
    <w:rsid w:val="0039735A"/>
    <w:rsid w:val="00AD03A8"/>
    <w:rsid w:val="00CE7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65DA3E-C459-46E6-AC57-77C1770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spacing w:before="240" w:after="240" w:line="360" w:lineRule="auto"/>
      <w:jc w:val="center"/>
      <w:outlineLvl w:val="0"/>
    </w:pPr>
    <w:rPr>
      <w:rFonts w:ascii="Arial" w:hAnsi="Arial" w:cs="Arial"/>
      <w:b/>
      <w:bCs/>
      <w:kern w:val="32"/>
      <w:sz w:val="32"/>
      <w:szCs w:val="32"/>
    </w:rPr>
  </w:style>
  <w:style w:type="paragraph" w:styleId="2">
    <w:name w:val="heading 2"/>
    <w:basedOn w:val="a"/>
    <w:next w:val="a"/>
    <w:qFormat/>
    <w:pPr>
      <w:keepNext/>
      <w:spacing w:before="240" w:after="240" w:line="360" w:lineRule="auto"/>
      <w:jc w:val="center"/>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80"/>
    </w:pPr>
  </w:style>
  <w:style w:type="paragraph" w:styleId="3">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semiHidden/>
    <w:rPr>
      <w:color w:val="0000FF"/>
      <w:u w:val="single"/>
    </w:rPr>
  </w:style>
  <w:style w:type="paragraph" w:styleId="21">
    <w:name w:val="Body Text 2"/>
    <w:basedOn w:val="a"/>
    <w:semiHidden/>
    <w:pPr>
      <w:jc w:val="both"/>
    </w:pPr>
    <w:rPr>
      <w:sz w:val="24"/>
      <w:szCs w:val="20"/>
    </w:rPr>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ucke\Application%20Data\Microsoft\&#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1748</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Михайловский ГОК</Company>
  <LinksUpToDate>false</LinksUpToDate>
  <CharactersWithSpaces>11689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Aldokhin</dc:creator>
  <cp:keywords/>
  <dc:description/>
  <cp:lastModifiedBy>Irina</cp:lastModifiedBy>
  <cp:revision>2</cp:revision>
  <cp:lastPrinted>2002-06-25T07:13:00Z</cp:lastPrinted>
  <dcterms:created xsi:type="dcterms:W3CDTF">2014-08-06T16:44:00Z</dcterms:created>
  <dcterms:modified xsi:type="dcterms:W3CDTF">2014-08-06T16:44:00Z</dcterms:modified>
</cp:coreProperties>
</file>