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84" w:rsidRDefault="007F0984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Введение……………………………………………………………………….3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1. Государственные кадастры природных ресурсов</w:t>
      </w:r>
      <w:r>
        <w:rPr>
          <w:bCs/>
          <w:color w:val="000000"/>
          <w:sz w:val="28"/>
          <w:szCs w:val="28"/>
        </w:rPr>
        <w:t>………………………..4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2. Государственный земельный кадастр</w:t>
      </w:r>
      <w:r>
        <w:rPr>
          <w:bCs/>
          <w:color w:val="000000"/>
          <w:sz w:val="28"/>
          <w:szCs w:val="28"/>
        </w:rPr>
        <w:t>…………………………………….5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3. Государственный лесной кадастр (ГЛК</w:t>
      </w:r>
      <w:r w:rsidRPr="002E7F5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………………………………….6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4. Государственный водный кадастр (ГВК)</w:t>
      </w:r>
      <w:r>
        <w:rPr>
          <w:bCs/>
          <w:color w:val="000000"/>
          <w:sz w:val="28"/>
          <w:szCs w:val="28"/>
        </w:rPr>
        <w:t>…………………………………8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 xml:space="preserve">5. Государственный кадастр месторождений и проявлений 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полезных ископаемых</w:t>
      </w:r>
      <w:r>
        <w:rPr>
          <w:bCs/>
          <w:color w:val="000000"/>
          <w:sz w:val="28"/>
          <w:szCs w:val="28"/>
        </w:rPr>
        <w:t>………………………………………………………..10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Заключение……………………………………………………………………12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использованной литературы………………………………………...13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39"/>
        <w:jc w:val="both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На рубеже II и III тысячелетий н. э.</w:t>
      </w:r>
      <w:r>
        <w:rPr>
          <w:bCs/>
          <w:color w:val="000000"/>
          <w:sz w:val="28"/>
          <w:szCs w:val="28"/>
        </w:rPr>
        <w:t xml:space="preserve"> в мышлении человека и его прак</w:t>
      </w:r>
      <w:r w:rsidRPr="002E7F50">
        <w:rPr>
          <w:bCs/>
          <w:color w:val="000000"/>
          <w:sz w:val="28"/>
          <w:szCs w:val="28"/>
        </w:rPr>
        <w:t>тической деятельности происходит сме</w:t>
      </w:r>
      <w:r>
        <w:rPr>
          <w:bCs/>
          <w:color w:val="000000"/>
          <w:sz w:val="28"/>
          <w:szCs w:val="28"/>
        </w:rPr>
        <w:t>на парадигмы. Экономические при</w:t>
      </w:r>
      <w:r w:rsidRPr="002E7F50">
        <w:rPr>
          <w:bCs/>
          <w:color w:val="000000"/>
          <w:sz w:val="28"/>
          <w:szCs w:val="28"/>
        </w:rPr>
        <w:t>оритеты, господствовавшие всю истори</w:t>
      </w:r>
      <w:r>
        <w:rPr>
          <w:bCs/>
          <w:color w:val="000000"/>
          <w:sz w:val="28"/>
          <w:szCs w:val="28"/>
        </w:rPr>
        <w:t xml:space="preserve">ю развития цивилизации вплоть до </w:t>
      </w:r>
      <w:r w:rsidRPr="002E7F50">
        <w:rPr>
          <w:bCs/>
          <w:color w:val="000000"/>
          <w:sz w:val="28"/>
          <w:szCs w:val="28"/>
        </w:rPr>
        <w:t>середины XX века, постепенно заменяются экологическими.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39"/>
        <w:jc w:val="both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 xml:space="preserve">     Экономические интересы общества</w:t>
      </w:r>
      <w:r>
        <w:rPr>
          <w:bCs/>
          <w:color w:val="000000"/>
          <w:sz w:val="28"/>
          <w:szCs w:val="28"/>
        </w:rPr>
        <w:t xml:space="preserve"> направлены на достижение макси</w:t>
      </w:r>
      <w:r w:rsidRPr="002E7F50">
        <w:rPr>
          <w:bCs/>
          <w:color w:val="000000"/>
          <w:sz w:val="28"/>
          <w:szCs w:val="28"/>
        </w:rPr>
        <w:t>мальной экономической эффективности о</w:t>
      </w:r>
      <w:r>
        <w:rPr>
          <w:bCs/>
          <w:color w:val="000000"/>
          <w:sz w:val="28"/>
          <w:szCs w:val="28"/>
        </w:rPr>
        <w:t>т использования природных ресур</w:t>
      </w:r>
      <w:r w:rsidRPr="002E7F50">
        <w:rPr>
          <w:bCs/>
          <w:color w:val="000000"/>
          <w:sz w:val="28"/>
          <w:szCs w:val="28"/>
        </w:rPr>
        <w:t>сов. Этого можно добиться в том случае, если из затрат полнос</w:t>
      </w:r>
      <w:r>
        <w:rPr>
          <w:bCs/>
          <w:color w:val="000000"/>
          <w:sz w:val="28"/>
          <w:szCs w:val="28"/>
        </w:rPr>
        <w:t>тью исклю</w:t>
      </w:r>
      <w:r w:rsidRPr="002E7F50">
        <w:rPr>
          <w:bCs/>
          <w:color w:val="000000"/>
          <w:sz w:val="28"/>
          <w:szCs w:val="28"/>
        </w:rPr>
        <w:t>чить средства на природоохранную деятельность. Экологические интересы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 xml:space="preserve">представляет собой оборотную сторону </w:t>
      </w:r>
      <w:r>
        <w:rPr>
          <w:bCs/>
          <w:color w:val="000000"/>
          <w:sz w:val="28"/>
          <w:szCs w:val="28"/>
        </w:rPr>
        <w:t>медали. Они устремлены на сохра</w:t>
      </w:r>
      <w:r w:rsidRPr="002E7F50">
        <w:rPr>
          <w:bCs/>
          <w:color w:val="000000"/>
          <w:sz w:val="28"/>
          <w:szCs w:val="28"/>
        </w:rPr>
        <w:t>нения природных ресурсов, прежде всего, максимально чистой окружающей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среды. Последнее может быть достигнуто при полном отказе человека от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всякой хозяйственной деятельности. Очевидно, что не следует впадать в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крайности. Накопленный человечеством опыт показывает насколько важно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находить разумный компромисс между экономическими и экологическими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интересами.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39"/>
        <w:jc w:val="both"/>
        <w:rPr>
          <w:bCs/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Денежная оценка природного ресурса, его продажная цена, система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мер по восстановлению и оздоровлению окружающей среды определяются</w:t>
      </w:r>
      <w:r>
        <w:rPr>
          <w:bCs/>
          <w:color w:val="000000"/>
          <w:sz w:val="28"/>
          <w:szCs w:val="28"/>
        </w:rPr>
        <w:t xml:space="preserve"> </w:t>
      </w:r>
      <w:r w:rsidRPr="002E7F50">
        <w:rPr>
          <w:bCs/>
          <w:color w:val="000000"/>
          <w:sz w:val="28"/>
          <w:szCs w:val="28"/>
        </w:rPr>
        <w:t>на основе кадастров природных ресурсов.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2E7F50">
        <w:rPr>
          <w:b/>
          <w:bCs/>
          <w:color w:val="000000"/>
          <w:sz w:val="28"/>
          <w:szCs w:val="28"/>
        </w:rPr>
        <w:t>Государственные кадастры природных ресурсов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b/>
          <w:bCs/>
          <w:color w:val="000000"/>
          <w:sz w:val="28"/>
          <w:szCs w:val="28"/>
        </w:rPr>
        <w:t>Государственные кадастры природных ресурсов (ГКПР)</w:t>
      </w:r>
      <w:r w:rsidRPr="002E7F50">
        <w:rPr>
          <w:color w:val="000000"/>
          <w:sz w:val="28"/>
          <w:szCs w:val="28"/>
        </w:rPr>
        <w:t xml:space="preserve"> - совокупность (свод) сведений, экономических, экологических, организационных и технических показателей о составе и категориях пользователей, количественном и качественном состоянии этих ресурсов, их экологической и экономической оценке.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В соответствии со статьями 6, 69 Закона «Об охране окружающей среды» ГКПР ведутся на всех уровнях (федеральном, республиканском, краевом, областном), и их ведение возлагается на соответствующие государственные органы с целью организации учета качества и количественных характеристик природных ресурсов, а также их социально-экономической оценки.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Сведения для формирования и ведения КПР предоставляются: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  по ресурсам недр,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  по поверхностным водным ресурсам,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  по лесным ресурсам,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почвенным ресурсам,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водно-болотным угодьям (в том числе международного значения),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гидробиологическим ресурсам,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ресурсам промысловых видов животных,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ресурсам используемых видов дикорастущих растений, грибов,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редким и исчезающим видам биоты,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  по климатическим ресурсам,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интегральной оценке экологического состояния территории, </w:t>
      </w:r>
    </w:p>
    <w:p w:rsidR="002E7F50" w:rsidRP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по особо охраняемым территориям, </w:t>
      </w:r>
    </w:p>
    <w:p w:rsidR="002E7F50" w:rsidRDefault="002E7F50" w:rsidP="002E7F50">
      <w:pPr>
        <w:numPr>
          <w:ilvl w:val="0"/>
          <w:numId w:val="1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  по природным объектам рекреационного и культурно исторического значения.</w:t>
      </w: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Pr="002E7F50" w:rsidRDefault="002E7F50" w:rsidP="002E7F50">
      <w:pPr>
        <w:spacing w:line="360" w:lineRule="auto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2E7F50">
        <w:rPr>
          <w:b/>
          <w:bCs/>
          <w:color w:val="000000"/>
          <w:sz w:val="28"/>
          <w:szCs w:val="28"/>
        </w:rPr>
        <w:t>Государственный земельный кадастр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b/>
          <w:bCs/>
          <w:color w:val="000000"/>
          <w:sz w:val="28"/>
          <w:szCs w:val="28"/>
        </w:rPr>
        <w:t>Государственный земельный кадастр (ГЗК)</w:t>
      </w:r>
      <w:r w:rsidRPr="002E7F50">
        <w:rPr>
          <w:color w:val="000000"/>
          <w:sz w:val="28"/>
          <w:szCs w:val="28"/>
        </w:rPr>
        <w:t xml:space="preserve"> (статья 70  Земельного кодекса РФ от 25.10.01. №136 с изменениями на 31.12.05.) -  представляет собой систематизированный свод документированных сведений об объектах государственного кадастрового учета, о правовом режиме земель в Российской Федерации, о кадастровой стоимости,  местоположении, размерах земельных участков и прочно связанных с ними объектов недвижимого имущества. В государственный земельный кадастр включается информация о субъектах прав на земельные участки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Земельный кадастр формируется на базе много лет действующей и уточненной в последнее время системы государственного учета и социально-экономической оценки земель и должен обеспечивать необходимую преемственность и сохранность информации о количестве и качестве земель, а также их правовом положении.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Основные цели ведения кадастра - таксация и регистрация права собственности. Выделяют два типа кадастров: фискальный (налоговый) и правовой. Правовой, или земельный, кадастр содержит записи обо всех земельных трансфертах (передачи имущественных прав) и иногда участки определяются при помощи парцеллярных карт, включенных в соответствующие акты.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Данные земельного кадастра подлежат обязательному применению при планировании использования и охраны земель, при их изъятии и предоставлении, при определении платежей за землю, проведении землеустройства, оценке хозяйственной деятельности и осуществлении других мероприятий.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Введение государственного земельного кадастра обеспечивается проведением топографо-геодезических, картографических, почвенных, агрохимических и др. изысканий. 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Pr="002E7F50">
        <w:rPr>
          <w:b/>
          <w:bCs/>
          <w:color w:val="000000"/>
          <w:sz w:val="28"/>
          <w:szCs w:val="28"/>
        </w:rPr>
        <w:t>Государственный лесной кадастр (ГЛК</w:t>
      </w:r>
      <w:r w:rsidRPr="002E7F50">
        <w:rPr>
          <w:color w:val="000000"/>
          <w:sz w:val="28"/>
          <w:szCs w:val="28"/>
        </w:rPr>
        <w:t>).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 Статьей 68 Лесного кодекса РФ установлено, что «данные государственного лесного кадастра используются при государственном управлении лесным хозяйством, организации его ведения, переводе лесных земель в нелесные и пользовании лесным фондом и (или) изъятии земель лесного фонда, определении размеров платежей за его использование, оценке хозяйственной деятельности лесопользователей и лиц, осуществляющих ведение лесного хозяйства».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ГЛК ведется по всем лесам государственного лесного фонда по единой системе на основе материалов лесоустройства, инвентаризации, аэротаксационных и других обследований лесов.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Сведения об изменениях, произошедших в состоянии лесов, вносятся ежегодно в учетную документацию предприятиями, учреждениями и организациями, на которые возложено ведение лесного хозяйства.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ГЛК входит в состав ЕГСЭМ через подсистему лесного мониторинга. Документация ГЛК ведется государственным органом лесного фонда РФ на основе данных, представляемых подведомственными ему органами, министерствами, государственными комитетами и ведомствами, в ведении которых находятся леса, государственными органами лесного хозяйства республик, краев, областей и подведомственными им лесохозяйственными предприятиями.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Состав документации ГЛК устанавливается дифференцированно по уровням управления лесным хозяйством. В организациях, на которые возложено ведение лесного хозяйства, в состав документации ГЛК входят: </w:t>
      </w:r>
    </w:p>
    <w:p w:rsidR="002E7F50" w:rsidRPr="002E7F50" w:rsidRDefault="002E7F50" w:rsidP="002E7F50">
      <w:pPr>
        <w:numPr>
          <w:ilvl w:val="0"/>
          <w:numId w:val="2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таксационные описания, составленные при лесоустройстве, а по лесам, где оно не проведено, - при инвентаризации, аэротаксационных и других обследованиях лесов;</w:t>
      </w:r>
    </w:p>
    <w:p w:rsidR="002E7F50" w:rsidRPr="002E7F50" w:rsidRDefault="002E7F50" w:rsidP="002E7F50">
      <w:pPr>
        <w:numPr>
          <w:ilvl w:val="0"/>
          <w:numId w:val="2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лесокадастровая книга лесов;</w:t>
      </w:r>
    </w:p>
    <w:p w:rsidR="002E7F50" w:rsidRPr="002E7F50" w:rsidRDefault="002E7F50" w:rsidP="002E7F50">
      <w:pPr>
        <w:numPr>
          <w:ilvl w:val="0"/>
          <w:numId w:val="2"/>
        </w:numPr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>документация единовременных периодических государственных учетов лесов, находящихся в ведении организации.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Определено, что сведения о площадях земель в лесокадастровых книгах должны соответствовать данным земельнокадастровых книг. 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2E7F50">
        <w:rPr>
          <w:b/>
          <w:bCs/>
          <w:color w:val="000000"/>
          <w:sz w:val="28"/>
          <w:szCs w:val="28"/>
        </w:rPr>
        <w:t>Государственный водный кадастр (ГВК)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b/>
          <w:bCs/>
          <w:color w:val="000000"/>
          <w:sz w:val="28"/>
          <w:szCs w:val="28"/>
        </w:rPr>
        <w:t xml:space="preserve">Государственный водный кадастр (ГВК) - </w:t>
      </w:r>
      <w:r w:rsidRPr="002E7F50">
        <w:rPr>
          <w:color w:val="000000"/>
          <w:sz w:val="28"/>
          <w:szCs w:val="28"/>
        </w:rPr>
        <w:t>свод данных о водных объектах, об их водных ресурсах, использовании водных объектов, о водопользователях</w:t>
      </w:r>
      <w:r w:rsidRPr="002E7F50">
        <w:rPr>
          <w:b/>
          <w:bCs/>
          <w:color w:val="000000"/>
          <w:sz w:val="28"/>
          <w:szCs w:val="28"/>
        </w:rPr>
        <w:t>»</w:t>
      </w:r>
      <w:r w:rsidRPr="002E7F50">
        <w:rPr>
          <w:color w:val="000000"/>
          <w:sz w:val="28"/>
          <w:szCs w:val="28"/>
        </w:rPr>
        <w:t xml:space="preserve"> (ст. 79 Водного кодекса РФ).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Водный кадастр, так же как и земельный, формируется на базе много лет действующей системы государственного учета поверхностных и подземных вод, предусматривающего определение и фиксацию в установленном порядке количества и качества водных ресурсов, имеющихся на данной территории.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Данные ГВК являются основой для принятия решений при управлении в области использования и охраны водных объектов. Ведение ГВК осуществляется специально уполномоченным государственным органом управления использованием и охраной водного фонда с участием государственного органа управления в области гидрометеорологии и мониторинга окружающей среды (по поверхностным водам) и государственного органа управления использованием и охраной недр (по подземным водам).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В частности, водные ресурсы оцениваются по следующим показателям: ресурсы речного стока - общие и местные, годовые объемы среднемноголетние, обеспеченностью 75, 90 и 95%; подземные воды - эксплуатационные прогнозные ресурсы и разведанные запасы. В оценку ресурсов подземных вод дополнительно целесообразно включать высокоминерализованные солоноватые (310 г/л) и соленые (1035 г/л) подземные воды как резерв водообеспечения населения и народного хозяйства, которые могут быть использованы после их искусственного опреснения.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Помимо оценки абсолютных показателей (объемов, расходов) естественных водных ресурсов, важное значение имеет относительная характеристика территориальной обеспеченности водными ресурсами, учитывающая степень и эффективность хозяйственного использования последних, а также качество вод и их роль в системе природных комплексов.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Учет влияния антропогенных факторов формирования поверхностного стока, под воздействием которых в последние годы наблюдается систематическое снижение речного стока, осуществляется в процессе определения среднемноголетних характеристик речного стока при ведении ГВК. Основными факторами хозяйственной деятельности, оказывающими влияние на речной сток, являются: земледелие, животноводство и промышленное производство. 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2E7F50">
        <w:rPr>
          <w:b/>
          <w:bCs/>
          <w:color w:val="000000"/>
          <w:sz w:val="28"/>
          <w:szCs w:val="28"/>
        </w:rPr>
        <w:t>Государственный кадастр месторождений и проявлений полезных ископаемых.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Он ведется в целях обеспечения разработки федеральных и территориальных программ геологического изучения недр, комплексного использования месторождений полезных ископаемых и рационального размещения предприятий по добыче.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Он включает в себя сведения по каждому месторождению, характеризующие количество и качество основных и сопутствующих полезных компонентов, горнотехнические, гидрогеологические, экологические и др. условия разработки месторождений, а также сведения по геолого-экономической оценке месторождений и проявлений полезных ископаемых. Данные кадастра служат основой для планирования геологоразведочных работ, комплексного использования месторождений полезных ископаемых и решения иных задач экономики страны.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Каждый отдельный кадастр природного ресурса должен быть составлен как часть всей системы природных кадастров. Только тогда достигается их полная взаимосвязь, и решаются многие вопросы информационного обеспечения управления природными ресурсами. Однако в настоящее время как таковой системы кадастров природных ресурсов не существует. Если говорится о ней, то, как о простой сумме отдельных кадастров, структурно и функционально не связанных между собой. </w:t>
      </w: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Default="002E7F50" w:rsidP="002E7F50">
      <w:pPr>
        <w:pStyle w:val="6"/>
        <w:spacing w:before="0" w:beforeAutospacing="0" w:after="0" w:afterAutospacing="0"/>
        <w:jc w:val="center"/>
        <w:rPr>
          <w:color w:val="4D4D4D"/>
          <w:sz w:val="28"/>
          <w:szCs w:val="28"/>
        </w:rPr>
      </w:pPr>
    </w:p>
    <w:p w:rsidR="002E7F50" w:rsidRPr="002E7F50" w:rsidRDefault="002E7F50" w:rsidP="002E7F50">
      <w:pPr>
        <w:pStyle w:val="6"/>
        <w:spacing w:before="0" w:beforeAutospacing="0" w:after="0" w:afterAutospacing="0" w:line="360" w:lineRule="auto"/>
        <w:ind w:firstLine="540"/>
        <w:rPr>
          <w:b w:val="0"/>
          <w:color w:val="000000"/>
          <w:sz w:val="28"/>
          <w:szCs w:val="28"/>
        </w:rPr>
      </w:pPr>
      <w:r w:rsidRPr="002E7F50">
        <w:rPr>
          <w:b w:val="0"/>
          <w:color w:val="000000"/>
          <w:sz w:val="28"/>
          <w:szCs w:val="28"/>
        </w:rPr>
        <w:t xml:space="preserve">Таблица 1 Состав кадастров природных ресурсов в соответствии с основными компонентами природной среды </w:t>
      </w:r>
    </w:p>
    <w:p w:rsidR="002E7F50" w:rsidRPr="002E7F50" w:rsidRDefault="002E7F50" w:rsidP="002E7F50">
      <w:pPr>
        <w:pStyle w:val="6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030"/>
        <w:gridCol w:w="3455"/>
        <w:gridCol w:w="2253"/>
      </w:tblGrid>
      <w:tr w:rsidR="002E7F50" w:rsidRPr="002E7F50" w:rsidTr="002E7F50">
        <w:trPr>
          <w:tblCellSpacing w:w="0" w:type="dxa"/>
        </w:trPr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Компоненты природной среды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Основные виды ресурсов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Основное хозяйственное назначение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Вид кадастров природных ресурсов </w:t>
            </w:r>
          </w:p>
        </w:tc>
      </w:tr>
      <w:tr w:rsidR="002E7F50" w:rsidRPr="002E7F50" w:rsidTr="002E7F50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Литосфера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Земельные </w:t>
            </w:r>
          </w:p>
        </w:tc>
        <w:tc>
          <w:tcPr>
            <w:tcW w:w="0" w:type="auto"/>
            <w:vMerge w:val="restart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Главное средство производства в сельском хозяйстве, базис размещения производственных сил </w:t>
            </w:r>
          </w:p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Минеральное и топливно-энергетическое сырье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Земельный </w:t>
            </w:r>
          </w:p>
        </w:tc>
      </w:tr>
      <w:tr w:rsidR="002E7F50" w:rsidRPr="002E7F50" w:rsidTr="002E7F50">
        <w:trPr>
          <w:tblCellSpacing w:w="0" w:type="dxa"/>
        </w:trPr>
        <w:tc>
          <w:tcPr>
            <w:tcW w:w="0" w:type="auto"/>
            <w:vMerge/>
            <w:vAlign w:val="center"/>
          </w:tcPr>
          <w:p w:rsidR="002E7F50" w:rsidRPr="002E7F50" w:rsidRDefault="002E7F50" w:rsidP="002E7F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Полезные ископаемые </w:t>
            </w:r>
          </w:p>
        </w:tc>
        <w:tc>
          <w:tcPr>
            <w:tcW w:w="0" w:type="auto"/>
            <w:vMerge/>
            <w:vAlign w:val="center"/>
          </w:tcPr>
          <w:p w:rsidR="002E7F50" w:rsidRPr="002E7F50" w:rsidRDefault="002E7F50" w:rsidP="002E7F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Полезных ископаемых </w:t>
            </w:r>
          </w:p>
        </w:tc>
      </w:tr>
      <w:tr w:rsidR="002E7F50" w:rsidRPr="002E7F50" w:rsidTr="002E7F50">
        <w:trPr>
          <w:tblCellSpacing w:w="0" w:type="dxa"/>
        </w:trPr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Биосфера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Естественная растительность и животный мир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Лесное хозяйство, деревообрабатывающая, химическая промышленность, пищевое сырье, охотничье-промысловое хозяйство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Лесной, специализирова-нные виды охотничье-промыслового </w:t>
            </w:r>
          </w:p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рекреационного и другого назначения </w:t>
            </w:r>
          </w:p>
        </w:tc>
      </w:tr>
      <w:tr w:rsidR="002E7F50" w:rsidRPr="002E7F50" w:rsidTr="002E7F50">
        <w:trPr>
          <w:tblCellSpacing w:w="0" w:type="dxa"/>
        </w:trPr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Гидросфера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Водные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Промышленное, сельскохозяйственное и бытовое водопотребление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Водный </w:t>
            </w:r>
          </w:p>
        </w:tc>
      </w:tr>
      <w:tr w:rsidR="002E7F50" w:rsidRPr="002E7F50" w:rsidTr="002E7F50">
        <w:trPr>
          <w:tblCellSpacing w:w="0" w:type="dxa"/>
        </w:trPr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Атмосфера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Климатические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Агроклиматические данные, данные о климатических условиях работы, промышленности, транспорта, жизни населения </w:t>
            </w:r>
          </w:p>
        </w:tc>
        <w:tc>
          <w:tcPr>
            <w:tcW w:w="0" w:type="auto"/>
            <w:vAlign w:val="center"/>
          </w:tcPr>
          <w:p w:rsidR="002E7F50" w:rsidRPr="002E7F50" w:rsidRDefault="002E7F50" w:rsidP="002E7F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E7F50">
              <w:rPr>
                <w:color w:val="000000"/>
                <w:sz w:val="28"/>
                <w:szCs w:val="28"/>
              </w:rPr>
              <w:t xml:space="preserve">Специальные виды климатических </w:t>
            </w:r>
          </w:p>
        </w:tc>
      </w:tr>
    </w:tbl>
    <w:p w:rsidR="002E7F50" w:rsidRPr="002E7F50" w:rsidRDefault="002E7F50" w:rsidP="002E7F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  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center"/>
        <w:rPr>
          <w:b/>
          <w:color w:val="000000"/>
          <w:sz w:val="28"/>
          <w:szCs w:val="28"/>
        </w:rPr>
      </w:pPr>
      <w:r w:rsidRPr="002E7F50">
        <w:rPr>
          <w:b/>
          <w:color w:val="000000"/>
          <w:sz w:val="28"/>
          <w:szCs w:val="28"/>
        </w:rPr>
        <w:t>Заключение</w:t>
      </w:r>
    </w:p>
    <w:p w:rsid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color w:val="000000"/>
          <w:sz w:val="28"/>
          <w:szCs w:val="28"/>
        </w:rPr>
        <w:t xml:space="preserve">Вместе с тем система кадастров природных ресурсов - качественно новая ступень обобщения и регистрации данных о природных ресурсах. Базируясь на принципах системного подхода, кадастровая информация должна предусматривать комплексное и рациональное использование природных ресурсов; согласование общих и отраслевых задач на разных уровнях управления; согласование критериев и показателей учета природных ресурсов, их качественной характеристики и экономической оценки и др. Отсюда одно из главных требований к системе данных о природных ресурсах - необходимость сопоставимости их характеристик с точки зрения поставленных целей. Соответствие характеристик природных ресурсов поставленным задачам обеспечивается их классификацией, которая лежит в основе учета природных ресурсов. </w:t>
      </w:r>
    </w:p>
    <w:p w:rsidR="002E7F50" w:rsidRPr="002E7F50" w:rsidRDefault="002E7F50" w:rsidP="002E7F50">
      <w:pPr>
        <w:pStyle w:val="a3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E7F50">
        <w:rPr>
          <w:bCs/>
          <w:color w:val="000000"/>
          <w:sz w:val="28"/>
          <w:szCs w:val="28"/>
        </w:rPr>
        <w:t>Главное назначение системы кадастров природных ресурсов</w:t>
      </w:r>
      <w:r w:rsidRPr="002E7F50">
        <w:rPr>
          <w:color w:val="000000"/>
          <w:sz w:val="28"/>
          <w:szCs w:val="28"/>
        </w:rPr>
        <w:t xml:space="preserve"> - производственное, направленное на обеспечение создания необходимых материальных ценностей. Очень важно также и природоохранное и природопользовательское назначение кадастров природных ресурсов. Если не считать некоторых специальных природоохранных видов возможных кадастров, то природоохранные и природопользовательские задачи в их общей системе должны рассматриваться как производные, связанные с проблемами нарушений природной среды, обеспечения необходимого экологического равновесия в природе, осуществления безопасности здоровья человека. </w:t>
      </w:r>
    </w:p>
    <w:p w:rsidR="004A7647" w:rsidRDefault="004A7647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E7F50" w:rsidRPr="003F6779" w:rsidRDefault="002E7F50" w:rsidP="003F6779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  <w:r w:rsidRPr="003F6779">
        <w:rPr>
          <w:b/>
          <w:color w:val="000000"/>
          <w:sz w:val="28"/>
          <w:szCs w:val="28"/>
        </w:rPr>
        <w:t>Список использованной литературы</w:t>
      </w:r>
    </w:p>
    <w:p w:rsidR="002E7F50" w:rsidRDefault="002E7F50" w:rsidP="002E7F5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F6779">
        <w:rPr>
          <w:color w:val="000000"/>
          <w:sz w:val="28"/>
          <w:szCs w:val="28"/>
        </w:rPr>
        <w:t>. Природопользование: Учебник. Под ред</w:t>
      </w:r>
      <w:r>
        <w:rPr>
          <w:color w:val="000000"/>
          <w:sz w:val="28"/>
          <w:szCs w:val="28"/>
        </w:rPr>
        <w:t>. проф. Э.А. Арустамова. М.: Издателький Дом «Дашков и К0», 200</w:t>
      </w:r>
      <w:r w:rsidRPr="003F6779">
        <w:rPr>
          <w:color w:val="000000"/>
          <w:sz w:val="28"/>
          <w:szCs w:val="28"/>
        </w:rPr>
        <w:t>9. 252 с.</w:t>
      </w: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F6779">
        <w:rPr>
          <w:color w:val="000000"/>
          <w:sz w:val="28"/>
          <w:szCs w:val="28"/>
        </w:rPr>
        <w:t>. Охрана окружающей природной сред</w:t>
      </w:r>
      <w:r>
        <w:rPr>
          <w:color w:val="000000"/>
          <w:sz w:val="28"/>
          <w:szCs w:val="28"/>
        </w:rPr>
        <w:t>ы. Постатейный комментарий к закону России. М.: Республика, 200</w:t>
      </w:r>
      <w:r w:rsidRPr="003F6779">
        <w:rPr>
          <w:color w:val="000000"/>
          <w:sz w:val="28"/>
          <w:szCs w:val="28"/>
        </w:rPr>
        <w:t>3. 224 с.</w:t>
      </w: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F6779">
        <w:rPr>
          <w:color w:val="000000"/>
          <w:sz w:val="28"/>
          <w:szCs w:val="28"/>
        </w:rPr>
        <w:t>. Реймерс Н.Ф. Природопользование: Словарь-справочник. М.: Мысль,</w:t>
      </w: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200</w:t>
      </w:r>
      <w:r w:rsidRPr="003F6779">
        <w:rPr>
          <w:color w:val="000000"/>
          <w:sz w:val="28"/>
          <w:szCs w:val="28"/>
        </w:rPr>
        <w:t>0. 637.</w:t>
      </w: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F6779">
        <w:rPr>
          <w:color w:val="000000"/>
          <w:sz w:val="28"/>
          <w:szCs w:val="28"/>
        </w:rPr>
        <w:t>Куражковский Ю.Н. Общие принцип</w:t>
      </w:r>
      <w:r>
        <w:rPr>
          <w:color w:val="000000"/>
          <w:sz w:val="28"/>
          <w:szCs w:val="28"/>
        </w:rPr>
        <w:t>ы рационального природопользова</w:t>
      </w:r>
      <w:r w:rsidRPr="003F6779">
        <w:rPr>
          <w:color w:val="000000"/>
          <w:sz w:val="28"/>
          <w:szCs w:val="28"/>
        </w:rPr>
        <w:t>ния // Человек и биосфера. Ростов-</w:t>
      </w:r>
      <w:r>
        <w:rPr>
          <w:color w:val="000000"/>
          <w:sz w:val="28"/>
          <w:szCs w:val="28"/>
        </w:rPr>
        <w:t>на-Дону. Изд-во Рост. ун-та, 200</w:t>
      </w:r>
      <w:r w:rsidRPr="003F6779">
        <w:rPr>
          <w:color w:val="000000"/>
          <w:sz w:val="28"/>
          <w:szCs w:val="28"/>
        </w:rPr>
        <w:t>7. С.178-203.</w:t>
      </w:r>
    </w:p>
    <w:p w:rsidR="003F6779" w:rsidRPr="003F6779" w:rsidRDefault="003F6779" w:rsidP="003F677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F6779">
        <w:rPr>
          <w:color w:val="000000"/>
          <w:sz w:val="28"/>
          <w:szCs w:val="28"/>
        </w:rPr>
        <w:t>. Демина Т.А. Экология, природопользование, охрана окружающей среды.</w:t>
      </w:r>
      <w:r>
        <w:rPr>
          <w:color w:val="000000"/>
          <w:sz w:val="28"/>
          <w:szCs w:val="28"/>
        </w:rPr>
        <w:t xml:space="preserve"> М: Аспект-Пресс, 200</w:t>
      </w:r>
      <w:r w:rsidRPr="003F6779">
        <w:rPr>
          <w:color w:val="000000"/>
          <w:sz w:val="28"/>
          <w:szCs w:val="28"/>
        </w:rPr>
        <w:t>5. 143 с.</w:t>
      </w:r>
    </w:p>
    <w:p w:rsidR="002E7F50" w:rsidRPr="003F6779" w:rsidRDefault="002E7F50" w:rsidP="003F677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2E7F50" w:rsidRPr="003F6779" w:rsidSect="002E7F50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A5" w:rsidRDefault="003F29A5">
      <w:r>
        <w:separator/>
      </w:r>
    </w:p>
  </w:endnote>
  <w:endnote w:type="continuationSeparator" w:id="0">
    <w:p w:rsidR="003F29A5" w:rsidRDefault="003F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A5" w:rsidRDefault="003F29A5">
      <w:r>
        <w:separator/>
      </w:r>
    </w:p>
  </w:footnote>
  <w:footnote w:type="continuationSeparator" w:id="0">
    <w:p w:rsidR="003F29A5" w:rsidRDefault="003F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50" w:rsidRDefault="002E7F50" w:rsidP="003F29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F50" w:rsidRDefault="002E7F50" w:rsidP="002E7F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50" w:rsidRDefault="002E7F50" w:rsidP="003F29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984">
      <w:rPr>
        <w:rStyle w:val="a5"/>
        <w:noProof/>
      </w:rPr>
      <w:t>3</w:t>
    </w:r>
    <w:r>
      <w:rPr>
        <w:rStyle w:val="a5"/>
      </w:rPr>
      <w:fldChar w:fldCharType="end"/>
    </w:r>
  </w:p>
  <w:p w:rsidR="002E7F50" w:rsidRDefault="002E7F50" w:rsidP="002E7F5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2257"/>
    <w:multiLevelType w:val="hybridMultilevel"/>
    <w:tmpl w:val="2526976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925970"/>
    <w:multiLevelType w:val="multilevel"/>
    <w:tmpl w:val="D414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75C08"/>
    <w:multiLevelType w:val="multilevel"/>
    <w:tmpl w:val="F538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F50"/>
    <w:rsid w:val="002E7F50"/>
    <w:rsid w:val="00322BFA"/>
    <w:rsid w:val="003F29A5"/>
    <w:rsid w:val="003F6779"/>
    <w:rsid w:val="004A7647"/>
    <w:rsid w:val="007F0984"/>
    <w:rsid w:val="008F7B73"/>
    <w:rsid w:val="00B0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040CE-B4E9-48A1-A3CA-03C592ED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qFormat/>
    <w:rsid w:val="002E7F5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7F50"/>
    <w:pPr>
      <w:spacing w:before="100" w:beforeAutospacing="1" w:after="100" w:afterAutospacing="1"/>
    </w:pPr>
  </w:style>
  <w:style w:type="paragraph" w:styleId="a4">
    <w:name w:val="header"/>
    <w:basedOn w:val="a"/>
    <w:rsid w:val="002E7F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933">
              <w:marLeft w:val="3300"/>
              <w:marRight w:val="15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Asmodey</dc:creator>
  <cp:keywords/>
  <dc:description/>
  <cp:lastModifiedBy>admin</cp:lastModifiedBy>
  <cp:revision>2</cp:revision>
  <dcterms:created xsi:type="dcterms:W3CDTF">2014-03-29T19:40:00Z</dcterms:created>
  <dcterms:modified xsi:type="dcterms:W3CDTF">2014-03-29T19:40:00Z</dcterms:modified>
</cp:coreProperties>
</file>