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31A" w:rsidRDefault="00F2531A" w:rsidP="00F2531A">
      <w:pPr>
        <w:pStyle w:val="20"/>
      </w:pPr>
      <w:r>
        <w:t>ФГОУ СПО Владимирский заочный сельскохозяйственный техникум</w:t>
      </w: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pStyle w:val="1"/>
        <w:rPr>
          <w:sz w:val="52"/>
        </w:rPr>
      </w:pPr>
      <w:r>
        <w:rPr>
          <w:sz w:val="52"/>
        </w:rPr>
        <w:t>Контрольная работа</w:t>
      </w:r>
    </w:p>
    <w:p w:rsidR="00F2531A" w:rsidRDefault="00F2531A" w:rsidP="00F2531A">
      <w:pPr>
        <w:jc w:val="center"/>
        <w:rPr>
          <w:sz w:val="52"/>
        </w:rPr>
      </w:pPr>
      <w:r>
        <w:rPr>
          <w:b/>
          <w:bCs/>
          <w:sz w:val="52"/>
        </w:rPr>
        <w:t xml:space="preserve">по дисциплине: </w:t>
      </w:r>
    </w:p>
    <w:p w:rsidR="00F2531A" w:rsidRDefault="00F2531A" w:rsidP="00F2531A">
      <w:pPr>
        <w:pStyle w:val="2"/>
      </w:pPr>
      <w:r>
        <w:t>«Хозяйственному праву»</w:t>
      </w:r>
    </w:p>
    <w:p w:rsidR="00F2531A" w:rsidRDefault="00F2531A" w:rsidP="00F2531A"/>
    <w:p w:rsidR="00F2531A" w:rsidRDefault="00F2531A" w:rsidP="00F2531A"/>
    <w:p w:rsidR="00F2531A" w:rsidRDefault="00F2531A" w:rsidP="00F2531A"/>
    <w:p w:rsidR="00F2531A" w:rsidRDefault="00F2531A" w:rsidP="00F2531A"/>
    <w:p w:rsidR="00F2531A" w:rsidRDefault="00F2531A" w:rsidP="00F2531A"/>
    <w:p w:rsidR="00F2531A" w:rsidRDefault="00F2531A" w:rsidP="00F2531A"/>
    <w:p w:rsidR="00F2531A" w:rsidRDefault="00F2531A" w:rsidP="00F2531A"/>
    <w:p w:rsidR="00F2531A" w:rsidRDefault="00F2531A" w:rsidP="00F2531A"/>
    <w:p w:rsidR="00F2531A" w:rsidRDefault="00F2531A" w:rsidP="00F2531A"/>
    <w:p w:rsidR="00F2531A" w:rsidRDefault="00F2531A" w:rsidP="00F2531A">
      <w:pPr>
        <w:pStyle w:val="3"/>
      </w:pPr>
      <w:r>
        <w:t>Студента 52 группы</w:t>
      </w:r>
    </w:p>
    <w:p w:rsidR="00F2531A" w:rsidRDefault="00F2531A" w:rsidP="00F2531A">
      <w:pPr>
        <w:jc w:val="right"/>
        <w:rPr>
          <w:sz w:val="36"/>
        </w:rPr>
      </w:pPr>
      <w:r>
        <w:rPr>
          <w:sz w:val="36"/>
        </w:rPr>
        <w:t>отделения правоведения</w:t>
      </w:r>
    </w:p>
    <w:p w:rsidR="00F2531A" w:rsidRDefault="00F2531A" w:rsidP="00F2531A">
      <w:pPr>
        <w:jc w:val="right"/>
        <w:rPr>
          <w:sz w:val="36"/>
        </w:rPr>
      </w:pPr>
      <w:r>
        <w:rPr>
          <w:sz w:val="36"/>
        </w:rPr>
        <w:t>Смирнова А.Г.</w:t>
      </w:r>
    </w:p>
    <w:p w:rsidR="00F2531A" w:rsidRDefault="00F2531A" w:rsidP="00F2531A">
      <w:pPr>
        <w:jc w:val="right"/>
        <w:rPr>
          <w:sz w:val="36"/>
        </w:rPr>
      </w:pPr>
    </w:p>
    <w:p w:rsidR="00F2531A" w:rsidRDefault="00F2531A" w:rsidP="00F2531A">
      <w:pPr>
        <w:jc w:val="right"/>
        <w:rPr>
          <w:sz w:val="36"/>
        </w:rPr>
      </w:pPr>
      <w:r>
        <w:rPr>
          <w:sz w:val="36"/>
        </w:rPr>
        <w:t>Шифр ______</w:t>
      </w: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</w:p>
    <w:p w:rsidR="00F2531A" w:rsidRDefault="00F2531A" w:rsidP="00F2531A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Владимир 2002г.</w:t>
      </w:r>
    </w:p>
    <w:p w:rsidR="00F2531A" w:rsidRDefault="00F2531A" w:rsidP="000F56C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Правовое регулирование приватизации.</w:t>
      </w:r>
    </w:p>
    <w:p w:rsidR="00F2531A" w:rsidRDefault="00F2531A" w:rsidP="000F56C0">
      <w:pPr>
        <w:spacing w:line="360" w:lineRule="auto"/>
        <w:ind w:firstLine="720"/>
        <w:rPr>
          <w:sz w:val="28"/>
          <w:szCs w:val="28"/>
        </w:rPr>
      </w:pPr>
      <w:r>
        <w:rPr>
          <w:i/>
          <w:sz w:val="28"/>
          <w:szCs w:val="28"/>
        </w:rPr>
        <w:t>Первыми законодательными актами</w:t>
      </w:r>
      <w:r>
        <w:rPr>
          <w:sz w:val="28"/>
          <w:szCs w:val="28"/>
        </w:rPr>
        <w:t xml:space="preserve"> в рассматриваемой сфере были Закон РФ «О приватизации государственных и муниципальных предприятий в Российской Федерации», а так же Закон РСФСР «Об иммунных приватизационных счетах и вкладах», принятые 3 июля 1991 года. Они определили основные позиции приватизации, которая должна была осуществляться на базе Государственной программы, определяющей на предстоящий период (первый год и три последующих года)</w:t>
      </w:r>
      <w:r w:rsidR="00CA6E0F">
        <w:rPr>
          <w:sz w:val="28"/>
          <w:szCs w:val="28"/>
        </w:rPr>
        <w:t>, что именно и каким способом будет приватизироваться, кто является участником приватизационных процессов и, соответственно, субъектов приватизационных правоотношений.</w:t>
      </w:r>
    </w:p>
    <w:p w:rsidR="00CA6E0F" w:rsidRDefault="00CA6E0F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Далее последовал Указ Президента РФ от 29 декабря 1991 года «Об ускорении приватизации государственных и муниципальных предприятий», которым были утверждены Основные положения программы приватизации</w:t>
      </w:r>
      <w:r w:rsidR="00FE0217">
        <w:rPr>
          <w:sz w:val="28"/>
          <w:szCs w:val="28"/>
        </w:rPr>
        <w:t xml:space="preserve"> государственных и муниципальных предприятий  в Российской Федерации на 1992 год.</w:t>
      </w:r>
    </w:p>
    <w:p w:rsidR="00FE0217" w:rsidRDefault="003C5E10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Указ отступил от требований названных законов и был принят вопреки установленной компетенции, в частности, Верховного Совета РФ, касающейся утверждения Государственной программы приватизации. Действие названных Основных положений было прекращено постановлением Верховного Совета РФ от 11 июня 1992 года. </w:t>
      </w:r>
      <w:r w:rsidR="000F56C0">
        <w:rPr>
          <w:sz w:val="28"/>
          <w:szCs w:val="28"/>
        </w:rPr>
        <w:t>«О введении в действие Государственной программы приватизации государственных и муниципальных предприятий в Российской Федерации на 1992 год». Указом Президента РФ от 29 января 1992 года. «Об ускорении приватизации государственных и муниципальных предприятий» были утверждены акты, с помощью которых реализуется этот процесс, в виде Временных положений и Методических указаний, регламентирующих процесс приватизации, а так же типовых форм.</w:t>
      </w:r>
    </w:p>
    <w:p w:rsidR="000F56C0" w:rsidRDefault="000F56C0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целях ускорения и расширения перспектив приватизации Президентом РФ 1 июля 1992 года был принят Указ «Об организационных мерах по преобразованию государственных предприятий, добровольных объединений государственных предприятий в акционерные общества», нацеленные на создание широких предпосылок приватизации преобразования государственных предприятий в акционерные общества на основе утвержденного Указом Положения о коммерциализации государственных предприятий с одновременным преобразованием в акционерные общества открытого типа. </w:t>
      </w:r>
      <w:r w:rsidR="001F29A0">
        <w:rPr>
          <w:sz w:val="28"/>
          <w:szCs w:val="28"/>
        </w:rPr>
        <w:t>Это Положение позволило реализовать приватизацию таких предприятий путем продажи акций уже созданных акционерных обществ, держателями которых в первый период в основном являлись фонды государственного имущества.</w:t>
      </w:r>
    </w:p>
    <w:p w:rsidR="001F29A0" w:rsidRDefault="001F29A0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РФ от 14 августа 1992 года «О введении в действие системы приватизационных чеков в РФ» было утверждено Положение о приватизационных чеках, а в его развитие Правительством РФ было принято постановление от 15 июля 1992 года «О порядке введения в действие системы приватизационных чеков в РФ», в котором были предусмотрены связанные с этим организационные мероприятия. Во исполнение этого постановления Госкомимущество РФ утвердило ряд актов по реализации приватизационных чеков, в том числе Инструкцию о порядке выдачи приватизационных чеков гражданам РФ. </w:t>
      </w:r>
    </w:p>
    <w:p w:rsidR="0046643A" w:rsidRDefault="0046643A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Указ Президента РФ от 14 октября 1992 года «О регулировании арендных отношений и приватизации имущества государственных и муниципальных предприятий» регламентировал вопросы, касающиеся судьбы арендных договоров, заключенных до введения в действие Закона «О приватизации государственных и муниципальных предприятий в РФ», и выкупе имущества по таким договорам.</w:t>
      </w:r>
    </w:p>
    <w:p w:rsidR="0046643A" w:rsidRDefault="0046643A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Главным актом, наряду с Законом о приватизации, регулирующим процессы приватизации в каждый данный период ее проведения, является </w:t>
      </w:r>
      <w:r w:rsidRPr="0046643A">
        <w:rPr>
          <w:i/>
          <w:sz w:val="28"/>
          <w:szCs w:val="28"/>
        </w:rPr>
        <w:t>Государственная программа приватизации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Она устанавливает цели, приоритеты и ограничения при проведении приватизации. Программа вносится Правительством РФ и утверждается Федеральным Собранием РФ.</w:t>
      </w:r>
      <w:r w:rsidR="00661858">
        <w:rPr>
          <w:sz w:val="28"/>
          <w:szCs w:val="28"/>
        </w:rPr>
        <w:t xml:space="preserve"> Первоначально она разрабатывалась на три ближайших года и состояла из задания на текущий год и прогноза на 2-а последующих года. Программы содержали: </w:t>
      </w:r>
    </w:p>
    <w:p w:rsidR="00661858" w:rsidRDefault="00661858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перечень объектов государственной собственности, намеченных к приватизации, и обоснование их выбора, в том числе объекты и предприятия, подлежащие обязательной приватизации;</w:t>
      </w:r>
    </w:p>
    <w:p w:rsidR="00661858" w:rsidRDefault="00661858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требования к местным программам приватизации;</w:t>
      </w:r>
    </w:p>
    <w:p w:rsidR="00661858" w:rsidRDefault="00661858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задания органов государственной власти и управления по приватизации;</w:t>
      </w:r>
    </w:p>
    <w:p w:rsidR="00661858" w:rsidRDefault="00661858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определение предпочтительных способов приватизации и форм платежа, льгот членам трудовых коллективов приватизируемых предприятий;</w:t>
      </w:r>
    </w:p>
    <w:p w:rsidR="00661858" w:rsidRDefault="00661858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величину сумм приватизационных вкладов, распределяемых среди граждан РФ, и размер вклада на одного получателя в данном периоде;</w:t>
      </w:r>
    </w:p>
    <w:p w:rsidR="00661858" w:rsidRDefault="00661858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другие вопросы, вытекающие из реализации программы.</w:t>
      </w:r>
    </w:p>
    <w:p w:rsidR="00661858" w:rsidRDefault="00661858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22 июля 1994 года Указом Президента РФ были утверждены Основные Положения государственной программы приватизации государственных и муниципальных предприятий в РФ после 1 июля 1994 года. Во исполнение поручений Президента РФ, содержащихся в Указе от 22 июля 1994 года, был принят ряд актов -  постановлений Правительства РФ и распоряжений Госкомимущества РФ в целях обеспечения выполнения денежной приватизации</w:t>
      </w:r>
      <w:r w:rsidR="00EB4316">
        <w:rPr>
          <w:sz w:val="28"/>
          <w:szCs w:val="28"/>
        </w:rPr>
        <w:t xml:space="preserve">. </w:t>
      </w:r>
    </w:p>
    <w:p w:rsidR="00EB4316" w:rsidRDefault="00EB4316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21 июля 1997 года был принят ФЗ «О приватизации государственного имущества и об основах приватизации муниципального имущества в РФ». Соответственно закон о приватизации 1991 года утратил силу. Новый закон постановил:</w:t>
      </w:r>
    </w:p>
    <w:p w:rsidR="00EB4316" w:rsidRDefault="00EB4316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отказаться от безвозмездной приватизации;</w:t>
      </w:r>
    </w:p>
    <w:p w:rsidR="00EB4316" w:rsidRDefault="00EB4316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способы приватизации императивно определены законом и не могут быть расширены подзаконными актами;</w:t>
      </w:r>
    </w:p>
    <w:p w:rsidR="00EB4316" w:rsidRDefault="00EB4316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конкурс по продаже государственного имущества может быть только ком</w:t>
      </w:r>
      <w:r w:rsidR="00CE7DFE">
        <w:rPr>
          <w:sz w:val="28"/>
          <w:szCs w:val="28"/>
        </w:rPr>
        <w:t>м</w:t>
      </w:r>
      <w:r>
        <w:rPr>
          <w:sz w:val="28"/>
          <w:szCs w:val="28"/>
        </w:rPr>
        <w:t>ерческим</w:t>
      </w:r>
      <w:r w:rsidR="00CE7DFE">
        <w:rPr>
          <w:sz w:val="28"/>
          <w:szCs w:val="28"/>
        </w:rPr>
        <w:t xml:space="preserve"> с инвестиционными и социальными условиями.</w:t>
      </w:r>
    </w:p>
    <w:p w:rsidR="00CE7DFE" w:rsidRDefault="00CE7DFE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Возрождена аренда имущества государственного предприятия с правом выкупа работниками этого предприятия, но только по рыночной стоимости.</w:t>
      </w:r>
    </w:p>
    <w:p w:rsidR="00CE7DFE" w:rsidRDefault="00CE7DFE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Государственная программа приватизации утверждается законом о государственной программе приватизации на ряд лет.</w:t>
      </w:r>
    </w:p>
    <w:p w:rsidR="00CE7DFE" w:rsidRDefault="00CE7DFE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Определяя порядок приватизации, государственная программа устанавливает порядок выбора определенного способа приватизации и принятия решения о ней; порядок оценки приватизируемого имущества; льготы работникам государственных предприятий, преобразуемых в открытые акционерные общества.</w:t>
      </w:r>
    </w:p>
    <w:p w:rsidR="00CE7DFE" w:rsidRDefault="00CE7DFE" w:rsidP="000F56C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Федеральные законы и принятые в соответствии с ними иные нормативные акты РФ, законы и иные нормативные правовые акты субъектов Федерации, а так же решения органов местного самоуправления не могут противоречить Федеральному закону от 21 июля 1997 года и принятой на его основе Государственной программе приватизации.</w:t>
      </w:r>
    </w:p>
    <w:p w:rsidR="00E76DE8" w:rsidRDefault="00E76DE8" w:rsidP="00E76DE8">
      <w:pPr>
        <w:spacing w:line="360" w:lineRule="auto"/>
        <w:ind w:firstLine="720"/>
        <w:jc w:val="center"/>
        <w:rPr>
          <w:sz w:val="28"/>
          <w:szCs w:val="28"/>
        </w:rPr>
      </w:pPr>
    </w:p>
    <w:p w:rsidR="00E76DE8" w:rsidRDefault="00E76DE8" w:rsidP="00E76DE8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Ограничения монополистической деятельности.</w:t>
      </w:r>
    </w:p>
    <w:p w:rsidR="00E76DE8" w:rsidRDefault="00E76DE8" w:rsidP="00E76DE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Правомерное поведение в области экономических отношений и защита конкуренции обеспечивается различными средствами – мерами государственного принуждения.</w:t>
      </w:r>
    </w:p>
    <w:p w:rsidR="00E76DE8" w:rsidRDefault="00E76DE8" w:rsidP="00E76DE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Из приведенного в предыдущих параграфах настоящей главы анализа следует, что запрещающие и обязывающие нормы, содержащиеся в актах </w:t>
      </w:r>
      <w:r w:rsidR="005419A9">
        <w:rPr>
          <w:sz w:val="28"/>
          <w:szCs w:val="28"/>
        </w:rPr>
        <w:t>антимонопольного законодательства, устанавливают несколько ключевых обязанностей.</w:t>
      </w:r>
    </w:p>
    <w:p w:rsidR="005419A9" w:rsidRDefault="005419A9" w:rsidP="00E76DE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Общие обязанности (не допускать экономическую деятельность, направленную на монополизацию и недобросовестную конкуренцию, не использовать права в целях ограничения конкуренции и не злоупотреблять доминирующим положением на рынке) предусмотрены ч. 2 ст. 34 Конституции РФ, п. 1 ст. 10 ГК РФ и ст. 5-8, 10 Закона о конкуренции.</w:t>
      </w:r>
    </w:p>
    <w:p w:rsidR="005419A9" w:rsidRDefault="005419A9" w:rsidP="00E76DE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Монополистическая деятельность и недобросовестная конкуренция представляет собой типы поведения на товарном рынке, нарушающие именно эти обязанности. </w:t>
      </w:r>
      <w:r w:rsidR="00CF1040">
        <w:rPr>
          <w:sz w:val="28"/>
          <w:szCs w:val="28"/>
        </w:rPr>
        <w:t>Реагируя на факты совершения данных правонарушений, антимонопольные органы примен</w:t>
      </w:r>
      <w:r w:rsidR="0085505D">
        <w:rPr>
          <w:sz w:val="28"/>
          <w:szCs w:val="28"/>
        </w:rPr>
        <w:t>яют особые средства пресечения нарушений антимонопольного законодательства – предписания, которые следует отличать от иных мер государственного антимонопольного регулирования.</w:t>
      </w:r>
    </w:p>
    <w:p w:rsidR="0085505D" w:rsidRDefault="0085505D" w:rsidP="00E76DE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Анализ практики применения предписаний позволяет утверждать, что им присущи несколько важных свойств:</w:t>
      </w:r>
    </w:p>
    <w:p w:rsidR="0085505D" w:rsidRDefault="0085505D" w:rsidP="00E76DE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подзаконность (предписание выдается в рамках и в соответствии с законодательными актами);</w:t>
      </w:r>
    </w:p>
    <w:p w:rsidR="0085505D" w:rsidRDefault="0085505D" w:rsidP="00E76DE8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3C1A">
        <w:rPr>
          <w:sz w:val="28"/>
          <w:szCs w:val="28"/>
        </w:rPr>
        <w:t>официальность (применяется от имени государства);</w:t>
      </w:r>
    </w:p>
    <w:p w:rsidR="007D3C1A" w:rsidRDefault="007D3C1A" w:rsidP="007D3C1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функциональность (с помощью предписания реализуются функции антимонопольных органов по защите публичных интересов);</w:t>
      </w:r>
    </w:p>
    <w:p w:rsidR="007D3C1A" w:rsidRDefault="007D3C1A" w:rsidP="007D3C1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властный характер (предписание выносится на основе властных полномочий);</w:t>
      </w:r>
    </w:p>
    <w:p w:rsidR="007D3C1A" w:rsidRDefault="007D3C1A" w:rsidP="007D3C1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регулятивность (предписание относится к средствам антимонопольного регулирования);</w:t>
      </w:r>
    </w:p>
    <w:p w:rsidR="00D97FB6" w:rsidRDefault="00D97FB6" w:rsidP="007D3C1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подконтрольность (предписание может быть обжаловано в суд);</w:t>
      </w:r>
    </w:p>
    <w:p w:rsidR="00D97FB6" w:rsidRDefault="00D97FB6" w:rsidP="007D3C1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- юрисдикционность (в предписании оценивается правомерность действий или бездействия хозяйствующих или иных субъектов).</w:t>
      </w:r>
    </w:p>
    <w:p w:rsidR="00D97FB6" w:rsidRDefault="00D97FB6" w:rsidP="00D97FB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Кроме того, предписание налагает обязанности и служит юридическим </w:t>
      </w:r>
      <w:r w:rsidR="0060211A">
        <w:rPr>
          <w:sz w:val="28"/>
          <w:szCs w:val="28"/>
        </w:rPr>
        <w:t>фактором, с которым связано возникновение, изменение или прекращение правоотношений в сфере антимонопольного регулирования. Предписание адресовано отдельным лицам и не носит нормативного характера</w:t>
      </w:r>
      <w:r w:rsidR="0090032C">
        <w:rPr>
          <w:sz w:val="28"/>
          <w:szCs w:val="28"/>
        </w:rPr>
        <w:t>. Неисполнение предписания в срок влечет за собой применение мер ответственности, предусмотренных ст. 23-24 Закона о конкуренции. Одновременно на основании ст. 13 ГК РФ, ст. 20 и п. 1 ст. 28 Закона о конкуренции у соответствующего хозяйствующего субъекта и иных лиц возникает право обжаловать вынесенные в отношении них акты антимонопольных органов. При этом подача заявления приостанавливает исполнение решения (предписания) федерального антимонопольного органа (территориального органа) на время его рассмотрения в суде или арбитражном суде до вступления решения суда или арбитражного суда в законную силу. Решение (предписание) федерального антимонопольного органа (территориального органа)</w:t>
      </w:r>
      <w:r w:rsidR="0051489B">
        <w:rPr>
          <w:sz w:val="28"/>
          <w:szCs w:val="28"/>
        </w:rPr>
        <w:t xml:space="preserve"> может быть обжаловано в течение</w:t>
      </w:r>
      <w:r w:rsidR="0090032C">
        <w:rPr>
          <w:sz w:val="28"/>
          <w:szCs w:val="28"/>
        </w:rPr>
        <w:t xml:space="preserve"> 6-ти месяцев со дня его вынесения</w:t>
      </w:r>
      <w:r w:rsidR="0051489B">
        <w:rPr>
          <w:sz w:val="28"/>
          <w:szCs w:val="28"/>
        </w:rPr>
        <w:t xml:space="preserve">, за исключением требований, на которые исковая давность не распространяется. </w:t>
      </w:r>
    </w:p>
    <w:p w:rsidR="0051489B" w:rsidRDefault="0051489B" w:rsidP="00D97FB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Специальные обязанности коммерческих и некоммерческих организаций (их руководителей), федеральных органов исполнительной власти, органов исполнительной власти Субъектов Федерации и органов местного самоуправления (их должностных лиц) и индивидуальных предпринимателей предусмотрены в Законе о конкуренции и других актах антимонопольного законодательства.</w:t>
      </w:r>
    </w:p>
    <w:p w:rsidR="0051489B" w:rsidRDefault="0051489B" w:rsidP="00D97FB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Так, указанные выше субъекты обязаны:</w:t>
      </w:r>
    </w:p>
    <w:p w:rsidR="0051489B" w:rsidRDefault="0051489B" w:rsidP="0051489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соответствии с предписаниями федерального антимонопольного органа прекратить нарушение, восстановить первоначальное положение, расторгнуть договор или внести в него изменения, заключить договор с другим хозяйствующим субъектом, отменить акт, не соответствующий законодательству, перечислить в федеральный бюджет прибыль, полученную в результате нарушения, осуществить реорганизацию в форме разделения или выделения с соблюдением установленных условий и сроков, выполнить иные действия, предусмотренные предписанием;</w:t>
      </w:r>
    </w:p>
    <w:p w:rsidR="0051489B" w:rsidRDefault="0051489B" w:rsidP="0051489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представить антимонопольным органам ходатайство и заявления об уведомлении в случаях и порядке, предусмотренных в ст. 17-18. Закона о конкуренции;</w:t>
      </w:r>
    </w:p>
    <w:p w:rsidR="0051489B" w:rsidRDefault="0051489B" w:rsidP="0051489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исполнить законное требование антимонопольных органов, </w:t>
      </w:r>
      <w:r w:rsidR="000568E3">
        <w:rPr>
          <w:sz w:val="28"/>
          <w:szCs w:val="28"/>
        </w:rPr>
        <w:t>предъявляемое в порядке осуществления государственного контроля за концентрацией на товарном рынке (п. 3 ст. 17 и п. 4 ст. 18 Закона о конкуренции), а так же соблюдать иные условия указанного контроля;</w:t>
      </w:r>
    </w:p>
    <w:p w:rsidR="000568E3" w:rsidRDefault="000568E3" w:rsidP="0051489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представить по требованию антимонопольных органов достоверную и полную информацию, необходимую для осуществления антимонопольными органами их законной деятельности; </w:t>
      </w:r>
    </w:p>
    <w:p w:rsidR="000568E3" w:rsidRDefault="005E3C13" w:rsidP="0051489B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препятствовать выполнению сотрудниками антимонопольных органов возложенных на них обязанностей.</w:t>
      </w:r>
    </w:p>
    <w:p w:rsidR="005E3C13" w:rsidRDefault="005E3C13" w:rsidP="005E3C1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области применения антимонопольного законодательства юридическая ответственность возлагается на правонарушителя различными органами. Различаются: </w:t>
      </w:r>
    </w:p>
    <w:p w:rsidR="005E3C13" w:rsidRDefault="005E3C13" w:rsidP="005E3C1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ответственность, возлагаемая органом исполнительной власти;</w:t>
      </w:r>
    </w:p>
    <w:p w:rsidR="005E3C13" w:rsidRDefault="005E3C13" w:rsidP="005E3C1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2) ответственность, возлагаемая судом.</w:t>
      </w:r>
    </w:p>
    <w:p w:rsidR="005E3C13" w:rsidRDefault="009C1D76" w:rsidP="005E3C1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зависимости от того, какой вид правонарушения в сфере конкуренции совершен, юридическая ответственность подразделяется (в ст. 22 Закона о конкуренции) на гражданско-правовую, административную и уголовную.</w:t>
      </w:r>
    </w:p>
    <w:p w:rsidR="005E3C13" w:rsidRDefault="009C1D76" w:rsidP="005E3C1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 мерам гражданско-правовой ответственности следует отнести возмещение потерпевшему предпринимателю убытков, причиненных монополистической деятельностью и недобросовестной конкуренции. Такие убытки подлежат возмещению на основании ст. 15 ГК РФ и ст. 26 Закона о конкуренции в случаях: </w:t>
      </w:r>
    </w:p>
    <w:p w:rsidR="009C1D76" w:rsidRDefault="009C1D76" w:rsidP="005E3C1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 принятия нарушения антимонопольного законодательства акта федеральным органом исполнительной власти, органом исполнительной власти субъекта РФ и органом местного самоуправления либо неисполнения или ненадлежащего исполнения указанными органами своих обязанностей;</w:t>
      </w:r>
    </w:p>
    <w:p w:rsidR="009C1D76" w:rsidRDefault="009C1D76" w:rsidP="005E3C1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2) совершение хозяйствующим субъектом деяний, нарушающих антимонопольное законодательство.</w:t>
      </w:r>
    </w:p>
    <w:p w:rsidR="009C1D76" w:rsidRDefault="009C1D76" w:rsidP="005E3C13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Коммерческие и некомм</w:t>
      </w:r>
      <w:r w:rsidR="009B1477">
        <w:rPr>
          <w:sz w:val="28"/>
          <w:szCs w:val="28"/>
        </w:rPr>
        <w:t>е</w:t>
      </w:r>
      <w:r>
        <w:rPr>
          <w:sz w:val="28"/>
          <w:szCs w:val="28"/>
        </w:rPr>
        <w:t>рчес</w:t>
      </w:r>
      <w:r w:rsidR="009B1477">
        <w:rPr>
          <w:sz w:val="28"/>
          <w:szCs w:val="28"/>
        </w:rPr>
        <w:t>кие организации несут ответстве</w:t>
      </w:r>
      <w:r>
        <w:rPr>
          <w:sz w:val="28"/>
          <w:szCs w:val="28"/>
        </w:rPr>
        <w:t>н</w:t>
      </w:r>
      <w:r w:rsidR="009B1477">
        <w:rPr>
          <w:sz w:val="28"/>
          <w:szCs w:val="28"/>
        </w:rPr>
        <w:t>но</w:t>
      </w:r>
      <w:r>
        <w:rPr>
          <w:sz w:val="28"/>
          <w:szCs w:val="28"/>
        </w:rPr>
        <w:t xml:space="preserve">сть </w:t>
      </w:r>
      <w:r w:rsidR="009B1477">
        <w:rPr>
          <w:sz w:val="28"/>
          <w:szCs w:val="28"/>
        </w:rPr>
        <w:t>в виде штрафа за следующие нарушения:</w:t>
      </w:r>
    </w:p>
    <w:p w:rsidR="009B1477" w:rsidRDefault="009B1477" w:rsidP="009B14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неисполнение в срок предписания федерального антимонопольного органа; </w:t>
      </w:r>
    </w:p>
    <w:p w:rsidR="009B1477" w:rsidRDefault="009B1477" w:rsidP="009B14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совершение действий (бездействия) в нарушение порядка, предусмотренного ст. 17-18 Закона о конкуренции;</w:t>
      </w:r>
    </w:p>
    <w:p w:rsidR="009B1477" w:rsidRDefault="009B1477" w:rsidP="009B14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неисполнение законных требований федерального антимонопольного органа, предъявляемых в соответствии с п. 3 ст. 17 и п. 4 ст. 18 Закона о конкуренции.</w:t>
      </w:r>
    </w:p>
    <w:p w:rsidR="009B1477" w:rsidRDefault="009B1477" w:rsidP="009B14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Непредставления в срок по требованию антимонопольного федерального органа документов либо иной информации, подлежащей представлению в соответствии со статьей 17-18 Закона о конкуренции;</w:t>
      </w:r>
    </w:p>
    <w:p w:rsidR="009B1477" w:rsidRDefault="009B1477" w:rsidP="009B14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федеральному антимонопольному органу недостоверных сведений;</w:t>
      </w:r>
    </w:p>
    <w:p w:rsidR="009B1477" w:rsidRDefault="009B1477" w:rsidP="009B14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нарушение установленного порядка представления сведений о своих аффилированных лицах при представлении информации на основании ходатайств и уведомлений, предусмотренных ст. 17-18 Закона о конкуренции.</w:t>
      </w:r>
    </w:p>
    <w:p w:rsidR="009B1477" w:rsidRDefault="009B1477" w:rsidP="009B14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Индивидуальные предприниматели несу административную ответственность по правилам ст. 24 Закона о конкуренции.</w:t>
      </w:r>
    </w:p>
    <w:p w:rsidR="009B1477" w:rsidRDefault="00F87126" w:rsidP="009B1477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руководителей коммерческих и некоммерческих организаций, должностных лиц федеральных органов исполнительной власти, органов исполнительной власти субъектов Федерации и органов местного самоуправления, индивидуальных предпринимателей в сфере конкуренции наступает за следующие нарушения:</w:t>
      </w:r>
    </w:p>
    <w:p w:rsidR="00F87126" w:rsidRDefault="00F87126" w:rsidP="00F871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неисполнение в срок предписания федерального антимонопольного органа;</w:t>
      </w:r>
    </w:p>
    <w:p w:rsidR="00F87126" w:rsidRDefault="00F87126" w:rsidP="00F87126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воспрепятствование выполнению сотрудниками федерального антимонопольного органа возложенных на них обязанностей.</w:t>
      </w:r>
    </w:p>
    <w:p w:rsidR="00F87126" w:rsidRDefault="009B0DB8" w:rsidP="00F8712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Что касается уголовной ответственности, то ст. 178 УК РФ сформулированы без учета положений п. 4 ст. 24 Закона о конкуренции и устанавливает ответственность не за неисполнение в срок должностным лицом властного органа или хозяйствующего субъекта законных предписаний антимонопольных органов, а непосредственно за:</w:t>
      </w:r>
    </w:p>
    <w:p w:rsidR="009B0DB8" w:rsidRDefault="005E3A42" w:rsidP="005E3A42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монополистические действия, совершенные путем установления монопольно высоких или монопольно низких цен;</w:t>
      </w:r>
    </w:p>
    <w:p w:rsidR="005E3A42" w:rsidRDefault="005E3A42" w:rsidP="005E3A42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ограничение конкуренции путем раздела рынка, ограничение доступа на рынок, устранение с него других хозяйствующих субъектов, а так же установле</w:t>
      </w:r>
      <w:r w:rsidR="006E04B4">
        <w:rPr>
          <w:sz w:val="28"/>
          <w:szCs w:val="28"/>
        </w:rPr>
        <w:t>ние или поддержание единых цен</w:t>
      </w:r>
      <w:r>
        <w:rPr>
          <w:sz w:val="28"/>
          <w:szCs w:val="28"/>
        </w:rPr>
        <w:t>.</w:t>
      </w:r>
    </w:p>
    <w:p w:rsidR="006E04B4" w:rsidRDefault="006E04B4" w:rsidP="006E04B4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3. Задача.</w:t>
      </w:r>
    </w:p>
    <w:p w:rsidR="006E04B4" w:rsidRDefault="006E04B4" w:rsidP="006E04B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Реше</w:t>
      </w:r>
      <w:r w:rsidR="00101C7E">
        <w:rPr>
          <w:sz w:val="28"/>
          <w:szCs w:val="28"/>
        </w:rPr>
        <w:t>ние п</w:t>
      </w:r>
      <w:r>
        <w:rPr>
          <w:sz w:val="28"/>
          <w:szCs w:val="28"/>
        </w:rPr>
        <w:t>о</w:t>
      </w:r>
      <w:r w:rsidR="00101C7E">
        <w:rPr>
          <w:sz w:val="28"/>
          <w:szCs w:val="28"/>
        </w:rPr>
        <w:t xml:space="preserve"> делу между «Ларк» и корпорацией «Виктор» пересматривалось по вновь открывшимся обстоятельствам по заявлению корпорации «Виктор». Суд определением от 30.03.94г. оставил решение без изменения и возобновил его исполнение по обращению задолженности на имущество ответчика. Каков порядок приостановления производства по исполнению решения?</w:t>
      </w:r>
    </w:p>
    <w:p w:rsidR="00101C7E" w:rsidRPr="006E04B4" w:rsidRDefault="00101C7E" w:rsidP="006E04B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Может ли арбитражный суд пересмотревший решения по вновь открывшимся обстоятельствам приостановить исполнительное производство?</w:t>
      </w:r>
      <w:bookmarkStart w:id="0" w:name="_GoBack"/>
      <w:bookmarkEnd w:id="0"/>
    </w:p>
    <w:sectPr w:rsidR="00101C7E" w:rsidRPr="006E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0BFD"/>
    <w:multiLevelType w:val="hybridMultilevel"/>
    <w:tmpl w:val="13C0FE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4B16C4B"/>
    <w:multiLevelType w:val="hybridMultilevel"/>
    <w:tmpl w:val="A0069A26"/>
    <w:lvl w:ilvl="0" w:tplc="D0C23124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DCA2C60"/>
    <w:multiLevelType w:val="hybridMultilevel"/>
    <w:tmpl w:val="2B8AA99A"/>
    <w:lvl w:ilvl="0" w:tplc="DA4AE866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682196"/>
    <w:multiLevelType w:val="hybridMultilevel"/>
    <w:tmpl w:val="835E5450"/>
    <w:lvl w:ilvl="0" w:tplc="DAB016D0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F8C64E9"/>
    <w:multiLevelType w:val="hybridMultilevel"/>
    <w:tmpl w:val="2EBA209A"/>
    <w:lvl w:ilvl="0" w:tplc="19EA65A0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31A"/>
    <w:rsid w:val="000568E3"/>
    <w:rsid w:val="000F56C0"/>
    <w:rsid w:val="00101C7E"/>
    <w:rsid w:val="001F29A0"/>
    <w:rsid w:val="003C5E10"/>
    <w:rsid w:val="0046643A"/>
    <w:rsid w:val="0051489B"/>
    <w:rsid w:val="005419A9"/>
    <w:rsid w:val="005E3A42"/>
    <w:rsid w:val="005E3C13"/>
    <w:rsid w:val="0060211A"/>
    <w:rsid w:val="00661858"/>
    <w:rsid w:val="006E04B4"/>
    <w:rsid w:val="007D3C1A"/>
    <w:rsid w:val="007F18B7"/>
    <w:rsid w:val="0085505D"/>
    <w:rsid w:val="0090032C"/>
    <w:rsid w:val="009B0DB8"/>
    <w:rsid w:val="009B1477"/>
    <w:rsid w:val="009C1D76"/>
    <w:rsid w:val="00C53D0D"/>
    <w:rsid w:val="00CA6E0F"/>
    <w:rsid w:val="00CE7DFE"/>
    <w:rsid w:val="00CF1040"/>
    <w:rsid w:val="00D97FB6"/>
    <w:rsid w:val="00E76DE8"/>
    <w:rsid w:val="00EB4316"/>
    <w:rsid w:val="00F2531A"/>
    <w:rsid w:val="00F87126"/>
    <w:rsid w:val="00FB377C"/>
    <w:rsid w:val="00F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3DF0C-EBBE-4244-B141-17FE83E1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31A"/>
    <w:rPr>
      <w:sz w:val="24"/>
      <w:szCs w:val="24"/>
    </w:rPr>
  </w:style>
  <w:style w:type="paragraph" w:styleId="1">
    <w:name w:val="heading 1"/>
    <w:basedOn w:val="a"/>
    <w:next w:val="a"/>
    <w:qFormat/>
    <w:rsid w:val="00F2531A"/>
    <w:pPr>
      <w:keepNext/>
      <w:jc w:val="center"/>
      <w:outlineLvl w:val="0"/>
    </w:pPr>
    <w:rPr>
      <w:b/>
      <w:bCs/>
      <w:sz w:val="56"/>
    </w:rPr>
  </w:style>
  <w:style w:type="paragraph" w:styleId="2">
    <w:name w:val="heading 2"/>
    <w:basedOn w:val="a"/>
    <w:next w:val="a"/>
    <w:qFormat/>
    <w:rsid w:val="00F2531A"/>
    <w:pPr>
      <w:keepNext/>
      <w:jc w:val="center"/>
      <w:outlineLvl w:val="1"/>
    </w:pPr>
    <w:rPr>
      <w:i/>
      <w:iCs/>
      <w:sz w:val="56"/>
    </w:rPr>
  </w:style>
  <w:style w:type="paragraph" w:styleId="3">
    <w:name w:val="heading 3"/>
    <w:basedOn w:val="a"/>
    <w:next w:val="a"/>
    <w:qFormat/>
    <w:rsid w:val="00F2531A"/>
    <w:pPr>
      <w:keepNext/>
      <w:jc w:val="right"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F2531A"/>
    <w:pPr>
      <w:jc w:val="center"/>
    </w:pPr>
    <w:rPr>
      <w:b/>
      <w:bCs/>
      <w:i/>
      <w:i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2184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СПО Владимирский заочный сельскохозяйственный техникум</vt:lpstr>
    </vt:vector>
  </TitlesOfParts>
  <Company>sm</Company>
  <LinksUpToDate>false</LinksUpToDate>
  <CharactersWithSpaces>14604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СПО Владимирский заочный сельскохозяйственный техникум</dc:title>
  <dc:subject/>
  <dc:creator>Sm</dc:creator>
  <cp:keywords/>
  <dc:description/>
  <cp:lastModifiedBy>Irina</cp:lastModifiedBy>
  <cp:revision>2</cp:revision>
  <dcterms:created xsi:type="dcterms:W3CDTF">2014-08-06T16:44:00Z</dcterms:created>
  <dcterms:modified xsi:type="dcterms:W3CDTF">2014-08-06T16:44:00Z</dcterms:modified>
</cp:coreProperties>
</file>