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D6" w:rsidRDefault="00D221D6" w:rsidP="007474D5">
      <w:pPr>
        <w:pStyle w:val="1"/>
        <w:jc w:val="center"/>
        <w:rPr>
          <w:sz w:val="40"/>
          <w:szCs w:val="40"/>
          <w:lang w:val="en-US"/>
        </w:rPr>
      </w:pPr>
    </w:p>
    <w:p w:rsidR="007E376C" w:rsidRDefault="007E376C" w:rsidP="007474D5">
      <w:pPr>
        <w:pStyle w:val="1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</w:t>
      </w:r>
      <w:r w:rsidRPr="007474D5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Pr="007474D5">
        <w:rPr>
          <w:sz w:val="40"/>
          <w:szCs w:val="40"/>
        </w:rPr>
        <w:t>Основные механизмы действия лекарств</w:t>
      </w:r>
      <w:r>
        <w:rPr>
          <w:sz w:val="40"/>
          <w:szCs w:val="40"/>
        </w:rPr>
        <w:t>.</w:t>
      </w:r>
    </w:p>
    <w:p w:rsidR="007E376C" w:rsidRDefault="007E376C" w:rsidP="007474D5">
      <w:pPr>
        <w:pStyle w:val="1"/>
        <w:jc w:val="center"/>
      </w:pPr>
      <w:r w:rsidRPr="007474D5">
        <w:t>Многие лекарства имеют одинаковый механизм действия и, следовательно, могут быть объединены в группы и подгруппы. Количество различных фармакологических групп (подгрупп) ограничивается десятками. Лекарственные препараты и фармгруппы изучаются будущим врачом в институте, но для глубокого понимания фармакологии требуется немало специальных знаний и опыт работы в клинике. Однако и неспециалисту полезно попытаться понять хотя бы общие принципы действия лекарств. Тогда пациент сможет вести более аргументированный диалог с врачом, что повысит эффективность их общения. Давайте попробуем разобраться, что же происходит внутри нас, когда мы принимаем лекарство?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 w:rsidRPr="007474D5">
        <w:t>Под действием лекарств в организме не происходит новых биохимических реакций или физиологических процессов. Большинство лекарств только стимулируют, имитируют, угнетают или полностью блокируют действие внутренних посредников, передающих сигналы между различными органами и системами через биологические субстраты.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 w:rsidRPr="007474D5">
        <w:t>Каждое звено механизма обратной связи участвует в регулировании функций клетки и целого организма, а, следовательно, может служить “мишенью” – биологическим субстратом – для лекарственных средств. Из двух участников реакции “лекарство + биологический субстрат” первый обычно хорошо известен, специалисты знают его структуру и свойства. О втором зачастую информация более скудная: хотя последние 10-20 лет интенсивно изучается структура и функции различных биологических субстратов, однако до полной ясности пока еще далеко.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 w:rsidRPr="007474D5">
        <w:t>Многие ферменты являются “мишенями” для лекарств. Лекарства могут угнетать или – реже – повышать активность этих ферментов, а также являться для них “ложными” субстратами. Например, угнетающими активность (ингибирующими) ферментов средствами являются ненаркотические анальгетики и нестероидные противовоспалительные средства</w:t>
      </w:r>
      <w:r>
        <w:t xml:space="preserve"> н</w:t>
      </w:r>
      <w:r w:rsidRPr="007474D5">
        <w:t>екоторые противоопухолевые препараты (метотрексат), а ложным субстратом – метилдофа. Ингибиторы ангиотензинпревращающего фермента (АПФ) (каптоприл и эналаприл) широко применяются в качестве понижающих артериальное давление (гипотензивных) средств</w:t>
      </w:r>
      <w:r>
        <w:t xml:space="preserve"> и</w:t>
      </w:r>
      <w:r w:rsidRPr="007474D5">
        <w:t>зменяя активность ферментов, лекарства изменяют внутриклеточные процессы и тем самым обеспечивают лечебный эффект.</w:t>
      </w:r>
    </w:p>
    <w:p w:rsidR="007E376C" w:rsidRDefault="007E376C" w:rsidP="007474D5">
      <w:pPr>
        <w:pStyle w:val="1"/>
        <w:jc w:val="center"/>
      </w:pPr>
      <w:r w:rsidRPr="007474D5">
        <w:t>В основе фармакологического действия лекарств лежит их физико-химическое или химическое взаимодействие с такими “мишенями”. Возможность взаимодействия лекарства с биологическим субстратом зависит в первую очередь от химического строения каждого из них. Последовательность расположения атомов, пространственная конфигурация молекулы, величина и расположение зарядов, подвижность фрагментов молекулы относительно друг друга влияют на прочность связи и, тем самым, на силу и продолжительность фармакологического действия. Молекула лекарственного вещества в большинстве случаев имеет очень маленький размер по сравнению с биологическими субстратами, поэтому она может соединяться только с небольшим фрагментом макромолекулы рецептора. При любой реакции между лекарством и биологическим субстратом образуется химическая связь</w:t>
      </w:r>
      <w:r>
        <w:t>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 w:rsidRPr="007474D5">
        <w:t>Из школьного курса химии известно, что связь между двумя различными веществами может быть обратимой или необратимой, временной или прочной. Она образуется благодаря электростатическим и ван-дер-ваальсовым силам, водородным и гидрофобным взаимодействиям. Прочные ковалентные связи между лекарством и биологическим субстратом встречаются редко. Например, некоторые противоопухолевые средства за счет ковалентного взаимодействия “сшивают” соседние спирали ДНК, являющейся в данном случае субстратом, и необратимо повреждают ее, вызывая гибель опухолевой клетки.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Механизм действия лекарств на молекулярном и клеточном уровнях имеет очень большое значение, но не менее важно знать, на какие физиологические процессы влияет препарат, то есть каковы его эффекты на системном уровне. Возьмем, к примеру, лекарственные средства, снижающие артериальное давление. Один и тот же результат – снижение давления – может быть достигнут разными способами: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1) угнетением сосудодвигательного центра (магния сульфат);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2) угнетением передачи возбуждения в вегетативной нервной системе (ганглиоблокаторы);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3) ослаблением работы сердца, уменьшением его ударного и минутного объемов (бета-адреноблокаторы);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4) расширением сосудов (альфа-адреноблокаторы и средства, расслабляющие гладкую мускулатуру – спазмолитики);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5) уменьшением объема циркулирующей крови (мочегонные средства);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6) снижением активности системы ренин-ангиотензин (ингибиторы АПФ, антагонисты ангиотензиновых рецепторов) и другие.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Таким образом, одни и те же фармакологические эффекты (увеличение частоты сокращений сердца, расширение бронхов, устранение боли и так далее) можно получить с помощью нескольких препаратов, имеющих различные механизмы действия.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Еще один пример – кашель. Если кашель обусловлен воспалением дыхательных путей, назначают противокашлевые средства периферического действия, причем, часто комбинируют их с отхаркивающими препаратами. Кашель у больных туберкулезом или при новообразованиях бронхов устраняют центрально действующие наркотические анальгетики (кодеин). А в детской практике в тяжелых случаях коклюша кашель лечат введением нейролептика хлорпромазина (препарат Аминазин).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Выбор лекарства, необходимого конкретному больному, осуществляет врач, руководствуясь знанием механизма действия лекарственных препаратов и обусловленных им терапевтических и побочных эффектов. Мы надеемся, что теперь вам стало понятнее, как сложен этот выбор, и какими знаниями и опытом надо обладать, чтобы правильно его сделать.</w:t>
      </w:r>
    </w:p>
    <w:p w:rsidR="007E376C" w:rsidRDefault="007E376C" w:rsidP="007474D5">
      <w:pPr>
        <w:pStyle w:val="1"/>
        <w:jc w:val="center"/>
      </w:pPr>
    </w:p>
    <w:p w:rsidR="007E376C" w:rsidRDefault="007E376C" w:rsidP="007474D5">
      <w:pPr>
        <w:pStyle w:val="1"/>
        <w:jc w:val="center"/>
      </w:pPr>
      <w:r>
        <w:t>Но поскольку все органы и системы взаимосвязаны, то какие-либо изменения функции одного органа или системы вызывают сдвиги в работе других органов и систем. Кроме того, субстраты для взаимодействия могут находиться в разных органах, что также обеспечивает их взаимосвязь. Она проявляется как на физиологическом, так и на биохимическом уровнях, определяя неоднозначность и многогранность действия лекарств, наличие не только лечебного, но и побочного действия у большинства препаратов.</w:t>
      </w:r>
    </w:p>
    <w:p w:rsidR="007E376C" w:rsidRDefault="007E376C" w:rsidP="007474D5">
      <w:pPr>
        <w:pStyle w:val="1"/>
        <w:jc w:val="right"/>
      </w:pPr>
    </w:p>
    <w:p w:rsidR="007E376C" w:rsidRDefault="007E376C" w:rsidP="007474D5">
      <w:pPr>
        <w:pStyle w:val="1"/>
        <w:jc w:val="right"/>
      </w:pPr>
      <w:r>
        <w:t>Литература:</w:t>
      </w:r>
    </w:p>
    <w:p w:rsidR="007E376C" w:rsidRDefault="007E376C" w:rsidP="007474D5">
      <w:pPr>
        <w:pStyle w:val="1"/>
        <w:jc w:val="right"/>
      </w:pPr>
      <w:r>
        <w:t>Аничков С.В., Беленький М.Л. Учебник фармакологии. – МЕДГИЗ ленинградское объединение, 1955.</w:t>
      </w:r>
    </w:p>
    <w:p w:rsidR="007E376C" w:rsidRDefault="007E376C" w:rsidP="007474D5">
      <w:pPr>
        <w:pStyle w:val="1"/>
        <w:jc w:val="right"/>
      </w:pPr>
      <w:r>
        <w:t>Белоусов Ю.Б., Моисеев В.С., Лепахин В.К. Клиническая фармакология и фармакотерапия: Руководство для врачей. – М.: Универсум, 1993. – 398 с.</w:t>
      </w:r>
    </w:p>
    <w:p w:rsidR="007E376C" w:rsidRDefault="007E376C" w:rsidP="007474D5">
      <w:pPr>
        <w:pStyle w:val="1"/>
        <w:jc w:val="right"/>
      </w:pPr>
      <w:r>
        <w:t>Каркищенко Н.Н. Фармакологические основы терапии: Руководство и справочник для врачей и студентов. – М.: IMP-Медицина, 1996. – 560 с.</w:t>
      </w:r>
    </w:p>
    <w:p w:rsidR="007E376C" w:rsidRDefault="007E376C" w:rsidP="007474D5">
      <w:pPr>
        <w:pStyle w:val="1"/>
        <w:jc w:val="right"/>
      </w:pPr>
      <w:r>
        <w:t>Базисная и клиническая фармакология / Под ред. Бертрама Г. Катцунга; Пер. с англ. под ред. докт. мед. наук, проф. Э.Э. Звартау: В 2-х томах. – М. – СПб.: Бином – Невский диалект, 1998. – Т. 1, 2.</w:t>
      </w:r>
    </w:p>
    <w:p w:rsidR="007E376C" w:rsidRDefault="007E376C" w:rsidP="007474D5">
      <w:pPr>
        <w:pStyle w:val="1"/>
        <w:jc w:val="right"/>
      </w:pPr>
      <w:r>
        <w:t>Крылов Ю.Ф., Бобырев В.М. Фармакология. – М.: ВУНМЦ МЗ РФ, 1999. – 352 с.</w:t>
      </w:r>
    </w:p>
    <w:p w:rsidR="007E376C" w:rsidRDefault="007E376C" w:rsidP="007474D5">
      <w:pPr>
        <w:pStyle w:val="1"/>
        <w:jc w:val="right"/>
      </w:pPr>
      <w:r>
        <w:t>Кудрин А.Н., Пономарев В.Д., Макаров В.А. Рациональное применение лекарств: серия “Медицина”. – М.: Знание, 1977.</w:t>
      </w:r>
    </w:p>
    <w:p w:rsidR="007E376C" w:rsidRDefault="007E376C" w:rsidP="007474D5">
      <w:pPr>
        <w:pStyle w:val="1"/>
        <w:jc w:val="right"/>
      </w:pPr>
      <w:r>
        <w:t>Современная медицинская энциклопедия. / Под ред. Р. Беркоу, М. Бирса, Р Боджина, Э.Флетчера. Пер. с англ. под общей ред. Г.Б. Федосеева. – СПб.: Норинт, 2001 – 1264 с.: ил.</w:t>
      </w:r>
    </w:p>
    <w:p w:rsidR="007E376C" w:rsidRDefault="007E376C" w:rsidP="007474D5">
      <w:pPr>
        <w:pStyle w:val="1"/>
        <w:jc w:val="right"/>
      </w:pPr>
      <w:r>
        <w:t>Харкевич Д.А. Фармакология: Учебник. – 6-е изд., перераб. и доп. – М.: ГЭОТАР МЕДИЦИНА, 1999. – 664 с.</w:t>
      </w:r>
    </w:p>
    <w:p w:rsidR="007E376C" w:rsidRDefault="007E376C" w:rsidP="007474D5">
      <w:pPr>
        <w:pStyle w:val="1"/>
        <w:jc w:val="right"/>
      </w:pPr>
      <w:r>
        <w:t>Энциклопедический словарь медицинских терминов / Гл. ред. Б.В. Петровский. В 3-х томах – М.: Советская энциклопедия, 1982. – Т. 1, 2, 3.</w:t>
      </w:r>
    </w:p>
    <w:p w:rsidR="007E376C" w:rsidRDefault="007E376C" w:rsidP="007474D5">
      <w:pPr>
        <w:pStyle w:val="1"/>
        <w:jc w:val="right"/>
      </w:pPr>
    </w:p>
    <w:p w:rsidR="007E376C" w:rsidRDefault="007E376C" w:rsidP="00C56C11">
      <w:pPr>
        <w:pStyle w:val="1"/>
        <w:jc w:val="center"/>
      </w:pPr>
    </w:p>
    <w:p w:rsidR="007E376C" w:rsidRDefault="007E376C" w:rsidP="007474D5">
      <w:pPr>
        <w:pStyle w:val="1"/>
        <w:jc w:val="right"/>
      </w:pPr>
    </w:p>
    <w:p w:rsidR="007E376C" w:rsidRDefault="007E376C" w:rsidP="00C56C11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II.</w:t>
      </w:r>
      <w:r w:rsidRPr="00C56C11">
        <w:rPr>
          <w:sz w:val="40"/>
          <w:szCs w:val="40"/>
        </w:rPr>
        <w:t>Проблемы психофармакологии</w:t>
      </w:r>
      <w:r>
        <w:rPr>
          <w:sz w:val="40"/>
          <w:szCs w:val="40"/>
        </w:rPr>
        <w:t>.</w:t>
      </w:r>
    </w:p>
    <w:p w:rsidR="007E376C" w:rsidRPr="00C56C11" w:rsidRDefault="007E376C" w:rsidP="00C56C11">
      <w:pPr>
        <w:pStyle w:val="1"/>
        <w:jc w:val="center"/>
      </w:pPr>
      <w:bookmarkStart w:id="0" w:name="_GoBack"/>
      <w:bookmarkEnd w:id="0"/>
    </w:p>
    <w:sectPr w:rsidR="007E376C" w:rsidRPr="00C56C11" w:rsidSect="00FA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4D5"/>
    <w:rsid w:val="003C0AAF"/>
    <w:rsid w:val="004433FE"/>
    <w:rsid w:val="00694DDC"/>
    <w:rsid w:val="007474D5"/>
    <w:rsid w:val="007E376C"/>
    <w:rsid w:val="00C56C11"/>
    <w:rsid w:val="00D221D6"/>
    <w:rsid w:val="00FA5FB5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A3E8-1249-4AF8-A421-B1EAAD3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F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7474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п</dc:creator>
  <cp:keywords/>
  <dc:description/>
  <cp:lastModifiedBy>Irina</cp:lastModifiedBy>
  <cp:revision>2</cp:revision>
  <dcterms:created xsi:type="dcterms:W3CDTF">2014-08-29T09:33:00Z</dcterms:created>
  <dcterms:modified xsi:type="dcterms:W3CDTF">2014-08-29T09:33:00Z</dcterms:modified>
</cp:coreProperties>
</file>