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  <w:r w:rsidRPr="00DE309E">
        <w:rPr>
          <w:sz w:val="28"/>
          <w:szCs w:val="28"/>
        </w:rPr>
        <w:t>Государственный университет Высшая Школа Экономики</w:t>
      </w: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90642D" w:rsidP="00E464E2">
      <w:pPr>
        <w:spacing w:line="360" w:lineRule="auto"/>
        <w:ind w:firstLine="709"/>
        <w:jc w:val="center"/>
        <w:rPr>
          <w:sz w:val="28"/>
          <w:szCs w:val="28"/>
        </w:rPr>
      </w:pPr>
      <w:r w:rsidRPr="00DE309E">
        <w:rPr>
          <w:sz w:val="28"/>
          <w:szCs w:val="28"/>
        </w:rPr>
        <w:t>Эссе</w:t>
      </w:r>
    </w:p>
    <w:p w:rsidR="0090642D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  <w:r w:rsidRPr="00DE309E">
        <w:rPr>
          <w:sz w:val="28"/>
          <w:szCs w:val="28"/>
        </w:rPr>
        <w:t>по курсу «</w:t>
      </w:r>
      <w:r w:rsidR="0090642D" w:rsidRPr="00DE309E">
        <w:rPr>
          <w:sz w:val="28"/>
          <w:szCs w:val="28"/>
        </w:rPr>
        <w:t>Управление инвестиционным портфелем</w:t>
      </w:r>
      <w:r w:rsidRPr="00DE309E">
        <w:rPr>
          <w:sz w:val="28"/>
          <w:szCs w:val="28"/>
        </w:rPr>
        <w:t>»</w:t>
      </w:r>
    </w:p>
    <w:p w:rsidR="009410EA" w:rsidRDefault="0090642D" w:rsidP="00E464E2">
      <w:pPr>
        <w:spacing w:line="360" w:lineRule="auto"/>
        <w:ind w:firstLine="709"/>
        <w:jc w:val="center"/>
        <w:rPr>
          <w:sz w:val="28"/>
          <w:szCs w:val="28"/>
        </w:rPr>
      </w:pPr>
      <w:r w:rsidRPr="00DE309E">
        <w:rPr>
          <w:sz w:val="28"/>
          <w:szCs w:val="28"/>
        </w:rPr>
        <w:t>на</w:t>
      </w:r>
      <w:r w:rsidRPr="00DE309E">
        <w:rPr>
          <w:sz w:val="28"/>
          <w:szCs w:val="28"/>
          <w:lang w:val="en-US"/>
        </w:rPr>
        <w:t xml:space="preserve"> </w:t>
      </w:r>
      <w:r w:rsidRPr="00DE309E">
        <w:rPr>
          <w:sz w:val="28"/>
          <w:szCs w:val="28"/>
        </w:rPr>
        <w:t>тему</w:t>
      </w:r>
      <w:r w:rsidRPr="00DE309E">
        <w:rPr>
          <w:sz w:val="28"/>
          <w:szCs w:val="28"/>
          <w:lang w:val="en-US"/>
        </w:rPr>
        <w:t>:</w:t>
      </w:r>
    </w:p>
    <w:p w:rsidR="006C45E2" w:rsidRPr="006C45E2" w:rsidRDefault="006C45E2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90642D" w:rsidRPr="00DE309E" w:rsidRDefault="00DE309E" w:rsidP="00E464E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Дублирующий портфель и его отклонение.</w:t>
      </w:r>
    </w:p>
    <w:p w:rsidR="009410EA" w:rsidRPr="00DE309E" w:rsidRDefault="009410EA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right"/>
        <w:rPr>
          <w:sz w:val="28"/>
          <w:szCs w:val="28"/>
        </w:rPr>
      </w:pPr>
      <w:r w:rsidRPr="00DE309E">
        <w:rPr>
          <w:sz w:val="28"/>
          <w:szCs w:val="28"/>
        </w:rPr>
        <w:t>Выполнила Величко Оксана</w:t>
      </w:r>
      <w:r w:rsidRPr="00DE309E">
        <w:rPr>
          <w:sz w:val="28"/>
          <w:szCs w:val="28"/>
        </w:rPr>
        <w:br/>
        <w:t>группа 612</w:t>
      </w: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</w:p>
    <w:p w:rsidR="0030457B" w:rsidRPr="00DE309E" w:rsidRDefault="0030457B" w:rsidP="00E464E2">
      <w:pPr>
        <w:spacing w:line="360" w:lineRule="auto"/>
        <w:ind w:firstLine="709"/>
        <w:jc w:val="center"/>
        <w:rPr>
          <w:sz w:val="28"/>
          <w:szCs w:val="28"/>
        </w:rPr>
      </w:pPr>
      <w:r w:rsidRPr="00DE309E">
        <w:rPr>
          <w:sz w:val="28"/>
          <w:szCs w:val="28"/>
        </w:rPr>
        <w:t>Москва 2003</w:t>
      </w:r>
    </w:p>
    <w:p w:rsidR="000A468B" w:rsidRPr="00DE309E" w:rsidRDefault="0030457B" w:rsidP="00E464E2">
      <w:pPr>
        <w:spacing w:line="360" w:lineRule="auto"/>
        <w:ind w:firstLine="709"/>
        <w:jc w:val="both"/>
      </w:pPr>
      <w:r w:rsidRPr="00DE309E">
        <w:br w:type="page"/>
      </w:r>
      <w:r w:rsidR="00CA4968" w:rsidRPr="00DE309E">
        <w:t>Изменение доходности</w:t>
      </w:r>
      <w:r w:rsidR="00E464E2" w:rsidRPr="00DE309E">
        <w:t xml:space="preserve"> активов, по</w:t>
      </w:r>
      <w:r w:rsidR="00CA4968" w:rsidRPr="00DE309E">
        <w:t xml:space="preserve">мимо прочих вещей, отражают изменения информации об экономических условиях в будущем. </w:t>
      </w:r>
      <w:r w:rsidR="00E01F4D" w:rsidRPr="00DE309E">
        <w:t xml:space="preserve">Изучение влияния различных экономических шоков на цены активов важно также и потому, что это помогает выявить природу экономических колебаний, оценить премию за риск и предсказать экономические колебания в будущем. </w:t>
      </w:r>
      <w:r w:rsidR="00502856" w:rsidRPr="00DE309E">
        <w:t>Звено</w:t>
      </w:r>
      <w:r w:rsidR="00FD1BE4" w:rsidRPr="00DE309E">
        <w:t>м</w:t>
      </w:r>
      <w:r w:rsidR="00502856" w:rsidRPr="00DE309E">
        <w:t>, связывающим цены активов с новостями по поводу состояния экономики, является «портфель следования</w:t>
      </w:r>
      <w:r w:rsidR="008E02EA" w:rsidRPr="00DE309E">
        <w:t xml:space="preserve"> тенденции</w:t>
      </w:r>
      <w:r w:rsidR="00502856" w:rsidRPr="00DE309E">
        <w:t>» (</w:t>
      </w:r>
      <w:r w:rsidR="00502856" w:rsidRPr="00DE309E">
        <w:rPr>
          <w:lang w:val="en-US"/>
        </w:rPr>
        <w:t>tracking</w:t>
      </w:r>
      <w:r w:rsidR="00502856" w:rsidRPr="00DE309E">
        <w:t xml:space="preserve"> </w:t>
      </w:r>
      <w:r w:rsidR="00502856" w:rsidRPr="00DE309E">
        <w:rPr>
          <w:lang w:val="en-US"/>
        </w:rPr>
        <w:t>portfolio</w:t>
      </w:r>
      <w:r w:rsidR="00502856" w:rsidRPr="00DE309E">
        <w:t>)</w:t>
      </w:r>
      <w:r w:rsidR="000A468B" w:rsidRPr="00DE309E">
        <w:t xml:space="preserve">. Данные портфель представляет собой портфель активов, доходности которых максимально коррелированны с такими экономическими переменными как ожидаемые объем производства, инфляция или доходность. </w:t>
      </w:r>
    </w:p>
    <w:p w:rsidR="001C549F" w:rsidRPr="00DE309E" w:rsidRDefault="00960ACF" w:rsidP="00E464E2">
      <w:pPr>
        <w:spacing w:line="360" w:lineRule="auto"/>
        <w:ind w:firstLine="709"/>
        <w:jc w:val="both"/>
      </w:pPr>
      <w:r w:rsidRPr="00DE309E">
        <w:t xml:space="preserve">Портфели, дублирующие тенденцию, применяются при решении </w:t>
      </w:r>
      <w:r w:rsidR="0069497C" w:rsidRPr="00DE309E">
        <w:t>некоторых</w:t>
      </w:r>
      <w:r w:rsidRPr="00DE309E">
        <w:t xml:space="preserve"> проблем.</w:t>
      </w:r>
      <w:r w:rsidR="0069497C" w:rsidRPr="00DE309E">
        <w:t xml:space="preserve"> Одной из проблем является измерение премии за риск. Если дублирующий тенденцию портфель приносит премию за риск, то тогда знак этой премии и тождество премии, </w:t>
      </w:r>
      <w:r w:rsidR="00F33D50" w:rsidRPr="00DE309E">
        <w:t>сгенерированной</w:t>
      </w:r>
      <w:r w:rsidR="000A42AE" w:rsidRPr="00DE309E">
        <w:t xml:space="preserve"> экономическим параметром, могут</w:t>
      </w:r>
      <w:r w:rsidR="0069497C" w:rsidRPr="00DE309E">
        <w:t xml:space="preserve"> </w:t>
      </w:r>
      <w:r w:rsidR="000A42AE" w:rsidRPr="00DE309E">
        <w:t>указать на то, какие экономические параметры значи</w:t>
      </w:r>
      <w:r w:rsidR="00C03C22" w:rsidRPr="00DE309E">
        <w:t>мо влияют на ожидаемую доходность, и могут помочь оценить модель оценки финансовых активов.</w:t>
      </w:r>
    </w:p>
    <w:p w:rsidR="0069497C" w:rsidRPr="00DE309E" w:rsidRDefault="001C549F" w:rsidP="00E464E2">
      <w:pPr>
        <w:spacing w:line="360" w:lineRule="auto"/>
        <w:ind w:firstLine="709"/>
        <w:jc w:val="both"/>
      </w:pPr>
      <w:r w:rsidRPr="00DE309E">
        <w:t xml:space="preserve">Дублирующие портфели </w:t>
      </w:r>
      <w:r w:rsidR="00163F37" w:rsidRPr="00DE309E">
        <w:t xml:space="preserve">имеют как минимум еще три сферы применения, которые не основываются на портфелях, приносящих ненулевую премию за риск. </w:t>
      </w:r>
      <w:r w:rsidR="0069497C" w:rsidRPr="00DE309E">
        <w:t>Во-первых, портфели следования тенденции могут служить средством хеджирования для индивидуальных</w:t>
      </w:r>
      <w:r w:rsidR="0020754D" w:rsidRPr="00DE309E">
        <w:t xml:space="preserve"> </w:t>
      </w:r>
      <w:r w:rsidR="0069497C" w:rsidRPr="00DE309E">
        <w:t>инвесторов</w:t>
      </w:r>
      <w:r w:rsidR="0020754D" w:rsidRPr="00DE309E">
        <w:t>,</w:t>
      </w:r>
      <w:r w:rsidR="006E21CB" w:rsidRPr="00DE309E">
        <w:t xml:space="preserve"> </w:t>
      </w:r>
      <w:r w:rsidR="0020754D" w:rsidRPr="00DE309E">
        <w:t>которые желают застраховать себ</w:t>
      </w:r>
      <w:r w:rsidR="006E21CB" w:rsidRPr="00DE309E">
        <w:t>я на случай какого-либо определенного</w:t>
      </w:r>
      <w:r w:rsidR="0020754D" w:rsidRPr="00DE309E">
        <w:t xml:space="preserve"> экономического риска (например, снижение потребления)</w:t>
      </w:r>
      <w:r w:rsidR="000068CC" w:rsidRPr="00DE309E">
        <w:t>. Во-вторых, на основе дублирующего портфеля можно строить прогноз поведения какой-либо экономической переменной.</w:t>
      </w:r>
      <w:r w:rsidR="00222E2C" w:rsidRPr="00DE309E">
        <w:t xml:space="preserve"> Т.к. доходности активов могут быть рассчитаны на каждый день, </w:t>
      </w:r>
      <w:r w:rsidR="00DE4DD2" w:rsidRPr="00DE309E">
        <w:t>дублирующие портфели могут предоставить информацию по поводу ожиданий рынка на счет будущего экономики.</w:t>
      </w:r>
      <w:r w:rsidR="00BD0D2D" w:rsidRPr="00DE309E">
        <w:t xml:space="preserve"> В</w:t>
      </w:r>
      <w:r w:rsidR="00416B9A" w:rsidRPr="00DE309E">
        <w:t>-</w:t>
      </w:r>
      <w:r w:rsidR="00BD0D2D" w:rsidRPr="00DE309E">
        <w:t>трет</w:t>
      </w:r>
      <w:r w:rsidR="00E17592" w:rsidRPr="00DE309E">
        <w:t xml:space="preserve">ьих, путем измерения </w:t>
      </w:r>
      <w:r w:rsidR="008D1D89" w:rsidRPr="00DE309E">
        <w:t>ожиданий</w:t>
      </w:r>
      <w:r w:rsidR="00BD0D2D" w:rsidRPr="00DE309E">
        <w:t xml:space="preserve">, портфели следования </w:t>
      </w:r>
      <w:r w:rsidR="00E17592" w:rsidRPr="00DE309E">
        <w:t>выявляют структуру экономики и объясняют реакцию</w:t>
      </w:r>
      <w:r w:rsidR="00BD0D2D" w:rsidRPr="00DE309E">
        <w:t xml:space="preserve"> цен на новости, касающиеся экономической сферы.</w:t>
      </w:r>
    </w:p>
    <w:p w:rsidR="00BD0D2D" w:rsidRPr="00DE309E" w:rsidRDefault="00CB1A4B" w:rsidP="00E464E2">
      <w:pPr>
        <w:spacing w:line="360" w:lineRule="auto"/>
        <w:ind w:firstLine="709"/>
        <w:jc w:val="both"/>
      </w:pPr>
      <w:r w:rsidRPr="00DE309E">
        <w:t xml:space="preserve">Эти три сферы приложения дублирующих портфелей могут быть проверены на практике и не зависят от конкретной модели оценки активов. Например, если предположить, что </w:t>
      </w:r>
      <w:r w:rsidRPr="00DE309E">
        <w:rPr>
          <w:lang w:val="en-US"/>
        </w:rPr>
        <w:t>CAPM</w:t>
      </w:r>
      <w:r w:rsidR="0023619B" w:rsidRPr="00DE309E">
        <w:t>-</w:t>
      </w:r>
      <w:r w:rsidRPr="00DE309E">
        <w:t>модель верна, то в это</w:t>
      </w:r>
      <w:r w:rsidR="00E0633B" w:rsidRPr="00DE309E">
        <w:t>м</w:t>
      </w:r>
      <w:r w:rsidRPr="00DE309E">
        <w:t xml:space="preserve"> случае дублирующий портфель</w:t>
      </w:r>
      <w:r w:rsidR="00E0633B" w:rsidRPr="00DE309E">
        <w:t xml:space="preserve"> имел бы ожидаемую доходн</w:t>
      </w:r>
      <w:r w:rsidR="007A7C22" w:rsidRPr="00DE309E">
        <w:t>ость</w:t>
      </w:r>
      <w:r w:rsidR="00A10A2E" w:rsidRPr="00DE309E">
        <w:t>, имеющую тесную</w:t>
      </w:r>
      <w:r w:rsidR="007A7C22" w:rsidRPr="00DE309E">
        <w:t xml:space="preserve"> ковариацию</w:t>
      </w:r>
      <w:r w:rsidR="00E0633B" w:rsidRPr="00DE309E">
        <w:t xml:space="preserve"> с рынком. Но тогда неожидаемая </w:t>
      </w:r>
      <w:r w:rsidR="0013354D" w:rsidRPr="00DE309E">
        <w:t>часть доходности</w:t>
      </w:r>
      <w:r w:rsidR="00E0633B" w:rsidRPr="00DE309E">
        <w:t xml:space="preserve"> была бы все равно отражением новостей о будущем состоянии экономики. Напротив, если предположить, что рынок неэффективен, иррациональные </w:t>
      </w:r>
      <w:r w:rsidR="0013354D" w:rsidRPr="00DE309E">
        <w:t>настроения</w:t>
      </w:r>
      <w:r w:rsidR="00E0633B" w:rsidRPr="00DE309E">
        <w:t xml:space="preserve"> влияют на цены</w:t>
      </w:r>
      <w:r w:rsidR="00BF4F53" w:rsidRPr="00DE309E">
        <w:t>,</w:t>
      </w:r>
      <w:r w:rsidR="00E0633B" w:rsidRPr="00DE309E">
        <w:t xml:space="preserve"> и доходность частично предсказуема, то в этом случае </w:t>
      </w:r>
      <w:r w:rsidR="00BF4F53" w:rsidRPr="00DE309E">
        <w:t xml:space="preserve">до тех пор пока цены отражают информацию о будущем состоянии экономических детерминант, </w:t>
      </w:r>
      <w:r w:rsidR="00354BD3" w:rsidRPr="00DE309E">
        <w:t>доходность дублирующего портфеля также будет применима для хеджирования, прогнозировании и понимания экономики.</w:t>
      </w:r>
    </w:p>
    <w:p w:rsidR="00FD1BE4" w:rsidRPr="00DE309E" w:rsidRDefault="00FD1BE4" w:rsidP="00E464E2">
      <w:pPr>
        <w:spacing w:line="360" w:lineRule="auto"/>
        <w:ind w:firstLine="709"/>
        <w:jc w:val="both"/>
      </w:pPr>
    </w:p>
    <w:p w:rsidR="00F52A64" w:rsidRPr="00DE309E" w:rsidRDefault="00910F3F" w:rsidP="00E464E2">
      <w:pPr>
        <w:spacing w:line="360" w:lineRule="auto"/>
        <w:ind w:firstLine="709"/>
        <w:jc w:val="both"/>
      </w:pPr>
      <w:r w:rsidRPr="00DE309E">
        <w:t>Риск портфеля активов можно измерить двумя способами:</w:t>
      </w:r>
    </w:p>
    <w:p w:rsidR="00910F3F" w:rsidRPr="00DE309E" w:rsidRDefault="00910F3F" w:rsidP="00E464E2">
      <w:pPr>
        <w:numPr>
          <w:ilvl w:val="0"/>
          <w:numId w:val="14"/>
        </w:numPr>
        <w:spacing w:line="360" w:lineRule="auto"/>
        <w:ind w:left="0" w:firstLine="357"/>
        <w:jc w:val="both"/>
      </w:pPr>
      <w:r w:rsidRPr="00DE309E">
        <w:t>абсолютный риск – волатильность доходности</w:t>
      </w:r>
    </w:p>
    <w:p w:rsidR="00910F3F" w:rsidRPr="00DE309E" w:rsidRDefault="00910F3F" w:rsidP="00E464E2">
      <w:pPr>
        <w:numPr>
          <w:ilvl w:val="0"/>
          <w:numId w:val="14"/>
        </w:numPr>
        <w:spacing w:line="360" w:lineRule="auto"/>
        <w:ind w:left="0" w:firstLine="357"/>
        <w:jc w:val="both"/>
      </w:pPr>
      <w:r w:rsidRPr="00DE309E">
        <w:t xml:space="preserve">относительный риск – волатильность </w:t>
      </w:r>
      <w:r w:rsidR="0023619B" w:rsidRPr="00DE309E">
        <w:t>относительно бенчмарка (термин, используемый для названия набора каких-либо активов, который является основой для сравнения. В качестве такого набора обычно выбирают какой-либо индекс).</w:t>
      </w:r>
    </w:p>
    <w:p w:rsidR="008A6496" w:rsidRPr="00DE309E" w:rsidRDefault="00411B16" w:rsidP="00582E42">
      <w:pPr>
        <w:spacing w:line="360" w:lineRule="auto"/>
        <w:ind w:firstLine="709"/>
        <w:jc w:val="both"/>
        <w:rPr>
          <w:color w:val="000000"/>
        </w:rPr>
      </w:pPr>
      <w:r w:rsidRPr="00DE309E">
        <w:t>Одним из показателей относительного риска является «о</w:t>
      </w:r>
      <w:r w:rsidR="00E464E2" w:rsidRPr="00DE309E">
        <w:t>тклонение от индекса (бенчмарка)</w:t>
      </w:r>
      <w:r w:rsidRPr="00DE309E">
        <w:t>» (</w:t>
      </w:r>
      <w:r w:rsidRPr="00DE309E">
        <w:rPr>
          <w:lang w:val="en-US"/>
        </w:rPr>
        <w:t>tracking</w:t>
      </w:r>
      <w:r w:rsidRPr="00DE309E">
        <w:t xml:space="preserve"> </w:t>
      </w:r>
      <w:r w:rsidRPr="00DE309E">
        <w:rPr>
          <w:lang w:val="en-US"/>
        </w:rPr>
        <w:t>error</w:t>
      </w:r>
      <w:r w:rsidRPr="00DE309E">
        <w:t xml:space="preserve">). </w:t>
      </w:r>
      <w:r w:rsidR="00582E42" w:rsidRPr="00DE309E">
        <w:rPr>
          <w:color w:val="000000"/>
        </w:rPr>
        <w:t>Он представляет собой стандартное отклонение</w:t>
      </w:r>
      <w:r w:rsidR="008A6496" w:rsidRPr="00DE309E">
        <w:rPr>
          <w:color w:val="000000"/>
        </w:rPr>
        <w:t xml:space="preserve"> разности доходностей портфеля и индекса. </w:t>
      </w:r>
      <w:r w:rsidR="00B418C5" w:rsidRPr="00DE309E">
        <w:rPr>
          <w:color w:val="000000"/>
        </w:rPr>
        <w:t>Причем считается также, что в данных расчетах используется именно дублирующий портфель.</w:t>
      </w:r>
    </w:p>
    <w:p w:rsidR="00B033C6" w:rsidRPr="00DE309E" w:rsidRDefault="00763102" w:rsidP="00582E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240" w:line="360" w:lineRule="auto"/>
        <w:ind w:firstLine="709"/>
        <w:jc w:val="both"/>
        <w:rPr>
          <w:i/>
        </w:rPr>
      </w:pPr>
      <w:r w:rsidRPr="00DE309E">
        <w:rPr>
          <w:i/>
        </w:rPr>
        <w:t>Доходность актива = Доходность портфеля – Доходность</w:t>
      </w:r>
      <w:r w:rsidR="004A764C" w:rsidRPr="00DE309E">
        <w:rPr>
          <w:i/>
        </w:rPr>
        <w:t xml:space="preserve"> индекса (бенчмарк</w:t>
      </w:r>
      <w:r w:rsidRPr="00DE309E">
        <w:rPr>
          <w:i/>
        </w:rPr>
        <w:t>)</w:t>
      </w:r>
    </w:p>
    <w:p w:rsidR="00763102" w:rsidRPr="00DE309E" w:rsidRDefault="0070331E" w:rsidP="00582E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240" w:line="360" w:lineRule="auto"/>
        <w:ind w:firstLine="709"/>
        <w:jc w:val="both"/>
        <w:rPr>
          <w:i/>
        </w:rPr>
      </w:pPr>
      <w:r w:rsidRPr="00DE309E">
        <w:rPr>
          <w:i/>
          <w:lang w:val="en-US"/>
        </w:rPr>
        <w:t>Tracking</w:t>
      </w:r>
      <w:r w:rsidRPr="00DE309E">
        <w:rPr>
          <w:i/>
        </w:rPr>
        <w:t xml:space="preserve"> </w:t>
      </w:r>
      <w:r w:rsidRPr="00DE309E">
        <w:rPr>
          <w:i/>
          <w:lang w:val="en-US"/>
        </w:rPr>
        <w:t>error</w:t>
      </w:r>
      <w:r w:rsidRPr="00DE309E">
        <w:rPr>
          <w:i/>
        </w:rPr>
        <w:t xml:space="preserve"> </w:t>
      </w:r>
      <w:r w:rsidR="00E464E2" w:rsidRPr="00DE309E">
        <w:rPr>
          <w:i/>
        </w:rPr>
        <w:t>(</w:t>
      </w:r>
      <w:r w:rsidR="00E464E2" w:rsidRPr="00DE309E">
        <w:rPr>
          <w:i/>
          <w:lang w:val="en-US"/>
        </w:rPr>
        <w:t>TE</w:t>
      </w:r>
      <w:r w:rsidR="00E464E2" w:rsidRPr="00DE309E">
        <w:rPr>
          <w:i/>
        </w:rPr>
        <w:t xml:space="preserve">) </w:t>
      </w:r>
      <w:r w:rsidR="009302F1" w:rsidRPr="00DE309E">
        <w:rPr>
          <w:i/>
        </w:rPr>
        <w:t>= С</w:t>
      </w:r>
      <w:r w:rsidRPr="00DE309E">
        <w:rPr>
          <w:i/>
        </w:rPr>
        <w:t>тандартное отклонение доходность актива</w:t>
      </w:r>
    </w:p>
    <w:p w:rsidR="00B43295" w:rsidRPr="00DE309E" w:rsidRDefault="00E464E2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u w:val="single"/>
        </w:rPr>
      </w:pPr>
      <w:r w:rsidRPr="00DE309E">
        <w:rPr>
          <w:color w:val="000000"/>
          <w:u w:val="single"/>
          <w:lang w:val="en-US"/>
        </w:rPr>
        <w:t>TE</w:t>
      </w:r>
      <w:r w:rsidR="00B43295" w:rsidRPr="00DE309E">
        <w:rPr>
          <w:color w:val="000000"/>
          <w:u w:val="single"/>
        </w:rPr>
        <w:t xml:space="preserve"> показывает:</w:t>
      </w:r>
    </w:p>
    <w:p w:rsidR="00B43295" w:rsidRPr="00DE309E" w:rsidRDefault="00B43295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E309E">
        <w:rPr>
          <w:color w:val="000000"/>
        </w:rPr>
        <w:t>1. Как тесно сконструированный портфель следует за индексом. Иными словами, как близки веса бумаг в портфеле весам бумаг в индексе.</w:t>
      </w:r>
    </w:p>
    <w:p w:rsidR="00185003" w:rsidRPr="00DE309E" w:rsidRDefault="00185003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E309E">
        <w:rPr>
          <w:color w:val="000000"/>
        </w:rPr>
        <w:t xml:space="preserve">2. издержки, которые вычитаются из доходности портфеля. Такие затраты, как транзакционные издержки, включая брокерское вознаграждение, спрэд и т.д. уменьшают доходность портфеля. Чем выше издержки, тем выше </w:t>
      </w:r>
      <w:r w:rsidR="00E464E2" w:rsidRPr="00DE309E">
        <w:rPr>
          <w:color w:val="000000"/>
        </w:rPr>
        <w:t>ошибка следования</w:t>
      </w:r>
      <w:r w:rsidRPr="00DE309E">
        <w:rPr>
          <w:color w:val="000000"/>
        </w:rPr>
        <w:t>.</w:t>
      </w:r>
    </w:p>
    <w:p w:rsidR="004A764C" w:rsidRPr="00DE309E" w:rsidRDefault="004A764C" w:rsidP="00E464E2">
      <w:pPr>
        <w:spacing w:line="360" w:lineRule="auto"/>
        <w:ind w:firstLine="709"/>
        <w:jc w:val="both"/>
      </w:pPr>
    </w:p>
    <w:p w:rsidR="004A764C" w:rsidRPr="00DE309E" w:rsidRDefault="004A764C" w:rsidP="00E464E2">
      <w:pPr>
        <w:spacing w:line="360" w:lineRule="auto"/>
        <w:ind w:firstLine="709"/>
        <w:jc w:val="both"/>
        <w:rPr>
          <w:u w:val="single"/>
        </w:rPr>
      </w:pPr>
      <w:r w:rsidRPr="00DE309E">
        <w:rPr>
          <w:u w:val="single"/>
        </w:rPr>
        <w:t xml:space="preserve">Детерминантами </w:t>
      </w:r>
      <w:r w:rsidR="00E464E2" w:rsidRPr="00DE309E">
        <w:rPr>
          <w:u w:val="single"/>
          <w:lang w:val="en-US"/>
        </w:rPr>
        <w:t>TE</w:t>
      </w:r>
      <w:r w:rsidR="00E464E2" w:rsidRPr="00DE309E">
        <w:rPr>
          <w:u w:val="single"/>
        </w:rPr>
        <w:t xml:space="preserve"> </w:t>
      </w:r>
      <w:r w:rsidRPr="00DE309E">
        <w:rPr>
          <w:u w:val="single"/>
        </w:rPr>
        <w:t>являются:</w:t>
      </w:r>
    </w:p>
    <w:p w:rsidR="00261EF4" w:rsidRPr="00DE309E" w:rsidRDefault="004A764C" w:rsidP="00E464E2">
      <w:pPr>
        <w:numPr>
          <w:ilvl w:val="0"/>
          <w:numId w:val="9"/>
        </w:numPr>
        <w:spacing w:line="360" w:lineRule="auto"/>
        <w:ind w:left="0" w:firstLine="340"/>
        <w:jc w:val="both"/>
      </w:pPr>
      <w:r w:rsidRPr="00DE309E">
        <w:rPr>
          <w:i/>
        </w:rPr>
        <w:t>количество акций, включенных в портфель и включенных в индекс</w:t>
      </w:r>
      <w:r w:rsidRPr="00DE309E">
        <w:t>.</w:t>
      </w:r>
      <w:r w:rsidR="00E464E2" w:rsidRPr="00DE309E">
        <w:t xml:space="preserve"> Отклонение от тенденции </w:t>
      </w:r>
      <w:r w:rsidR="00261EF4" w:rsidRPr="00DE309E">
        <w:t>уменьшается с включением все большего количества акций, входящих в индекс, а т</w:t>
      </w:r>
      <w:r w:rsidR="00582E42" w:rsidRPr="00DE309E">
        <w:t>акже увеличивается при включении</w:t>
      </w:r>
      <w:r w:rsidR="00261EF4" w:rsidRPr="00DE309E">
        <w:t xml:space="preserve"> в портфель акций, не входящих в индекс.</w:t>
      </w:r>
    </w:p>
    <w:p w:rsidR="00165C56" w:rsidRPr="00DE309E" w:rsidRDefault="004A764C" w:rsidP="00E464E2">
      <w:pPr>
        <w:numPr>
          <w:ilvl w:val="0"/>
          <w:numId w:val="9"/>
        </w:numPr>
        <w:spacing w:line="360" w:lineRule="auto"/>
        <w:ind w:left="0" w:firstLine="340"/>
        <w:jc w:val="both"/>
      </w:pPr>
      <w:r w:rsidRPr="00DE309E">
        <w:rPr>
          <w:i/>
        </w:rPr>
        <w:t>размер</w:t>
      </w:r>
      <w:r w:rsidR="00165C56" w:rsidRPr="00DE309E">
        <w:rPr>
          <w:i/>
        </w:rPr>
        <w:t xml:space="preserve"> или стиль</w:t>
      </w:r>
      <w:r w:rsidR="002C6B0D" w:rsidRPr="00DE309E">
        <w:rPr>
          <w:i/>
        </w:rPr>
        <w:t xml:space="preserve"> или вес</w:t>
      </w:r>
      <w:r w:rsidR="00E464E2" w:rsidRPr="00DE309E">
        <w:t xml:space="preserve">. </w:t>
      </w:r>
      <w:r w:rsidR="00582E42" w:rsidRPr="00DE309E">
        <w:rPr>
          <w:lang w:val="en-US"/>
        </w:rPr>
        <w:t>TE</w:t>
      </w:r>
      <w:r w:rsidR="00165C56" w:rsidRPr="00DE309E">
        <w:t xml:space="preserve"> растет по мере того как портфель отклоняется от индекса в терминах среднего рыночного размера или инвестиционной стоимости.</w:t>
      </w:r>
      <w:r w:rsidR="004049C9" w:rsidRPr="00DE309E">
        <w:t xml:space="preserve"> </w:t>
      </w:r>
      <w:r w:rsidR="002C6B0D" w:rsidRPr="00DE309E">
        <w:t>Различные</w:t>
      </w:r>
      <w:r w:rsidR="004049C9" w:rsidRPr="00DE309E">
        <w:t xml:space="preserve"> портфели могут иметь схожие </w:t>
      </w:r>
      <w:r w:rsidR="00582E42" w:rsidRPr="00DE309E">
        <w:rPr>
          <w:lang w:val="en-US"/>
        </w:rPr>
        <w:t>TE</w:t>
      </w:r>
      <w:r w:rsidR="004049C9" w:rsidRPr="00DE309E">
        <w:t>.</w:t>
      </w:r>
      <w:r w:rsidR="002C6B0D" w:rsidRPr="00DE309E">
        <w:t xml:space="preserve"> Также </w:t>
      </w:r>
      <w:r w:rsidR="002C6B0D" w:rsidRPr="00DE309E">
        <w:rPr>
          <w:lang w:val="en-US"/>
        </w:rPr>
        <w:t>T</w:t>
      </w:r>
      <w:r w:rsidR="00582E42" w:rsidRPr="00DE309E">
        <w:rPr>
          <w:lang w:val="en-US"/>
        </w:rPr>
        <w:t>E</w:t>
      </w:r>
      <w:r w:rsidR="002C6B0D" w:rsidRPr="00DE309E">
        <w:rPr>
          <w:lang w:val="en-US"/>
        </w:rPr>
        <w:t>r</w:t>
      </w:r>
      <w:r w:rsidR="002C6B0D" w:rsidRPr="00DE309E">
        <w:t xml:space="preserve"> увеличивается по мере того, как доля активов в портфеле отклоняется от доли активов в индексе. </w:t>
      </w:r>
    </w:p>
    <w:p w:rsidR="002C6B0D" w:rsidRPr="00DE309E" w:rsidRDefault="004A764C" w:rsidP="00582E42">
      <w:pPr>
        <w:numPr>
          <w:ilvl w:val="0"/>
          <w:numId w:val="9"/>
        </w:numPr>
        <w:spacing w:line="360" w:lineRule="auto"/>
        <w:ind w:left="0" w:firstLine="340"/>
        <w:jc w:val="both"/>
      </w:pPr>
      <w:r w:rsidRPr="00DE309E">
        <w:rPr>
          <w:i/>
        </w:rPr>
        <w:t>бета</w:t>
      </w:r>
      <w:r w:rsidR="00582E42" w:rsidRPr="00DE309E">
        <w:t xml:space="preserve">. </w:t>
      </w:r>
      <w:r w:rsidR="00570980" w:rsidRPr="00DE309E">
        <w:rPr>
          <w:lang w:val="en-US"/>
        </w:rPr>
        <w:t>T</w:t>
      </w:r>
      <w:r w:rsidR="00582E42" w:rsidRPr="00DE309E">
        <w:rPr>
          <w:lang w:val="en-US"/>
        </w:rPr>
        <w:t>E</w:t>
      </w:r>
      <w:r w:rsidR="00570980" w:rsidRPr="00DE309E">
        <w:t xml:space="preserve"> начинает расти тогда, когда бета портфеля начинает отклоняться от 1. </w:t>
      </w:r>
      <w:r w:rsidR="002C6B0D" w:rsidRPr="00DE309E">
        <w:t xml:space="preserve">Включение наличности уменьшает общую волатильность портфеля, но в то же время увеличивает </w:t>
      </w:r>
      <w:r w:rsidR="00582E42" w:rsidRPr="00DE309E">
        <w:rPr>
          <w:lang w:val="en-US"/>
        </w:rPr>
        <w:t>TE</w:t>
      </w:r>
      <w:r w:rsidR="00771FB4" w:rsidRPr="00DE309E">
        <w:t>.</w:t>
      </w:r>
    </w:p>
    <w:p w:rsidR="004A764C" w:rsidRPr="00DE309E" w:rsidRDefault="004A764C" w:rsidP="00E464E2">
      <w:pPr>
        <w:numPr>
          <w:ilvl w:val="0"/>
          <w:numId w:val="9"/>
        </w:numPr>
        <w:spacing w:line="360" w:lineRule="auto"/>
        <w:ind w:left="0" w:firstLine="340"/>
        <w:jc w:val="both"/>
        <w:rPr>
          <w:i/>
        </w:rPr>
      </w:pPr>
      <w:r w:rsidRPr="00DE309E">
        <w:rPr>
          <w:i/>
        </w:rPr>
        <w:t>волатильность индекса-эталона</w:t>
      </w:r>
    </w:p>
    <w:p w:rsidR="00DA71F4" w:rsidRPr="00DE309E" w:rsidRDefault="00B418C5" w:rsidP="00E464E2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 CYR" w:hAnsi="Times New Roman CYR" w:cs="Times New Roman CYR"/>
          <w:color w:val="000000"/>
          <w:u w:val="single"/>
        </w:rPr>
      </w:pPr>
      <w:r w:rsidRPr="00DE309E">
        <w:rPr>
          <w:rFonts w:ascii="Times New Roman CYR" w:hAnsi="Times New Roman CYR" w:cs="Times New Roman CYR"/>
          <w:color w:val="000000"/>
          <w:u w:val="single"/>
        </w:rPr>
        <w:br w:type="page"/>
      </w:r>
      <w:r w:rsidR="00DA71F4" w:rsidRPr="00DE309E">
        <w:rPr>
          <w:rFonts w:ascii="Times New Roman CYR" w:hAnsi="Times New Roman CYR" w:cs="Times New Roman CYR"/>
          <w:color w:val="000000"/>
          <w:u w:val="single"/>
        </w:rPr>
        <w:t xml:space="preserve">Причины возникновения </w:t>
      </w:r>
      <w:r w:rsidR="00582E42" w:rsidRPr="00DE309E">
        <w:rPr>
          <w:u w:val="single"/>
          <w:lang w:val="en-US"/>
        </w:rPr>
        <w:t>TE</w:t>
      </w:r>
      <w:r w:rsidR="00DA71F4" w:rsidRPr="00DE309E">
        <w:rPr>
          <w:rFonts w:ascii="Times New Roman CYR" w:hAnsi="Times New Roman CYR" w:cs="Times New Roman CYR"/>
          <w:color w:val="000000"/>
          <w:u w:val="single"/>
        </w:rPr>
        <w:t>:</w:t>
      </w:r>
    </w:p>
    <w:p w:rsidR="00DA71F4" w:rsidRPr="00DE309E" w:rsidRDefault="00DA71F4" w:rsidP="00582E42">
      <w:pPr>
        <w:spacing w:line="360" w:lineRule="auto"/>
        <w:ind w:firstLine="709"/>
        <w:jc w:val="both"/>
        <w:rPr>
          <w:rFonts w:cs="Times New Roman CYR"/>
          <w:color w:val="000000"/>
        </w:rPr>
      </w:pPr>
      <w:r w:rsidRPr="00DE309E">
        <w:rPr>
          <w:rFonts w:ascii="Times New Roman CYR" w:hAnsi="Times New Roman CYR" w:cs="Times New Roman CYR"/>
          <w:color w:val="000000"/>
        </w:rPr>
        <w:t xml:space="preserve">1. </w:t>
      </w:r>
      <w:r w:rsidRPr="00DE309E">
        <w:rPr>
          <w:rFonts w:ascii="Times New Roman CYR" w:hAnsi="Times New Roman CYR" w:cs="Times New Roman CYR"/>
          <w:i/>
          <w:color w:val="000000"/>
        </w:rPr>
        <w:t>Расходы, генерируемые портфелем</w:t>
      </w:r>
      <w:r w:rsidRPr="00DE309E">
        <w:rPr>
          <w:rFonts w:ascii="Times New Roman CYR" w:hAnsi="Times New Roman CYR" w:cs="Times New Roman CYR"/>
          <w:color w:val="000000"/>
        </w:rPr>
        <w:t>: В идеале структура портфеля должна быть схожа со структурой индекса, и в портфель должны быть вложены все средства, имеющиеся у инвестора. Но это не возможно, поскольку владелец портфеля должен нести расходы по повседневно управлению, тран</w:t>
      </w:r>
      <w:r w:rsidR="00582E42" w:rsidRPr="00DE309E">
        <w:rPr>
          <w:rFonts w:ascii="Times New Roman CYR" w:hAnsi="Times New Roman CYR" w:cs="Times New Roman CYR"/>
          <w:color w:val="000000"/>
        </w:rPr>
        <w:t>закционные издержки по покупке</w:t>
      </w:r>
      <w:r w:rsidRPr="00DE309E">
        <w:rPr>
          <w:rFonts w:ascii="Times New Roman CYR" w:hAnsi="Times New Roman CYR" w:cs="Times New Roman CYR"/>
          <w:color w:val="000000"/>
        </w:rPr>
        <w:t>-продаже ценных бумаг, и т.д. Расходы инвестора должны быть выполнены из его же средств, что означает, что инвестор вложит меньшее количество капитала чем то, которое планировалось бы. Это в свою очередь, влияет на доходность, поскольку инвестор получит доходность только на то количество, которое влож</w:t>
      </w:r>
      <w:r w:rsidR="00582E42" w:rsidRPr="00DE309E">
        <w:rPr>
          <w:rFonts w:ascii="Times New Roman CYR" w:hAnsi="Times New Roman CYR" w:cs="Times New Roman CYR"/>
          <w:color w:val="000000"/>
        </w:rPr>
        <w:t>ено. Следовательно, более низки</w:t>
      </w:r>
      <w:r w:rsidR="00582E42" w:rsidRPr="00DE309E">
        <w:rPr>
          <w:rFonts w:cs="Times New Roman CYR"/>
          <w:color w:val="000000"/>
        </w:rPr>
        <w:t>е</w:t>
      </w:r>
      <w:r w:rsidRPr="00DE309E">
        <w:rPr>
          <w:rFonts w:ascii="Times New Roman CYR" w:hAnsi="Times New Roman CYR" w:cs="Times New Roman CYR"/>
          <w:color w:val="000000"/>
        </w:rPr>
        <w:t xml:space="preserve"> вложения инвестора приведут к более низкой </w:t>
      </w:r>
      <w:r w:rsidR="00582E42" w:rsidRPr="00DE309E">
        <w:rPr>
          <w:lang w:val="en-US"/>
        </w:rPr>
        <w:t>TE</w:t>
      </w:r>
      <w:r w:rsidRPr="00DE309E">
        <w:rPr>
          <w:rFonts w:ascii="Times New Roman CYR" w:hAnsi="Times New Roman CYR" w:cs="Times New Roman CYR"/>
          <w:color w:val="000000"/>
        </w:rPr>
        <w:t>.</w:t>
      </w:r>
    </w:p>
    <w:p w:rsidR="006648F7" w:rsidRPr="00DE309E" w:rsidRDefault="006648F7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DE309E">
        <w:rPr>
          <w:rFonts w:ascii="Times New Roman CYR" w:hAnsi="Times New Roman CYR" w:cs="Times New Roman CYR"/>
          <w:color w:val="000000"/>
        </w:rPr>
        <w:t xml:space="preserve">2. </w:t>
      </w:r>
      <w:r w:rsidRPr="00DE309E">
        <w:rPr>
          <w:rFonts w:ascii="Times New Roman CYR" w:hAnsi="Times New Roman CYR" w:cs="Times New Roman CYR"/>
          <w:i/>
          <w:color w:val="000000"/>
        </w:rPr>
        <w:t>Баланс наличности</w:t>
      </w:r>
      <w:r w:rsidRPr="00DE309E">
        <w:rPr>
          <w:rFonts w:ascii="Times New Roman CYR" w:hAnsi="Times New Roman CYR" w:cs="Times New Roman CYR"/>
          <w:color w:val="000000"/>
        </w:rPr>
        <w:t xml:space="preserve">: Для получения такого же портфеля, который содержится и в индексе, инвестору необходимо инвестировать все свои средства. Но это также </w:t>
      </w:r>
      <w:r w:rsidR="005F2047" w:rsidRPr="00DE309E">
        <w:rPr>
          <w:rFonts w:ascii="Times New Roman CYR" w:hAnsi="Times New Roman CYR" w:cs="Times New Roman CYR"/>
          <w:color w:val="000000"/>
        </w:rPr>
        <w:t>противоречит</w:t>
      </w:r>
      <w:r w:rsidRPr="00DE309E">
        <w:rPr>
          <w:rFonts w:ascii="Times New Roman CYR" w:hAnsi="Times New Roman CYR" w:cs="Times New Roman CYR"/>
          <w:color w:val="000000"/>
        </w:rPr>
        <w:t xml:space="preserve"> соображениям баланса ликвидности. Например, компания не может этого сделать, т.к. ей </w:t>
      </w:r>
      <w:r w:rsidR="005F2047" w:rsidRPr="00DE309E">
        <w:rPr>
          <w:rFonts w:ascii="Times New Roman CYR" w:hAnsi="Times New Roman CYR" w:cs="Times New Roman CYR"/>
          <w:color w:val="000000"/>
        </w:rPr>
        <w:t>необходимо</w:t>
      </w:r>
      <w:r w:rsidRPr="00DE309E">
        <w:rPr>
          <w:rFonts w:ascii="Times New Roman CYR" w:hAnsi="Times New Roman CYR" w:cs="Times New Roman CYR"/>
          <w:color w:val="000000"/>
        </w:rPr>
        <w:t xml:space="preserve"> выплачивать дивиденды своим акционерам, отвечать по другим своим </w:t>
      </w:r>
      <w:r w:rsidR="005F2047" w:rsidRPr="00DE309E">
        <w:rPr>
          <w:rFonts w:ascii="Times New Roman CYR" w:hAnsi="Times New Roman CYR" w:cs="Times New Roman CYR"/>
          <w:color w:val="000000"/>
        </w:rPr>
        <w:t>обязательствам</w:t>
      </w:r>
      <w:r w:rsidRPr="00DE309E">
        <w:rPr>
          <w:rFonts w:ascii="Times New Roman CYR" w:hAnsi="Times New Roman CYR" w:cs="Times New Roman CYR"/>
          <w:color w:val="000000"/>
        </w:rPr>
        <w:t xml:space="preserve">. Т.к. удовлетворение данных обязательств должно быть </w:t>
      </w:r>
      <w:r w:rsidR="005F2047" w:rsidRPr="00DE309E">
        <w:rPr>
          <w:rFonts w:ascii="Times New Roman CYR" w:hAnsi="Times New Roman CYR" w:cs="Times New Roman CYR"/>
          <w:color w:val="000000"/>
        </w:rPr>
        <w:t>проведено в течении достаточно коротк</w:t>
      </w:r>
      <w:r w:rsidRPr="00DE309E">
        <w:rPr>
          <w:rFonts w:ascii="Times New Roman CYR" w:hAnsi="Times New Roman CYR" w:cs="Times New Roman CYR"/>
          <w:color w:val="000000"/>
        </w:rPr>
        <w:t xml:space="preserve">ого промежутка времени, то компания всегда </w:t>
      </w:r>
      <w:r w:rsidR="005F2047" w:rsidRPr="00DE309E">
        <w:rPr>
          <w:rFonts w:ascii="Times New Roman CYR" w:hAnsi="Times New Roman CYR" w:cs="Times New Roman CYR"/>
          <w:color w:val="000000"/>
        </w:rPr>
        <w:t>должна</w:t>
      </w:r>
      <w:r w:rsidRPr="00DE309E">
        <w:rPr>
          <w:rFonts w:ascii="Times New Roman CYR" w:hAnsi="Times New Roman CYR" w:cs="Times New Roman CYR"/>
          <w:color w:val="000000"/>
        </w:rPr>
        <w:t xml:space="preserve"> поддерживать необходимый баланс наличности. </w:t>
      </w:r>
    </w:p>
    <w:p w:rsidR="00DA71F4" w:rsidRPr="00DE309E" w:rsidRDefault="006648F7" w:rsidP="00E464E2">
      <w:pPr>
        <w:spacing w:line="360" w:lineRule="auto"/>
        <w:ind w:firstLine="709"/>
        <w:jc w:val="both"/>
      </w:pPr>
      <w:r w:rsidRPr="00DE309E">
        <w:rPr>
          <w:rFonts w:ascii="Times New Roman CYR" w:hAnsi="Times New Roman CYR" w:cs="Times New Roman CYR"/>
          <w:color w:val="000000"/>
        </w:rPr>
        <w:t>Так же некоторые активы, включенные в портфель, могут приносить дивиденды, которые как можно скорее должны быть вложены опять же в этот портфель. Если компания не способна вложить эти дивиденды, тогда это проводит к большему количеству наличности</w:t>
      </w:r>
      <w:r w:rsidR="00582E42" w:rsidRPr="00DE309E">
        <w:rPr>
          <w:rFonts w:ascii="Times New Roman CYR" w:hAnsi="Times New Roman CYR" w:cs="Times New Roman CYR"/>
          <w:color w:val="000000"/>
        </w:rPr>
        <w:t>,</w:t>
      </w:r>
      <w:r w:rsidRPr="00DE309E">
        <w:rPr>
          <w:rFonts w:ascii="Times New Roman CYR" w:hAnsi="Times New Roman CYR" w:cs="Times New Roman CYR"/>
          <w:color w:val="000000"/>
        </w:rPr>
        <w:t xml:space="preserve"> чем требуется и, следовательно, это также воздействует на </w:t>
      </w:r>
      <w:r w:rsidR="003427EA" w:rsidRPr="00DE309E">
        <w:rPr>
          <w:rFonts w:ascii="Times New Roman CYR" w:hAnsi="Times New Roman CYR" w:cs="Times New Roman CYR"/>
          <w:color w:val="000000"/>
        </w:rPr>
        <w:t>получаемую</w:t>
      </w:r>
      <w:r w:rsidRPr="00DE309E">
        <w:rPr>
          <w:rFonts w:ascii="Times New Roman CYR" w:hAnsi="Times New Roman CYR" w:cs="Times New Roman CYR"/>
          <w:color w:val="000000"/>
        </w:rPr>
        <w:t xml:space="preserve"> доходность.</w:t>
      </w:r>
    </w:p>
    <w:p w:rsidR="003427EA" w:rsidRPr="00DE309E" w:rsidRDefault="003427EA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DE309E">
        <w:rPr>
          <w:rFonts w:ascii="Times New Roman CYR" w:hAnsi="Times New Roman CYR" w:cs="Times New Roman CYR"/>
          <w:color w:val="000000"/>
        </w:rPr>
        <w:t xml:space="preserve">3. </w:t>
      </w:r>
      <w:r w:rsidR="006E1658" w:rsidRPr="00DE309E">
        <w:rPr>
          <w:rFonts w:ascii="Times New Roman CYR" w:hAnsi="Times New Roman CYR" w:cs="Times New Roman CYR"/>
          <w:i/>
          <w:color w:val="000000"/>
        </w:rPr>
        <w:t xml:space="preserve">Установление </w:t>
      </w:r>
      <w:r w:rsidR="003A749D" w:rsidRPr="00DE309E">
        <w:rPr>
          <w:rFonts w:ascii="Times New Roman CYR" w:hAnsi="Times New Roman CYR" w:cs="Times New Roman CYR"/>
          <w:i/>
          <w:color w:val="000000"/>
        </w:rPr>
        <w:t>ограничений</w:t>
      </w:r>
      <w:r w:rsidR="006E1658" w:rsidRPr="00DE309E">
        <w:rPr>
          <w:rFonts w:ascii="Times New Roman CYR" w:hAnsi="Times New Roman CYR" w:cs="Times New Roman CYR"/>
          <w:i/>
          <w:color w:val="000000"/>
        </w:rPr>
        <w:t xml:space="preserve"> на кругооборот</w:t>
      </w:r>
      <w:r w:rsidRPr="00DE309E">
        <w:rPr>
          <w:rFonts w:ascii="Times New Roman CYR" w:hAnsi="Times New Roman CYR" w:cs="Times New Roman CYR"/>
          <w:color w:val="000000"/>
        </w:rPr>
        <w:t xml:space="preserve">: Инвестор должен обновлять баланс инвестиций, для чего он покупает или продает новые бумаги. Иногда может случиться так, что может и не быть возможности приобрести или </w:t>
      </w:r>
      <w:r w:rsidR="005F2047" w:rsidRPr="00DE309E">
        <w:rPr>
          <w:rFonts w:ascii="Times New Roman CYR" w:hAnsi="Times New Roman CYR" w:cs="Times New Roman CYR"/>
          <w:color w:val="000000"/>
        </w:rPr>
        <w:t>продать</w:t>
      </w:r>
      <w:r w:rsidRPr="00DE309E">
        <w:rPr>
          <w:rFonts w:ascii="Times New Roman CYR" w:hAnsi="Times New Roman CYR" w:cs="Times New Roman CYR"/>
          <w:color w:val="000000"/>
        </w:rPr>
        <w:t xml:space="preserve"> данную ценную бумагу из-за установленного ограничения на кругооборот. Следовательно, инвестор не сможет держать необходимое количество ценных бумаг, которые могли бы вести к полному следованию индексу. Также может случиться</w:t>
      </w:r>
      <w:r w:rsidR="00582E42" w:rsidRPr="00DE309E">
        <w:rPr>
          <w:rFonts w:ascii="Times New Roman CYR" w:hAnsi="Times New Roman CYR" w:cs="Times New Roman CYR"/>
          <w:color w:val="000000"/>
        </w:rPr>
        <w:t>,</w:t>
      </w:r>
      <w:r w:rsidRPr="00DE309E">
        <w:rPr>
          <w:rFonts w:ascii="Times New Roman CYR" w:hAnsi="Times New Roman CYR" w:cs="Times New Roman CYR"/>
          <w:color w:val="000000"/>
        </w:rPr>
        <w:t xml:space="preserve"> что из-за этого фильтра инвестор не сможет покупать</w:t>
      </w:r>
      <w:r w:rsidRPr="00DE309E">
        <w:rPr>
          <w:color w:val="000000"/>
        </w:rPr>
        <w:t>/</w:t>
      </w:r>
      <w:r w:rsidRPr="00DE309E">
        <w:rPr>
          <w:rFonts w:ascii="Times New Roman CYR" w:hAnsi="Times New Roman CYR" w:cs="Times New Roman CYR"/>
          <w:color w:val="000000"/>
        </w:rPr>
        <w:t xml:space="preserve"> </w:t>
      </w:r>
      <w:r w:rsidR="003E5846" w:rsidRPr="00DE309E">
        <w:rPr>
          <w:rFonts w:ascii="Times New Roman CYR" w:hAnsi="Times New Roman CYR" w:cs="Times New Roman CYR"/>
          <w:color w:val="000000"/>
        </w:rPr>
        <w:t>продавать</w:t>
      </w:r>
      <w:r w:rsidRPr="00DE309E">
        <w:rPr>
          <w:rFonts w:ascii="Times New Roman CYR" w:hAnsi="Times New Roman CYR" w:cs="Times New Roman CYR"/>
          <w:color w:val="000000"/>
        </w:rPr>
        <w:t xml:space="preserve"> ценные бумаги по желаемой цене. Поэтому ему придется заплатить больше, чтобы купить и получить меньше за продажу. Это приведет к искажению в распределении капитала, доступного для инвестирования в портфель акций.</w:t>
      </w:r>
    </w:p>
    <w:p w:rsidR="005A58CF" w:rsidRPr="00DE309E" w:rsidRDefault="005A58CF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CYR" w:hAnsi="Arial CYR" w:cs="Arial CYR"/>
          <w:color w:val="000000"/>
        </w:rPr>
      </w:pPr>
      <w:r w:rsidRPr="00DE309E">
        <w:rPr>
          <w:rFonts w:ascii="Times New Roman CYR" w:hAnsi="Times New Roman CYR" w:cs="Times New Roman CYR"/>
          <w:color w:val="000000"/>
        </w:rPr>
        <w:t xml:space="preserve">4. </w:t>
      </w:r>
      <w:r w:rsidR="00665A31" w:rsidRPr="00DE309E">
        <w:rPr>
          <w:rFonts w:ascii="Times New Roman CYR" w:hAnsi="Times New Roman CYR" w:cs="Times New Roman CYR"/>
          <w:i/>
          <w:color w:val="000000"/>
        </w:rPr>
        <w:t>Влияние изменений в компании</w:t>
      </w:r>
      <w:r w:rsidR="00665A31" w:rsidRPr="00DE309E">
        <w:rPr>
          <w:rFonts w:ascii="Times New Roman CYR" w:hAnsi="Times New Roman CYR" w:cs="Times New Roman CYR"/>
          <w:color w:val="000000"/>
        </w:rPr>
        <w:t>.</w:t>
      </w:r>
      <w:r w:rsidRPr="00DE309E">
        <w:rPr>
          <w:rFonts w:ascii="Times New Roman CYR" w:hAnsi="Times New Roman CYR" w:cs="Times New Roman CYR"/>
          <w:color w:val="000000"/>
        </w:rPr>
        <w:t xml:space="preserve"> Всякий</w:t>
      </w:r>
      <w:r w:rsidR="003E5846" w:rsidRPr="00DE309E">
        <w:rPr>
          <w:rFonts w:ascii="Times New Roman CYR" w:hAnsi="Times New Roman CYR" w:cs="Times New Roman CYR"/>
          <w:color w:val="000000"/>
        </w:rPr>
        <w:t xml:space="preserve"> раз, когда происходя</w:t>
      </w:r>
      <w:r w:rsidRPr="00DE309E">
        <w:rPr>
          <w:rFonts w:ascii="Times New Roman CYR" w:hAnsi="Times New Roman CYR" w:cs="Times New Roman CYR"/>
          <w:color w:val="000000"/>
        </w:rPr>
        <w:t xml:space="preserve">т </w:t>
      </w:r>
      <w:r w:rsidR="003E5846" w:rsidRPr="00DE309E">
        <w:rPr>
          <w:rFonts w:ascii="Times New Roman CYR" w:hAnsi="Times New Roman CYR" w:cs="Times New Roman CYR"/>
          <w:color w:val="000000"/>
        </w:rPr>
        <w:t xml:space="preserve">изменения </w:t>
      </w:r>
      <w:r w:rsidRPr="00DE309E">
        <w:rPr>
          <w:rFonts w:ascii="Times New Roman CYR" w:hAnsi="Times New Roman CYR" w:cs="Times New Roman CYR"/>
          <w:color w:val="000000"/>
        </w:rPr>
        <w:t>в компании</w:t>
      </w:r>
      <w:r w:rsidR="003E5846" w:rsidRPr="00DE309E">
        <w:rPr>
          <w:rFonts w:ascii="Times New Roman CYR" w:hAnsi="Times New Roman CYR" w:cs="Times New Roman CYR"/>
          <w:color w:val="000000"/>
        </w:rPr>
        <w:t>-эмитенте</w:t>
      </w:r>
      <w:r w:rsidRPr="00DE309E">
        <w:rPr>
          <w:rFonts w:ascii="Times New Roman CYR" w:hAnsi="Times New Roman CYR" w:cs="Times New Roman CYR"/>
          <w:color w:val="000000"/>
        </w:rPr>
        <w:t>, к примеру</w:t>
      </w:r>
      <w:r w:rsidR="00582E42" w:rsidRPr="00DE309E">
        <w:rPr>
          <w:rFonts w:ascii="Times New Roman CYR" w:hAnsi="Times New Roman CYR" w:cs="Times New Roman CYR"/>
          <w:color w:val="000000"/>
        </w:rPr>
        <w:t>,</w:t>
      </w:r>
      <w:r w:rsidRPr="00DE309E">
        <w:rPr>
          <w:rFonts w:ascii="Times New Roman CYR" w:hAnsi="Times New Roman CYR" w:cs="Times New Roman CYR"/>
          <w:color w:val="000000"/>
        </w:rPr>
        <w:t xml:space="preserve"> преобразования обязательств или варрантов, прав, слияния компаний, изменение в составе акционеров, конфискация, льготной подписка и т.д. инвестор должен переформировать портфель в соответствие с бенчмарковым индексом. Это конечно </w:t>
      </w:r>
      <w:r w:rsidR="003E5846" w:rsidRPr="00DE309E">
        <w:rPr>
          <w:rFonts w:ascii="Times New Roman CYR" w:hAnsi="Times New Roman CYR" w:cs="Times New Roman CYR"/>
          <w:color w:val="000000"/>
        </w:rPr>
        <w:t>подразумевает</w:t>
      </w:r>
      <w:r w:rsidRPr="00DE309E">
        <w:rPr>
          <w:rFonts w:ascii="Times New Roman CYR" w:hAnsi="Times New Roman CYR" w:cs="Times New Roman CYR"/>
          <w:color w:val="000000"/>
        </w:rPr>
        <w:t xml:space="preserve"> покупку/продажу, что влечет расходы, которые снова отражаются на доходности </w:t>
      </w:r>
      <w:r w:rsidR="003E5846" w:rsidRPr="00DE309E">
        <w:rPr>
          <w:rFonts w:ascii="Times New Roman CYR" w:hAnsi="Times New Roman CYR" w:cs="Times New Roman CYR"/>
          <w:color w:val="000000"/>
        </w:rPr>
        <w:t>портфеля</w:t>
      </w:r>
      <w:r w:rsidRPr="00DE309E">
        <w:rPr>
          <w:rFonts w:ascii="Times New Roman CYR" w:hAnsi="Times New Roman CYR" w:cs="Times New Roman CYR"/>
          <w:color w:val="000000"/>
        </w:rPr>
        <w:t>.</w:t>
      </w:r>
    </w:p>
    <w:p w:rsidR="005A58CF" w:rsidRPr="00DE309E" w:rsidRDefault="005A58CF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DE309E">
        <w:rPr>
          <w:rFonts w:ascii="Times New Roman CYR" w:hAnsi="Times New Roman CYR" w:cs="Times New Roman CYR"/>
          <w:color w:val="000000"/>
        </w:rPr>
        <w:t xml:space="preserve">В случае таких корпоративных преобразований как выпуск прав, премии, преобразования, слияния компаний и т.д., где существующим держателям выплачивается компенсация в </w:t>
      </w:r>
      <w:r w:rsidR="003E5846" w:rsidRPr="00DE309E">
        <w:rPr>
          <w:rFonts w:ascii="Times New Roman CYR" w:hAnsi="Times New Roman CYR" w:cs="Times New Roman CYR"/>
          <w:color w:val="000000"/>
        </w:rPr>
        <w:t>качестве</w:t>
      </w:r>
      <w:r w:rsidRPr="00DE309E">
        <w:rPr>
          <w:rFonts w:ascii="Times New Roman CYR" w:hAnsi="Times New Roman CYR" w:cs="Times New Roman CYR"/>
          <w:color w:val="000000"/>
        </w:rPr>
        <w:t xml:space="preserve"> новых акций. Эти корпоративные изменения вступают в силу "задним числом", когда это </w:t>
      </w:r>
      <w:r w:rsidR="003E5846" w:rsidRPr="00DE309E">
        <w:rPr>
          <w:rFonts w:ascii="Times New Roman CYR" w:hAnsi="Times New Roman CYR" w:cs="Times New Roman CYR"/>
          <w:color w:val="000000"/>
        </w:rPr>
        <w:t>б</w:t>
      </w:r>
      <w:r w:rsidRPr="00DE309E">
        <w:rPr>
          <w:rFonts w:ascii="Times New Roman CYR" w:hAnsi="Times New Roman CYR" w:cs="Times New Roman CYR"/>
          <w:color w:val="000000"/>
        </w:rPr>
        <w:t xml:space="preserve">удет объявлено на </w:t>
      </w:r>
      <w:r w:rsidR="003E5846" w:rsidRPr="00DE309E">
        <w:rPr>
          <w:rFonts w:ascii="Times New Roman CYR" w:hAnsi="Times New Roman CYR" w:cs="Times New Roman CYR"/>
          <w:color w:val="000000"/>
        </w:rPr>
        <w:t>бирже</w:t>
      </w:r>
      <w:r w:rsidRPr="00DE309E">
        <w:rPr>
          <w:rFonts w:ascii="Times New Roman CYR" w:hAnsi="Times New Roman CYR" w:cs="Times New Roman CYR"/>
          <w:color w:val="000000"/>
        </w:rPr>
        <w:t>. Таким образом, образуется промежуток времени между этой датой и датой, с которой компания начинает фактически кредитоваться и имеет в своем распоряжении собственные акции. В течение этого периода, индек</w:t>
      </w:r>
      <w:r w:rsidR="003E5846" w:rsidRPr="00DE309E">
        <w:rPr>
          <w:rFonts w:ascii="Times New Roman CYR" w:hAnsi="Times New Roman CYR" w:cs="Times New Roman CYR"/>
          <w:color w:val="000000"/>
        </w:rPr>
        <w:t>с отражается с выплатами, в то в</w:t>
      </w:r>
      <w:r w:rsidRPr="00DE309E">
        <w:rPr>
          <w:rFonts w:ascii="Times New Roman CYR" w:hAnsi="Times New Roman CYR" w:cs="Times New Roman CYR"/>
          <w:color w:val="000000"/>
        </w:rPr>
        <w:t>ремя как компания без.</w:t>
      </w:r>
    </w:p>
    <w:p w:rsidR="00665A31" w:rsidRPr="00DE309E" w:rsidRDefault="00665A31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DE309E">
        <w:rPr>
          <w:rFonts w:ascii="Times New Roman CYR" w:hAnsi="Times New Roman CYR" w:cs="Times New Roman CYR"/>
          <w:color w:val="000000"/>
        </w:rPr>
        <w:t xml:space="preserve">5. </w:t>
      </w:r>
      <w:r w:rsidRPr="00DE309E">
        <w:rPr>
          <w:rFonts w:ascii="Times New Roman CYR" w:hAnsi="Times New Roman CYR" w:cs="Times New Roman CYR"/>
          <w:i/>
          <w:color w:val="000000"/>
        </w:rPr>
        <w:t>Округление количества ценных бумаг, в зависимости от доли в индексе</w:t>
      </w:r>
      <w:r w:rsidRPr="00DE309E">
        <w:rPr>
          <w:rFonts w:ascii="Times New Roman CYR" w:hAnsi="Times New Roman CYR" w:cs="Times New Roman CYR"/>
          <w:color w:val="000000"/>
        </w:rPr>
        <w:t xml:space="preserve">: Как замечено ранее инвестор должен вложить капитал в ценные бумаги в той же самой пропорции что и в индексе. Однако, при определении числа акций, которые должны быть куплены, необходимо округлять это число как минимальное </w:t>
      </w:r>
      <w:r w:rsidR="001E3AAF" w:rsidRPr="00DE309E">
        <w:rPr>
          <w:rFonts w:ascii="Times New Roman CYR" w:hAnsi="Times New Roman CYR" w:cs="Times New Roman CYR"/>
          <w:color w:val="000000"/>
        </w:rPr>
        <w:t>количество</w:t>
      </w:r>
      <w:r w:rsidRPr="00DE309E">
        <w:rPr>
          <w:rFonts w:ascii="Times New Roman CYR" w:hAnsi="Times New Roman CYR" w:cs="Times New Roman CYR"/>
          <w:color w:val="000000"/>
        </w:rPr>
        <w:t xml:space="preserve"> акций которое может быть приобретено (в зависимости от установленных правил).</w:t>
      </w:r>
    </w:p>
    <w:p w:rsidR="00582E42" w:rsidRPr="00DE309E" w:rsidRDefault="00582E42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</w:p>
    <w:p w:rsidR="001E3AAF" w:rsidRPr="00DE309E" w:rsidRDefault="001E3AAF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u w:val="single"/>
        </w:rPr>
      </w:pPr>
      <w:r w:rsidRPr="00DE309E">
        <w:rPr>
          <w:rFonts w:ascii="Times New Roman CYR" w:hAnsi="Times New Roman CYR" w:cs="Times New Roman CYR"/>
          <w:color w:val="000000"/>
          <w:u w:val="single"/>
        </w:rPr>
        <w:t xml:space="preserve">Меры, способствующие снижению </w:t>
      </w:r>
      <w:r w:rsidR="00582E42" w:rsidRPr="00DE309E">
        <w:rPr>
          <w:u w:val="single"/>
          <w:lang w:val="en-US"/>
        </w:rPr>
        <w:t>TE</w:t>
      </w:r>
      <w:r w:rsidRPr="00DE309E">
        <w:rPr>
          <w:rFonts w:ascii="Times New Roman CYR" w:hAnsi="Times New Roman CYR" w:cs="Times New Roman CYR"/>
          <w:color w:val="000000"/>
          <w:u w:val="single"/>
        </w:rPr>
        <w:t>:</w:t>
      </w:r>
    </w:p>
    <w:p w:rsidR="00665A31" w:rsidRPr="00DE309E" w:rsidRDefault="001E3AAF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DE309E">
        <w:rPr>
          <w:rFonts w:ascii="Times New Roman CYR" w:hAnsi="Times New Roman CYR" w:cs="Times New Roman CYR"/>
          <w:color w:val="000000"/>
        </w:rPr>
        <w:t>методы, изложенные здесь не обязательны, и не всегда употребляемы, т.к. управляющий портфелем всегда выбирает именно то, что конкретно подходит под тип его портфеля и сообразно ситуации.</w:t>
      </w:r>
    </w:p>
    <w:p w:rsidR="005F2047" w:rsidRPr="00DE309E" w:rsidRDefault="005F2047" w:rsidP="00E464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DE309E">
        <w:rPr>
          <w:rFonts w:ascii="Times New Roman CYR" w:hAnsi="Times New Roman CYR" w:cs="Times New Roman CYR"/>
          <w:color w:val="000000"/>
        </w:rPr>
        <w:t xml:space="preserve">1. Как упоминалось выше, инвестору необходимо поддерживать некий </w:t>
      </w:r>
      <w:r w:rsidRPr="00DE309E">
        <w:rPr>
          <w:rFonts w:ascii="Times New Roman CYR" w:hAnsi="Times New Roman CYR" w:cs="Times New Roman CYR"/>
          <w:i/>
          <w:color w:val="000000"/>
        </w:rPr>
        <w:t>баланс наличности</w:t>
      </w:r>
      <w:r w:rsidRPr="00DE309E">
        <w:rPr>
          <w:rFonts w:ascii="Times New Roman CYR" w:hAnsi="Times New Roman CYR" w:cs="Times New Roman CYR"/>
          <w:color w:val="000000"/>
        </w:rPr>
        <w:t xml:space="preserve">. Эти резервы не приносят никакой доходности. Существует множество методов для обращения с потоком наличности. Приведу два из них, применимых в этом случае: </w:t>
      </w:r>
    </w:p>
    <w:p w:rsidR="003427EA" w:rsidRPr="00DE309E" w:rsidRDefault="00183C3D" w:rsidP="00040CED">
      <w:pPr>
        <w:spacing w:line="360" w:lineRule="auto"/>
        <w:ind w:firstLine="709"/>
        <w:jc w:val="both"/>
      </w:pPr>
      <w:r w:rsidRPr="00DE309E">
        <w:rPr>
          <w:rFonts w:ascii="Times New Roman CYR" w:hAnsi="Times New Roman CYR" w:cs="Times New Roman CYR"/>
          <w:color w:val="000000"/>
        </w:rPr>
        <w:t xml:space="preserve">a. </w:t>
      </w:r>
      <w:r w:rsidRPr="00DE309E">
        <w:rPr>
          <w:rFonts w:ascii="Times New Roman CYR" w:hAnsi="Times New Roman CYR" w:cs="Times New Roman CYR"/>
          <w:i/>
          <w:color w:val="000000"/>
        </w:rPr>
        <w:t xml:space="preserve">Использование фьючерсных </w:t>
      </w:r>
      <w:r w:rsidR="005F2047" w:rsidRPr="00DE309E">
        <w:rPr>
          <w:rFonts w:ascii="Times New Roman CYR" w:hAnsi="Times New Roman CYR" w:cs="Times New Roman CYR"/>
          <w:i/>
          <w:color w:val="000000"/>
        </w:rPr>
        <w:t>контрактов</w:t>
      </w:r>
      <w:r w:rsidRPr="00DE309E">
        <w:rPr>
          <w:rFonts w:ascii="Times New Roman CYR" w:hAnsi="Times New Roman CYR" w:cs="Times New Roman CYR"/>
          <w:color w:val="000000"/>
        </w:rPr>
        <w:t xml:space="preserve">: инвесторы или управляющие портфелем, чтобы поддерживать необходимый уровень наличности могут использовать фьючерсные контракты. Актив, размещенный в основе фьючерсного </w:t>
      </w:r>
      <w:r w:rsidR="005F2047" w:rsidRPr="00DE309E">
        <w:rPr>
          <w:rFonts w:ascii="Times New Roman CYR" w:hAnsi="Times New Roman CYR" w:cs="Times New Roman CYR"/>
          <w:color w:val="000000"/>
        </w:rPr>
        <w:t>контракта</w:t>
      </w:r>
      <w:r w:rsidRPr="00DE309E">
        <w:rPr>
          <w:rFonts w:ascii="Times New Roman CYR" w:hAnsi="Times New Roman CYR" w:cs="Times New Roman CYR"/>
          <w:color w:val="000000"/>
        </w:rPr>
        <w:t xml:space="preserve">, принесет ту же самую норму доходности как и индекс, а издержки входа-выхода могут быть сделаны достаточны низкими. Наличные деньги, полученные от дивидендов или новых подписок могут использоваться также для вложения капитала во фьючерсные  контракты на короткий срок  пока не произойдет реинвестирование . Когда наличность достигает необходимой суммы, которая достаточна для вложения в ценные бумаги, позиция по фьючерсу закрывается и капитал может быть </w:t>
      </w:r>
      <w:r w:rsidR="005F2047" w:rsidRPr="00DE309E">
        <w:rPr>
          <w:rFonts w:ascii="Times New Roman CYR" w:hAnsi="Times New Roman CYR" w:cs="Times New Roman CYR"/>
          <w:color w:val="000000"/>
        </w:rPr>
        <w:t>инвестирован</w:t>
      </w:r>
      <w:r w:rsidRPr="00DE309E">
        <w:rPr>
          <w:rFonts w:ascii="Times New Roman CYR" w:hAnsi="Times New Roman CYR" w:cs="Times New Roman CYR"/>
          <w:color w:val="000000"/>
        </w:rPr>
        <w:t>.</w:t>
      </w:r>
    </w:p>
    <w:p w:rsidR="00E41EBC" w:rsidRPr="00DE309E" w:rsidRDefault="00E41EBC" w:rsidP="00040CED">
      <w:pPr>
        <w:spacing w:line="360" w:lineRule="auto"/>
        <w:ind w:firstLine="709"/>
        <w:jc w:val="both"/>
      </w:pPr>
      <w:r w:rsidRPr="00DE309E">
        <w:rPr>
          <w:rFonts w:ascii="Times New Roman CYR" w:hAnsi="Times New Roman CYR" w:cs="Times New Roman CYR"/>
          <w:color w:val="000000"/>
        </w:rPr>
        <w:t xml:space="preserve">b. </w:t>
      </w:r>
      <w:r w:rsidRPr="00DE309E">
        <w:rPr>
          <w:rFonts w:ascii="Times New Roman CYR" w:hAnsi="Times New Roman CYR" w:cs="Times New Roman CYR"/>
          <w:i/>
          <w:color w:val="000000"/>
        </w:rPr>
        <w:t xml:space="preserve">Временно инвестиция в ценные бумаги с постоянным </w:t>
      </w:r>
      <w:r w:rsidR="005F2047" w:rsidRPr="00DE309E">
        <w:rPr>
          <w:rFonts w:ascii="Times New Roman CYR" w:hAnsi="Times New Roman CYR" w:cs="Times New Roman CYR"/>
          <w:i/>
          <w:color w:val="000000"/>
        </w:rPr>
        <w:t>доходом</w:t>
      </w:r>
      <w:r w:rsidRPr="00DE309E">
        <w:rPr>
          <w:rFonts w:ascii="Times New Roman CYR" w:hAnsi="Times New Roman CYR" w:cs="Times New Roman CYR"/>
          <w:color w:val="000000"/>
        </w:rPr>
        <w:t xml:space="preserve">: наличность, необходимая инвестору для целей ликвидности </w:t>
      </w:r>
      <w:r w:rsidR="005F2047" w:rsidRPr="00DE309E">
        <w:rPr>
          <w:rFonts w:ascii="Times New Roman CYR" w:hAnsi="Times New Roman CYR" w:cs="Times New Roman CYR"/>
          <w:color w:val="000000"/>
        </w:rPr>
        <w:t>может</w:t>
      </w:r>
      <w:r w:rsidRPr="00DE309E">
        <w:rPr>
          <w:rFonts w:ascii="Times New Roman CYR" w:hAnsi="Times New Roman CYR" w:cs="Times New Roman CYR"/>
          <w:color w:val="000000"/>
        </w:rPr>
        <w:t xml:space="preserve"> быть вложена в короткие инструменты рынка, приносящие фиксированный доход. Таким образом</w:t>
      </w:r>
      <w:r w:rsidR="005F2047" w:rsidRPr="00DE309E">
        <w:rPr>
          <w:rFonts w:ascii="Times New Roman CYR" w:hAnsi="Times New Roman CYR" w:cs="Times New Roman CYR"/>
          <w:color w:val="000000"/>
        </w:rPr>
        <w:t>,</w:t>
      </w:r>
      <w:r w:rsidRPr="00DE309E">
        <w:rPr>
          <w:rFonts w:ascii="Times New Roman CYR" w:hAnsi="Times New Roman CYR" w:cs="Times New Roman CYR"/>
          <w:color w:val="000000"/>
        </w:rPr>
        <w:t xml:space="preserve"> наличные деньги, сохраненн</w:t>
      </w:r>
      <w:r w:rsidR="005F2047" w:rsidRPr="00DE309E">
        <w:rPr>
          <w:rFonts w:ascii="Times New Roman CYR" w:hAnsi="Times New Roman CYR" w:cs="Times New Roman CYR"/>
          <w:color w:val="000000"/>
        </w:rPr>
        <w:t>ые для ответа по обязательствам,</w:t>
      </w:r>
      <w:r w:rsidRPr="00DE309E">
        <w:rPr>
          <w:rFonts w:ascii="Times New Roman CYR" w:hAnsi="Times New Roman CYR" w:cs="Times New Roman CYR"/>
          <w:color w:val="000000"/>
        </w:rPr>
        <w:t xml:space="preserve"> могут использоваться для получения доходности путем вложения в эти инструмен</w:t>
      </w:r>
      <w:r w:rsidR="005F2047" w:rsidRPr="00DE309E">
        <w:rPr>
          <w:rFonts w:ascii="Times New Roman CYR" w:hAnsi="Times New Roman CYR" w:cs="Times New Roman CYR"/>
          <w:color w:val="000000"/>
        </w:rPr>
        <w:t xml:space="preserve">ты. </w:t>
      </w:r>
      <w:r w:rsidRPr="00DE309E">
        <w:rPr>
          <w:rFonts w:ascii="Times New Roman CYR" w:hAnsi="Times New Roman CYR" w:cs="Times New Roman CYR"/>
          <w:color w:val="000000"/>
        </w:rPr>
        <w:t xml:space="preserve">Этим способом </w:t>
      </w:r>
      <w:r w:rsidR="005F2047" w:rsidRPr="00DE309E">
        <w:rPr>
          <w:rFonts w:ascii="Times New Roman CYR" w:hAnsi="Times New Roman CYR" w:cs="Times New Roman CYR"/>
          <w:color w:val="000000"/>
        </w:rPr>
        <w:t>можно</w:t>
      </w:r>
      <w:r w:rsidRPr="00DE309E">
        <w:rPr>
          <w:rFonts w:ascii="Times New Roman CYR" w:hAnsi="Times New Roman CYR" w:cs="Times New Roman CYR"/>
          <w:color w:val="000000"/>
        </w:rPr>
        <w:t xml:space="preserve"> уменьшить риск инвестора, возникающий при наличии </w:t>
      </w:r>
      <w:r w:rsidRPr="00DE309E">
        <w:rPr>
          <w:color w:val="000000"/>
          <w:lang w:val="en-US"/>
        </w:rPr>
        <w:t>tracking</w:t>
      </w:r>
      <w:r w:rsidRPr="00DE309E">
        <w:rPr>
          <w:color w:val="000000"/>
        </w:rPr>
        <w:t xml:space="preserve"> </w:t>
      </w:r>
      <w:r w:rsidRPr="00DE309E">
        <w:rPr>
          <w:color w:val="000000"/>
          <w:lang w:val="en-US"/>
        </w:rPr>
        <w:t>error</w:t>
      </w:r>
      <w:r w:rsidRPr="00DE309E">
        <w:rPr>
          <w:rFonts w:ascii="Times New Roman CYR" w:hAnsi="Times New Roman CYR" w:cs="Times New Roman CYR"/>
          <w:color w:val="000000"/>
        </w:rPr>
        <w:t>, поскольку эти инвестиции будут приносить доходность.</w:t>
      </w:r>
    </w:p>
    <w:p w:rsidR="00E41EBC" w:rsidRPr="00DE309E" w:rsidRDefault="008F7ECA" w:rsidP="00040CED">
      <w:pPr>
        <w:spacing w:line="360" w:lineRule="auto"/>
        <w:ind w:firstLine="709"/>
        <w:jc w:val="both"/>
      </w:pPr>
      <w:r w:rsidRPr="00DE309E">
        <w:rPr>
          <w:rFonts w:ascii="Times New Roman CYR" w:hAnsi="Times New Roman CYR" w:cs="Times New Roman CYR"/>
          <w:color w:val="000000"/>
        </w:rPr>
        <w:t xml:space="preserve">2. </w:t>
      </w:r>
      <w:r w:rsidRPr="00DE309E">
        <w:rPr>
          <w:rFonts w:ascii="Times New Roman CYR" w:hAnsi="Times New Roman CYR" w:cs="Times New Roman CYR"/>
          <w:i/>
          <w:color w:val="000000"/>
        </w:rPr>
        <w:t>Пре</w:t>
      </w:r>
      <w:r w:rsidR="005F2047" w:rsidRPr="00DE309E">
        <w:rPr>
          <w:rFonts w:ascii="Times New Roman CYR" w:hAnsi="Times New Roman CYR" w:cs="Times New Roman CYR"/>
          <w:i/>
          <w:color w:val="000000"/>
        </w:rPr>
        <w:t>доставления займа в виде акций</w:t>
      </w:r>
      <w:r w:rsidR="005F2047" w:rsidRPr="00DE309E">
        <w:rPr>
          <w:rFonts w:ascii="Times New Roman CYR" w:hAnsi="Times New Roman CYR" w:cs="Times New Roman CYR"/>
          <w:color w:val="000000"/>
        </w:rPr>
        <w:t>:</w:t>
      </w:r>
      <w:r w:rsidRPr="00DE309E">
        <w:rPr>
          <w:rFonts w:ascii="Times New Roman CYR" w:hAnsi="Times New Roman CYR" w:cs="Times New Roman CYR"/>
          <w:color w:val="000000"/>
        </w:rPr>
        <w:t xml:space="preserve"> акции, принадлежащие инвестору</w:t>
      </w:r>
      <w:r w:rsidR="005F2047" w:rsidRPr="00DE309E">
        <w:rPr>
          <w:rFonts w:ascii="Times New Roman CYR" w:hAnsi="Times New Roman CYR" w:cs="Times New Roman CYR"/>
          <w:color w:val="000000"/>
        </w:rPr>
        <w:t>,</w:t>
      </w:r>
      <w:r w:rsidRPr="00DE309E">
        <w:rPr>
          <w:rFonts w:ascii="Times New Roman CYR" w:hAnsi="Times New Roman CYR" w:cs="Times New Roman CYR"/>
          <w:color w:val="000000"/>
        </w:rPr>
        <w:t xml:space="preserve"> могут использоваться для предоставления займов. Таким образом, инвестор получит доходность и снизится </w:t>
      </w:r>
      <w:r w:rsidRPr="00DE309E">
        <w:rPr>
          <w:color w:val="000000"/>
          <w:lang w:val="en-US"/>
        </w:rPr>
        <w:t>tracking</w:t>
      </w:r>
      <w:r w:rsidRPr="00DE309E">
        <w:rPr>
          <w:color w:val="000000"/>
        </w:rPr>
        <w:t xml:space="preserve"> </w:t>
      </w:r>
      <w:r w:rsidRPr="00DE309E">
        <w:rPr>
          <w:color w:val="000000"/>
          <w:lang w:val="en-US"/>
        </w:rPr>
        <w:t>error</w:t>
      </w:r>
      <w:r w:rsidRPr="00DE309E">
        <w:rPr>
          <w:rFonts w:ascii="Times New Roman CYR" w:hAnsi="Times New Roman CYR" w:cs="Times New Roman CYR"/>
          <w:color w:val="000000"/>
        </w:rPr>
        <w:t>.</w:t>
      </w:r>
    </w:p>
    <w:p w:rsidR="00E41EBC" w:rsidRPr="00DE309E" w:rsidRDefault="00E41EBC" w:rsidP="00040CED">
      <w:pPr>
        <w:spacing w:line="360" w:lineRule="auto"/>
        <w:ind w:firstLine="709"/>
        <w:jc w:val="both"/>
      </w:pPr>
    </w:p>
    <w:p w:rsidR="006B76CE" w:rsidRPr="00DE309E" w:rsidRDefault="006B76CE" w:rsidP="006B76CE">
      <w:pPr>
        <w:spacing w:line="360" w:lineRule="auto"/>
        <w:ind w:firstLine="709"/>
        <w:jc w:val="both"/>
      </w:pPr>
      <w:r w:rsidRPr="00DE309E">
        <w:t xml:space="preserve">Необходимость отслеживания </w:t>
      </w:r>
      <w:r w:rsidRPr="00DE309E">
        <w:rPr>
          <w:lang w:val="en-US"/>
        </w:rPr>
        <w:t>TE</w:t>
      </w:r>
      <w:r w:rsidRPr="00DE309E">
        <w:t xml:space="preserve"> объясняется несколькими фактами. Во-первых, вероятность драматичных потерь (доходность актива меньше </w:t>
      </w:r>
      <w:r w:rsidR="00BC5F4B" w:rsidRPr="00DE309E">
        <w:t>-</w:t>
      </w:r>
      <w:r w:rsidRPr="00DE309E">
        <w:t xml:space="preserve">10%) возрастает вместе с ростом </w:t>
      </w:r>
      <w:r w:rsidRPr="00DE309E">
        <w:rPr>
          <w:lang w:val="en-US"/>
        </w:rPr>
        <w:t>TE</w:t>
      </w:r>
      <w:r w:rsidRPr="00DE309E">
        <w:t xml:space="preserve">. Во-вторых, вероятность получения сверхприбыли также растет с увеличением </w:t>
      </w:r>
      <w:r w:rsidRPr="00DE309E">
        <w:rPr>
          <w:lang w:val="en-US"/>
        </w:rPr>
        <w:t>TE</w:t>
      </w:r>
      <w:r w:rsidRPr="00DE309E">
        <w:t xml:space="preserve">. В-третьих, значения </w:t>
      </w:r>
      <w:r w:rsidR="00BC5F4B" w:rsidRPr="00DE309E">
        <w:t>предыдущих фактов для инвесторов ассиметрично, т.е. полезность от убытков не равна полезности от выигрыша с противоположным знаком.</w:t>
      </w:r>
    </w:p>
    <w:p w:rsidR="006B76CE" w:rsidRPr="00DE309E" w:rsidRDefault="006B76CE" w:rsidP="00040CED">
      <w:pPr>
        <w:spacing w:line="360" w:lineRule="auto"/>
        <w:ind w:firstLine="709"/>
        <w:jc w:val="both"/>
      </w:pPr>
    </w:p>
    <w:p w:rsidR="00040CED" w:rsidRPr="00DE309E" w:rsidRDefault="00040CED" w:rsidP="00040CED">
      <w:pPr>
        <w:spacing w:line="360" w:lineRule="auto"/>
        <w:ind w:firstLine="709"/>
        <w:jc w:val="both"/>
      </w:pPr>
      <w:r w:rsidRPr="00DE309E">
        <w:t xml:space="preserve">Таким образом, подытоживая изложенное, можно сказать, что </w:t>
      </w:r>
      <w:r w:rsidR="00441DB9" w:rsidRPr="00DE309E">
        <w:t>дублирующий портфель и отклонение от него являются не только инструментом портфельного анализа, но также, к примеру, и макроэкономического анализа. Любой может составить дублирующий портфель, используя данные по дневным доходностям. Это позволит оценить мнение рынка по поводу будущих значений экономических переменных.</w:t>
      </w:r>
    </w:p>
    <w:p w:rsidR="003D0135" w:rsidRPr="00DE309E" w:rsidRDefault="003D0135" w:rsidP="00040CED">
      <w:pPr>
        <w:spacing w:line="360" w:lineRule="auto"/>
        <w:ind w:firstLine="709"/>
        <w:jc w:val="both"/>
      </w:pPr>
      <w:r w:rsidRPr="00DE309E">
        <w:t xml:space="preserve">Цены облигаций очень чувствительны на макроэкономические прогнозы и заявления, в то время как агрегированные цены на акции обычно не зависят от этого. Это возможно из-за того, что конкурирующие эффекты процентных ставок и потока наличности взаимоуничтожаются на агрегированном уровне. В этом отношении, дублирующие портфели имеют неоспоримое преимущество перед переменными в модели </w:t>
      </w:r>
      <w:r w:rsidRPr="00DE309E">
        <w:rPr>
          <w:lang w:val="en-US"/>
        </w:rPr>
        <w:t>VAR</w:t>
      </w:r>
      <w:r w:rsidRPr="00DE309E">
        <w:t>.</w:t>
      </w:r>
    </w:p>
    <w:p w:rsidR="00040CED" w:rsidRPr="00DE309E" w:rsidRDefault="00040CED" w:rsidP="00040CED">
      <w:pPr>
        <w:spacing w:line="360" w:lineRule="auto"/>
        <w:ind w:firstLine="709"/>
        <w:jc w:val="both"/>
      </w:pPr>
    </w:p>
    <w:p w:rsidR="006B76CE" w:rsidRPr="00DE309E" w:rsidRDefault="003D0135" w:rsidP="00040CED">
      <w:pPr>
        <w:spacing w:line="360" w:lineRule="auto"/>
        <w:ind w:firstLine="709"/>
        <w:jc w:val="both"/>
        <w:rPr>
          <w:lang w:val="en-US"/>
        </w:rPr>
      </w:pPr>
      <w:r w:rsidRPr="00DE309E">
        <w:t>Литература</w:t>
      </w:r>
      <w:r w:rsidRPr="00DE309E">
        <w:rPr>
          <w:lang w:val="en-US"/>
        </w:rPr>
        <w:t>:</w:t>
      </w:r>
    </w:p>
    <w:p w:rsidR="00261AC0" w:rsidRPr="00DE309E" w:rsidRDefault="00B2504A" w:rsidP="001D00C3">
      <w:pPr>
        <w:numPr>
          <w:ilvl w:val="0"/>
          <w:numId w:val="15"/>
        </w:numPr>
        <w:tabs>
          <w:tab w:val="clear" w:pos="1429"/>
          <w:tab w:val="num" w:pos="900"/>
        </w:tabs>
        <w:spacing w:line="360" w:lineRule="auto"/>
        <w:ind w:left="0" w:firstLine="357"/>
        <w:jc w:val="both"/>
      </w:pPr>
      <w:r w:rsidRPr="00DE309E">
        <w:t>Шарп У.,</w:t>
      </w:r>
      <w:r w:rsidR="00261AC0" w:rsidRPr="00DE309E">
        <w:t xml:space="preserve"> Александер Г., Бэйли Дж. Инвестиции: Пер. с англ. – М.: ИНФРА-М, 2001. – </w:t>
      </w:r>
      <w:r w:rsidR="00261AC0" w:rsidRPr="00DE309E">
        <w:rPr>
          <w:lang w:val="en-US"/>
        </w:rPr>
        <w:t>XII</w:t>
      </w:r>
      <w:r w:rsidR="00261AC0" w:rsidRPr="00DE309E">
        <w:t>, 1028 с.</w:t>
      </w:r>
    </w:p>
    <w:p w:rsidR="003D0135" w:rsidRPr="00DE309E" w:rsidRDefault="003D0135" w:rsidP="001D00C3">
      <w:pPr>
        <w:numPr>
          <w:ilvl w:val="0"/>
          <w:numId w:val="15"/>
        </w:numPr>
        <w:tabs>
          <w:tab w:val="clear" w:pos="1429"/>
          <w:tab w:val="num" w:pos="900"/>
        </w:tabs>
        <w:spacing w:line="360" w:lineRule="auto"/>
        <w:ind w:left="0" w:firstLine="357"/>
        <w:jc w:val="both"/>
        <w:rPr>
          <w:lang w:val="en-US"/>
        </w:rPr>
      </w:pPr>
      <w:r w:rsidRPr="00DE309E">
        <w:rPr>
          <w:lang w:val="en-US"/>
        </w:rPr>
        <w:t>Owen Lamont. Economic Tracking Portfolios.</w:t>
      </w:r>
      <w:r w:rsidR="00D1781C" w:rsidRPr="00DE309E">
        <w:rPr>
          <w:lang w:val="en-US"/>
        </w:rPr>
        <w:t xml:space="preserve"> March 1999.</w:t>
      </w:r>
      <w:r w:rsidRPr="00DE309E">
        <w:rPr>
          <w:lang w:val="en-US"/>
        </w:rPr>
        <w:t xml:space="preserve"> </w:t>
      </w:r>
      <w:hyperlink r:id="rId7" w:history="1">
        <w:r w:rsidRPr="00DE309E">
          <w:rPr>
            <w:rStyle w:val="a3"/>
            <w:lang w:val="en-US"/>
          </w:rPr>
          <w:t>www.nber.org/papers/w7055</w:t>
        </w:r>
      </w:hyperlink>
    </w:p>
    <w:p w:rsidR="00D1781C" w:rsidRPr="00DE309E" w:rsidRDefault="00D1781C" w:rsidP="001D00C3">
      <w:pPr>
        <w:numPr>
          <w:ilvl w:val="0"/>
          <w:numId w:val="15"/>
        </w:numPr>
        <w:tabs>
          <w:tab w:val="clear" w:pos="1429"/>
          <w:tab w:val="num" w:pos="900"/>
        </w:tabs>
        <w:spacing w:line="360" w:lineRule="auto"/>
        <w:ind w:left="0" w:firstLine="357"/>
        <w:jc w:val="both"/>
        <w:rPr>
          <w:lang w:val="en-US"/>
        </w:rPr>
      </w:pPr>
      <w:r w:rsidRPr="00DE309E">
        <w:rPr>
          <w:lang w:val="en-US"/>
        </w:rPr>
        <w:t>Manuel Ammann, Heinz Zimmermann. The Relation between Tracking Error and Tactical Asset Allocation. April 1999</w:t>
      </w:r>
    </w:p>
    <w:p w:rsidR="00B2504A" w:rsidRPr="00DE309E" w:rsidRDefault="00B2504A" w:rsidP="00B2504A">
      <w:pPr>
        <w:numPr>
          <w:ilvl w:val="0"/>
          <w:numId w:val="15"/>
        </w:numPr>
        <w:tabs>
          <w:tab w:val="clear" w:pos="1429"/>
          <w:tab w:val="num" w:pos="900"/>
        </w:tabs>
        <w:spacing w:line="360" w:lineRule="auto"/>
        <w:ind w:left="0" w:firstLine="357"/>
        <w:jc w:val="both"/>
        <w:rPr>
          <w:lang w:val="en-US"/>
        </w:rPr>
      </w:pPr>
      <w:r w:rsidRPr="00DE309E">
        <w:rPr>
          <w:lang w:val="en-US"/>
        </w:rPr>
        <w:t>Soosung Hwang, Stephen E. Satchell. Tracking Error: Ex-Ante versus Ex-Post Measures.</w:t>
      </w:r>
      <w:bookmarkStart w:id="0" w:name="_GoBack"/>
      <w:bookmarkEnd w:id="0"/>
    </w:p>
    <w:sectPr w:rsidR="00B2504A" w:rsidRPr="00DE309E" w:rsidSect="003C45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EB" w:rsidRDefault="007F6919">
      <w:r>
        <w:separator/>
      </w:r>
    </w:p>
  </w:endnote>
  <w:endnote w:type="continuationSeparator" w:id="0">
    <w:p w:rsidR="006D6FEB" w:rsidRDefault="007F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E2" w:rsidRDefault="006C45E2" w:rsidP="003C45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45E2" w:rsidRDefault="006C45E2" w:rsidP="003C45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E2" w:rsidRDefault="006C45E2" w:rsidP="003C45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45E2" w:rsidRDefault="006C45E2" w:rsidP="003C45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EB" w:rsidRDefault="007F6919">
      <w:r>
        <w:separator/>
      </w:r>
    </w:p>
  </w:footnote>
  <w:footnote w:type="continuationSeparator" w:id="0">
    <w:p w:rsidR="006D6FEB" w:rsidRDefault="007F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6BA"/>
    <w:multiLevelType w:val="hybridMultilevel"/>
    <w:tmpl w:val="AAA86D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231846"/>
    <w:multiLevelType w:val="multilevel"/>
    <w:tmpl w:val="EB441AF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50A5A2B"/>
    <w:multiLevelType w:val="multilevel"/>
    <w:tmpl w:val="A740F1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3">
    <w:nsid w:val="16346B15"/>
    <w:multiLevelType w:val="multilevel"/>
    <w:tmpl w:val="A740F1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4">
    <w:nsid w:val="1A7936F3"/>
    <w:multiLevelType w:val="hybridMultilevel"/>
    <w:tmpl w:val="6FD6F9CE"/>
    <w:lvl w:ilvl="0" w:tplc="1A30E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AF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09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66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AF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18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2E1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F27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CC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AAE48E8"/>
    <w:multiLevelType w:val="hybridMultilevel"/>
    <w:tmpl w:val="69E62F08"/>
    <w:lvl w:ilvl="0" w:tplc="D146E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A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AA8C08">
      <w:start w:val="17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F28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A5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AA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C2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A1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40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15C0E21"/>
    <w:multiLevelType w:val="hybridMultilevel"/>
    <w:tmpl w:val="96DCF636"/>
    <w:lvl w:ilvl="0" w:tplc="20E42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863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BE0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08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26A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04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9E3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EC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A1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41337C7"/>
    <w:multiLevelType w:val="hybridMultilevel"/>
    <w:tmpl w:val="21806FBC"/>
    <w:lvl w:ilvl="0" w:tplc="0026F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14B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E0D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C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D2D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C88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E8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2D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46E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3B1B0C"/>
    <w:multiLevelType w:val="multilevel"/>
    <w:tmpl w:val="A740F1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9">
    <w:nsid w:val="3AA227D7"/>
    <w:multiLevelType w:val="hybridMultilevel"/>
    <w:tmpl w:val="5FEAFD02"/>
    <w:lvl w:ilvl="0" w:tplc="B8D07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E3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800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C62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268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10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E5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E2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3E3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7170C0F"/>
    <w:multiLevelType w:val="multilevel"/>
    <w:tmpl w:val="A740F1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11">
    <w:nsid w:val="523A3201"/>
    <w:multiLevelType w:val="hybridMultilevel"/>
    <w:tmpl w:val="32BA6740"/>
    <w:lvl w:ilvl="0" w:tplc="8BF0E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DC6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AE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CD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248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BE9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28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C44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A0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52176AF"/>
    <w:multiLevelType w:val="hybridMultilevel"/>
    <w:tmpl w:val="EB441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67851689"/>
    <w:multiLevelType w:val="hybridMultilevel"/>
    <w:tmpl w:val="55620ACE"/>
    <w:lvl w:ilvl="0" w:tplc="BFCE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83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A09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74C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25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06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525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28C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2C0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1EB0DF6"/>
    <w:multiLevelType w:val="hybridMultilevel"/>
    <w:tmpl w:val="A740F1B0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abstractNum w:abstractNumId="15">
    <w:nsid w:val="790742DE"/>
    <w:multiLevelType w:val="hybridMultilevel"/>
    <w:tmpl w:val="FA680E2A"/>
    <w:lvl w:ilvl="0" w:tplc="D2162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09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D26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F44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84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AE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DC9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6E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60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15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0"/>
  </w:num>
  <w:num w:numId="14">
    <w:abstractNumId w:val="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09C"/>
    <w:rsid w:val="00000F08"/>
    <w:rsid w:val="000068CC"/>
    <w:rsid w:val="000155E5"/>
    <w:rsid w:val="00040CED"/>
    <w:rsid w:val="00071FA1"/>
    <w:rsid w:val="00076D3C"/>
    <w:rsid w:val="000A297C"/>
    <w:rsid w:val="000A42AE"/>
    <w:rsid w:val="000A468B"/>
    <w:rsid w:val="000D109C"/>
    <w:rsid w:val="00127645"/>
    <w:rsid w:val="0013354D"/>
    <w:rsid w:val="001418B9"/>
    <w:rsid w:val="0015670E"/>
    <w:rsid w:val="00163F37"/>
    <w:rsid w:val="00165C56"/>
    <w:rsid w:val="00171FC8"/>
    <w:rsid w:val="00174271"/>
    <w:rsid w:val="00183C3D"/>
    <w:rsid w:val="00185003"/>
    <w:rsid w:val="001A2465"/>
    <w:rsid w:val="001C549F"/>
    <w:rsid w:val="001D00C3"/>
    <w:rsid w:val="001E3AAF"/>
    <w:rsid w:val="001F4E9D"/>
    <w:rsid w:val="00204B3B"/>
    <w:rsid w:val="0020754D"/>
    <w:rsid w:val="00215B2E"/>
    <w:rsid w:val="00222E2C"/>
    <w:rsid w:val="0023619B"/>
    <w:rsid w:val="00261AC0"/>
    <w:rsid w:val="00261EF4"/>
    <w:rsid w:val="002B5A47"/>
    <w:rsid w:val="002B5D4B"/>
    <w:rsid w:val="002C6B0D"/>
    <w:rsid w:val="00303A01"/>
    <w:rsid w:val="0030457B"/>
    <w:rsid w:val="003427EA"/>
    <w:rsid w:val="0034289E"/>
    <w:rsid w:val="00354BD3"/>
    <w:rsid w:val="003554DC"/>
    <w:rsid w:val="003735CF"/>
    <w:rsid w:val="00376D1B"/>
    <w:rsid w:val="00383D7B"/>
    <w:rsid w:val="003A4FD1"/>
    <w:rsid w:val="003A749D"/>
    <w:rsid w:val="003C4543"/>
    <w:rsid w:val="003D0135"/>
    <w:rsid w:val="003E5846"/>
    <w:rsid w:val="004049C9"/>
    <w:rsid w:val="00411B16"/>
    <w:rsid w:val="00416B9A"/>
    <w:rsid w:val="00441DB9"/>
    <w:rsid w:val="004A764C"/>
    <w:rsid w:val="004C15F7"/>
    <w:rsid w:val="004C4155"/>
    <w:rsid w:val="004F3A40"/>
    <w:rsid w:val="00502856"/>
    <w:rsid w:val="005169B3"/>
    <w:rsid w:val="00547828"/>
    <w:rsid w:val="00570980"/>
    <w:rsid w:val="00582E42"/>
    <w:rsid w:val="00592EE1"/>
    <w:rsid w:val="005A58CF"/>
    <w:rsid w:val="005F2047"/>
    <w:rsid w:val="0066330D"/>
    <w:rsid w:val="006648F7"/>
    <w:rsid w:val="00665A31"/>
    <w:rsid w:val="00672C6E"/>
    <w:rsid w:val="00672FC0"/>
    <w:rsid w:val="0069497C"/>
    <w:rsid w:val="006B185D"/>
    <w:rsid w:val="006B76CE"/>
    <w:rsid w:val="006C45E2"/>
    <w:rsid w:val="006D6FEB"/>
    <w:rsid w:val="006E1658"/>
    <w:rsid w:val="006E21CB"/>
    <w:rsid w:val="0070331E"/>
    <w:rsid w:val="00732AA8"/>
    <w:rsid w:val="00754B9F"/>
    <w:rsid w:val="00763102"/>
    <w:rsid w:val="00771FB4"/>
    <w:rsid w:val="00781926"/>
    <w:rsid w:val="007A7C22"/>
    <w:rsid w:val="007C2C2A"/>
    <w:rsid w:val="007E1BBA"/>
    <w:rsid w:val="007F6919"/>
    <w:rsid w:val="008359EB"/>
    <w:rsid w:val="00866AEC"/>
    <w:rsid w:val="00880E64"/>
    <w:rsid w:val="008A6496"/>
    <w:rsid w:val="008D1D89"/>
    <w:rsid w:val="008E02EA"/>
    <w:rsid w:val="008F58F1"/>
    <w:rsid w:val="008F7ECA"/>
    <w:rsid w:val="0090642D"/>
    <w:rsid w:val="00910F3F"/>
    <w:rsid w:val="009302F1"/>
    <w:rsid w:val="009410EA"/>
    <w:rsid w:val="00960ACF"/>
    <w:rsid w:val="00A03296"/>
    <w:rsid w:val="00A076E9"/>
    <w:rsid w:val="00A10A2E"/>
    <w:rsid w:val="00A52C7C"/>
    <w:rsid w:val="00AB761C"/>
    <w:rsid w:val="00AF69DA"/>
    <w:rsid w:val="00AF7FC3"/>
    <w:rsid w:val="00B033C6"/>
    <w:rsid w:val="00B138C4"/>
    <w:rsid w:val="00B24717"/>
    <w:rsid w:val="00B2504A"/>
    <w:rsid w:val="00B418C5"/>
    <w:rsid w:val="00B43295"/>
    <w:rsid w:val="00B578B5"/>
    <w:rsid w:val="00B6222A"/>
    <w:rsid w:val="00B95A1E"/>
    <w:rsid w:val="00BA4C0F"/>
    <w:rsid w:val="00BB6917"/>
    <w:rsid w:val="00BC5F4B"/>
    <w:rsid w:val="00BD0D2D"/>
    <w:rsid w:val="00BF4F53"/>
    <w:rsid w:val="00C03C22"/>
    <w:rsid w:val="00C15C25"/>
    <w:rsid w:val="00C2261D"/>
    <w:rsid w:val="00C80A32"/>
    <w:rsid w:val="00CA4968"/>
    <w:rsid w:val="00CB1A4B"/>
    <w:rsid w:val="00CC53A9"/>
    <w:rsid w:val="00CD5C02"/>
    <w:rsid w:val="00D039D5"/>
    <w:rsid w:val="00D1781C"/>
    <w:rsid w:val="00D3263E"/>
    <w:rsid w:val="00D93D60"/>
    <w:rsid w:val="00DA71F4"/>
    <w:rsid w:val="00DE309E"/>
    <w:rsid w:val="00DE4DD2"/>
    <w:rsid w:val="00E01F4D"/>
    <w:rsid w:val="00E0633B"/>
    <w:rsid w:val="00E12054"/>
    <w:rsid w:val="00E17592"/>
    <w:rsid w:val="00E41EBC"/>
    <w:rsid w:val="00E464E2"/>
    <w:rsid w:val="00E46CDC"/>
    <w:rsid w:val="00E91184"/>
    <w:rsid w:val="00EA5C1D"/>
    <w:rsid w:val="00ED519A"/>
    <w:rsid w:val="00F1193E"/>
    <w:rsid w:val="00F13919"/>
    <w:rsid w:val="00F33D50"/>
    <w:rsid w:val="00F52A64"/>
    <w:rsid w:val="00F74C4E"/>
    <w:rsid w:val="00FA69EC"/>
    <w:rsid w:val="00FD0967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5D792-E460-4C92-8132-F68BBC20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4C4E"/>
    <w:rPr>
      <w:color w:val="006633"/>
      <w:u w:val="single"/>
    </w:rPr>
  </w:style>
  <w:style w:type="paragraph" w:customStyle="1" w:styleId="arter">
    <w:name w:val="art_er"/>
    <w:basedOn w:val="a"/>
    <w:rsid w:val="00F74C4E"/>
    <w:pPr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wordfound">
    <w:name w:val="wordfound"/>
    <w:basedOn w:val="a"/>
    <w:rsid w:val="00F74C4E"/>
    <w:rPr>
      <w:rFonts w:ascii="Arial" w:hAnsi="Arial" w:cs="Arial"/>
      <w:b/>
      <w:bCs/>
      <w:color w:val="880000"/>
      <w:sz w:val="36"/>
      <w:szCs w:val="36"/>
    </w:rPr>
  </w:style>
  <w:style w:type="character" w:customStyle="1" w:styleId="ab1">
    <w:name w:val="ab1"/>
    <w:basedOn w:val="a0"/>
    <w:rsid w:val="00F74C4E"/>
    <w:rPr>
      <w:rFonts w:ascii="Arial" w:hAnsi="Arial" w:cs="Arial" w:hint="default"/>
      <w:i/>
      <w:iCs/>
      <w:color w:val="000000"/>
      <w:sz w:val="18"/>
      <w:szCs w:val="18"/>
    </w:rPr>
  </w:style>
  <w:style w:type="character" w:customStyle="1" w:styleId="na1">
    <w:name w:val="na1"/>
    <w:basedOn w:val="a0"/>
    <w:rsid w:val="00F74C4E"/>
    <w:rPr>
      <w:rFonts w:ascii="Arial" w:hAnsi="Arial" w:cs="Arial" w:hint="default"/>
      <w:color w:val="000000"/>
      <w:sz w:val="18"/>
      <w:szCs w:val="18"/>
    </w:rPr>
  </w:style>
  <w:style w:type="character" w:customStyle="1" w:styleId="ew">
    <w:name w:val="ew"/>
    <w:basedOn w:val="a0"/>
    <w:rsid w:val="00F74C4E"/>
    <w:rPr>
      <w:rFonts w:ascii="Arial" w:hAnsi="Arial" w:cs="Arial" w:hint="default"/>
      <w:color w:val="000000"/>
      <w:sz w:val="18"/>
      <w:szCs w:val="18"/>
    </w:rPr>
  </w:style>
  <w:style w:type="character" w:customStyle="1" w:styleId="na0">
    <w:name w:val="na0"/>
    <w:basedOn w:val="a0"/>
    <w:rsid w:val="00127645"/>
    <w:rPr>
      <w:rFonts w:ascii="Arial" w:hAnsi="Arial" w:cs="Arial" w:hint="default"/>
      <w:color w:val="000000"/>
      <w:sz w:val="18"/>
      <w:szCs w:val="18"/>
    </w:rPr>
  </w:style>
  <w:style w:type="character" w:customStyle="1" w:styleId="ps1">
    <w:name w:val="ps1"/>
    <w:basedOn w:val="a0"/>
    <w:rsid w:val="00127645"/>
    <w:rPr>
      <w:rFonts w:ascii="Arial" w:hAnsi="Arial" w:cs="Arial" w:hint="default"/>
      <w:b/>
      <w:bCs/>
      <w:color w:val="880000"/>
      <w:sz w:val="18"/>
      <w:szCs w:val="18"/>
    </w:rPr>
  </w:style>
  <w:style w:type="character" w:customStyle="1" w:styleId="sy">
    <w:name w:val="sy"/>
    <w:basedOn w:val="a0"/>
    <w:rsid w:val="00127645"/>
    <w:rPr>
      <w:rFonts w:ascii="Arial" w:hAnsi="Arial" w:cs="Arial" w:hint="default"/>
      <w:color w:val="000000"/>
      <w:sz w:val="18"/>
      <w:szCs w:val="18"/>
    </w:rPr>
  </w:style>
  <w:style w:type="paragraph" w:styleId="a4">
    <w:name w:val="Balloon Text"/>
    <w:basedOn w:val="a"/>
    <w:semiHidden/>
    <w:rsid w:val="00D3263E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3C454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ber.org/papers/w70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11790</CharactersWithSpaces>
  <SharedDoc>false</SharedDoc>
  <HLinks>
    <vt:vector size="6" baseType="variant">
      <vt:variant>
        <vt:i4>5636119</vt:i4>
      </vt:variant>
      <vt:variant>
        <vt:i4>0</vt:i4>
      </vt:variant>
      <vt:variant>
        <vt:i4>0</vt:i4>
      </vt:variant>
      <vt:variant>
        <vt:i4>5</vt:i4>
      </vt:variant>
      <vt:variant>
        <vt:lpwstr>http://www.nber.org/papers/w7055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admin</cp:lastModifiedBy>
  <cp:revision>2</cp:revision>
  <cp:lastPrinted>2003-03-30T21:51:00Z</cp:lastPrinted>
  <dcterms:created xsi:type="dcterms:W3CDTF">2014-02-01T20:26:00Z</dcterms:created>
  <dcterms:modified xsi:type="dcterms:W3CDTF">2014-02-01T20:26:00Z</dcterms:modified>
</cp:coreProperties>
</file>