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B1590" w:rsidRPr="00FB1590" w:rsidRDefault="00FB1590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Реферат</w:t>
      </w:r>
    </w:p>
    <w:p w:rsidR="006272FB" w:rsidRPr="00FB1590" w:rsidRDefault="00506B54" w:rsidP="00FB1590">
      <w:pPr>
        <w:suppressAutoHyphens/>
        <w:spacing w:line="360" w:lineRule="auto"/>
        <w:ind w:firstLine="709"/>
        <w:jc w:val="center"/>
        <w:rPr>
          <w:bCs/>
          <w:sz w:val="28"/>
          <w:szCs w:val="28"/>
          <w:lang w:val="ru-RU"/>
        </w:rPr>
      </w:pPr>
      <w:r w:rsidRPr="00FB1590">
        <w:rPr>
          <w:bCs/>
          <w:sz w:val="28"/>
          <w:szCs w:val="28"/>
          <w:lang w:val="ru-RU"/>
        </w:rPr>
        <w:t>Сотрудничество РФ со странами Ближнего Востока в ООН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:rsidR="00FB1590" w:rsidRDefault="00FB1590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Современные отношения России с арабскими странами в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основном сложились под влиянием устойчивого стремления партнеров к развитию сотрудничества в различных областях – политической, экономической, культурной.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 начале</w:t>
      </w:r>
      <w:r w:rsidRPr="00FB1590">
        <w:rPr>
          <w:sz w:val="28"/>
          <w:szCs w:val="28"/>
        </w:rPr>
        <w:t>XXI</w:t>
      </w:r>
      <w:r w:rsidRPr="00FB1590">
        <w:rPr>
          <w:sz w:val="28"/>
          <w:szCs w:val="28"/>
          <w:lang w:val="ru-RU"/>
        </w:rPr>
        <w:t xml:space="preserve"> в., несмотря на происшедшие глубокие перемены в политическом и социально-экономическом курсе РФ и в арабском мире, в российско-арабских отношениях продолжает доминировать позитивный потенциал, желание сохранить и придать дополнительный импульс развитию партнерства. В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особенности это заметно в текущем десятилетии – более интенсивными и разносторонними стали политические консультации, существенно расширились и стали более разнообразными торгово-экономические отношения, заметное развитие получили гуманитарные связи. Таким образом, историческое наследие российско-арабских отношений создает благоприятный фон для плодотворного, конструктивного взаимодействия партнеров, в том числе в рамках ООН.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Вместе с тем на фоне в целом устойчивой позитивной динамики в отношениях РФ с арабским миром существуют проблемные зоны. В значительной мере они касаются деятельности, осуществляемой РФ и арабскими странами в ООН. К их числу относятся следующие вопросы: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выработка и реализация мер по ликвидации региональных конфликтов на Ближнем и Среднем Востоке (ближневосточный конфликт, западносахарский конфликт, иракская проблема);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профилактика межгосударственных конфликтов в регионе (трения между ОАЭ и Ираном из-за островов и свободы судоходства в Ормузском проливе; конфликт между Алжиром и Марокко по западносахарской проблеме; противоречия между Египтом и Суданом, Эфиопией, другими странами долины Нила по вопросам хозяйственного использования вод Нила; трения между странами Междуречья – Турцией, Сирией, Ираком в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связи с использованием вод Тигра и Евфрата и т.д.);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практика применения международных санкций (санкций Совета Безопасности ООН) в отношении так называемых проблемных государств;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запрещение разработки и производства ОМП, включая реализацию ядерных программ и другие.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Отдельные международные проблемы, такие как </w:t>
      </w:r>
      <w:r w:rsidRPr="00FB1590">
        <w:rPr>
          <w:bCs/>
          <w:sz w:val="28"/>
          <w:szCs w:val="28"/>
          <w:lang w:val="ru-RU"/>
        </w:rPr>
        <w:t>курдский вопрос,</w:t>
      </w:r>
      <w:r w:rsidRPr="00FB1590">
        <w:rPr>
          <w:sz w:val="28"/>
          <w:szCs w:val="28"/>
          <w:lang w:val="ru-RU"/>
        </w:rPr>
        <w:t xml:space="preserve"> хотя и не рассматриваются как часть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повестки дня ООН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, с точки зрения профилактики международных конфликтов, реализации права народов на самоопределение находятся в поле зрения ООН (консультации и т.п.) и потому также являются объектами внимания и темами взаимных консультаций между РФ и заинтересованными арабскими государствами, в особенности такими, в которых проживает курдское население (Сирия, Ирак).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По всем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проблемным зонам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, напрямую связанным с безопасностью государств региона, Россия как постоянный член Совета Безопасности проводит активные консультации и иные действия, неизменно учитывая позиции и интересы заинтересованных сторон, соответствующих арабских стран. Как правило, конструктивная роль российской дипломатии в стенах ООН, направленная на урегулирование конфликтов и противоречий, встречает позитивный отклик арабских партнеров и желание сотрудничать (в форме взаимных консультаций, взаимных инициатив и т.д.) с российскими представителями. Вместе с тем неурегулированность региональных конфликтов, отсутствие системы региональной безопасности, имеющиеся проблемы в области гарантий нераспространения ОМП и их производства, нерешенность ряда других вопросов, в частности, имеющихся территориальных споров, сохраняют широкий простор для конструктивных инициатив российской дипломатии в стенах ООН.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К числу других международных проблем, где позиции сторон в отдельных аспектах расходятся или не совпадают и требуют взаимных широких консультаций с участием ведущих мировых держав – членов СБ ООН и арабских государств, принадлежат следующие вопросы: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создание системы региональной безопасности;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обеспечение свободы морского судоходства (Дарданеллы, Гибралтар, Ормузский пролив, Баб-Эль-Мандеб, Суэцкий канал);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борьба с международным терроризмом;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обеспечение энергетической безопасности и т.д.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Здесь также имеется значительный потенциал сотрудничества с целью сближения точек зрения и выработки согласованных позиций в интересах партнеров – России и арабских государств, выдвижения (совместных) инициатив.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Важным полем для взаимодействия между партнерами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на площадке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ООН является вопрос об определении статуса (о самоопределении) отдельных территорий (анклавы Сеута и Мелилья, Западная Сахара, Южный Судан), а также проблема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мятежных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территорий как в самом регионе БВСА, так и в других регионах с компактным проживанием мусульманского населения. Нередко эта проблема тесно увязана с вопросами международного терроризма, наркотрафика, незаконной торговли оружием, нелегальной миграции, массовой миграции, дефицита медикаментов, продовольствия и угрозы массового голода среди населения, другими проявлениями гуманитарной катастрофы. Сотрудничество (консультации) с арабскими странами в этом вопросе, в частности, с Марокко, Сирией, Иорданией, Суданом и другими, создает положительный плацдарм в случае внесения вопроса в повестку дня ООН в том или ином конкретно-историческом аспекте.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Участие России в урегулировании проблемы вокруг Ливана, возможный ввод миротворческого контингента с участием российских миротворцев (в оптимально допустимом для РФ формате) актуализируют роль России как миротворца в регионе РБВСА наряду с продолжением ее миссии в качестве коспонсора ближневосточного мирного процесса (наряду с ЕС, США и ООН) и участием в миротворческой операции в Западной Сахаре.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Важным аспектом в ооновской деятельности России, затрагивающей регион, является участие в оказании международным сообществом продовольственной и в целом гуманитарной помощи населению в районах, страдающих от региональных конфликтов и гражданских войн (Судан, Ирак, Палестина, другие).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Значительный блок политических, экономических, социальных проблем региона, в решении которых принимает активное участие РФ, охватывает Инициатива Большой восьмерки по партнерству со странами РБВСА в целях поддержки политических, экономических и социальных реформ в регионе, провозглашенная на саммите в Си-Айленде в 2004 г. (см. более подробно 1, с.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43–47; 2, с.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 xml:space="preserve">47–48). Успешная реализация целей и задач Инициативы, в которой активно участвует Россия, связана с деятельностью ее важнейшего механизма –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Форума для Будущего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. Несомненно, по своему значению результаты реформ далеко выходят за рамки самого региона.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Несмотря на многочисленные сложности, с которыми сталкиваются процессы модернизации и сохраняющиеся различия в понимании сути происходящих изменений, между инициаторами поддержки проводимых преобразований и их партнерами в регионе, включая арабские страны, сложился консенсус по большинству ключевых оценок и проблем, связанных с реформами.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Высокая степень согласия между основными участниками реализации Инициативы, ставшая возможной в условиях краха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холодной войны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и становления качественно новой системы международных отношений, явилась важнейшим условием успешного старта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Форума для Будущего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. За прошедшие полтора года проведено почти два десятка крупных международных встреч – конференций, саммитов,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круглых столов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– на которых были заложены основы многостороннего проекта сотрудничества в целях поддержки реформ. Их важнейшей составляющей явилось совместное участие в формате конструктивного диалога представителей правительственных структур и организаций, деловых кругов, а также неправительственных организаций (НПО), т.е. основных акторов гражданского общества. Именно содействие формированию устойчивого гражданского общества, саморазвивающейся рыночной экономики через политические, экономические и социальные реформы составляет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философию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Инициативы партнеров по Большой восьмерке, и на ее реализацию направлены их основные усилия (3, с.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1–3).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Они включают комплекс мер политического, экономического, гуманитарного (социального) характера, реализуемых на двух-, трех- или многосторонней основе по ведущим согласованным направлениям сотрудничества в формате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Форума для Будущего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. Среди них поддержка политических реформ с целью содействия демократизации и общественному участию в жизни региона через систему мер в рамках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Диалога по содействию демократии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; помощь в реализации реформ в области образования (содействие повышению стандартов в сфере образования, обеспечение его доступности, ликвидация неграмотности и реформа системы профессиональной подготовки); поддержка предпринимательства, главным образом малого и среднего бизнеса – основы гражданского общества. Особо выделено как одно из приоритетных направлений преобразований, поддерживаемых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восьмеркой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, расширение участия женщин в экономической и общественно-политической жизни.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Содействие формированию основ и традиций гражданского общества, согласно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философии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авторов Инициативы, предполагает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налаживание диалога между гражданским обществом (неправительственными организациями – НПО), правительством и парламентами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стран региона, в ходе которого должны быть выработаны рекомендации всем заинтересованным участникам – правительствам, политическим партиям, СМИ, институтам гражданского общества стран региона; оказание содействия процессу становления НПО; укоренение транспарентности и верховенства права, обеспечение прав человека, искоренение коррупции. Важным элементом намеченного должно стать образование специальных фондов из средств, выделяемых на добровольной основе правительствами, бизнес-сообществом и другими негосударственными структурами для поддержки демократического процесса, проектов по различным направлениям.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Комплекс мер на региональном и глобальном уровнях намечен в области поддержки предпринимательства. Среди них – финансирование, в том числе через специально создаваемые фонды различных проектов, инициатив по развитию малого и среднего бизнеса, создание групп по лоббированию его интересов, увеличение инвестиций в сферу деятельности малого и среднего капитала, расширение возможностей привлечения новейших, передовых технологий, создание региональных центров поддержки предпринимательства, содействия росту профессионализма в сфере предпринимательства и т.д.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Каждое из названных направлений реализуется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инициативной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группой, включающей страну-члена Большой восьмерки и отдельные (1–2) страны региона. К этой работе могут подключиться на инициативной, добровольной основе другие страны-партнеры, международные и национальные организации. Так постепенно будет охвачена вся проблематика поддержки предпринимательства. Инициативные участники выступают как доноры и Организаторы сбора средств в формируемые фонды содействия.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Широкую поддержку в регионе получила позиция, суть которой состоит в том, что крайне важно с самого начала реализации инициативы Большой восьмерки обеспечить атмосферу конструктивного сотрудничества между неправительственными и правительственными организациями и структурами. Исключительное значение имеет оказание поддержки мерам, направленным на повышение роли женщин в политической жизни региона, а также в сфере деятельности малого и среднего бизнеса. Повышенное внимание в ходе реализации Инициативы уделяется рекомендациям, связанным с ликвидацией неграмотности, с глубокой реформой системы образования, в том числе в области подготовки профессиональных кадров и развития управленческого опыта в сфере малого и среднего бизнеса, обеспечением доступности образования для молодежи, где особенно высока безработица.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Одно из наиболее приоритетных направлений в этой области – реализация комплекса мер в сфере реформы и развития образования в странах РБВСА, в которой принимает участие РФ.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Вместе с тем все намеченные планы могут получить поддержку со стороны специализированных органов ООН (при соучастии РФ как одного из участников Инициативы и партнера по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Форуму для Будущего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).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 регионе и среди партнеров по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Большой восьмерке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широко распространена точка зрения, согласно которой успешные реформы благотворно скажутся на мирном процессе урегулирования и ускорят его завершение. Это повышает роль и значение усилий РФ, прилагаемых в рамках Инициативы, и расширяет поле для партнерства со странами РБВСА.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Особое место в потенциале сотрудничества РФ с арабскими государствами принадлежит позиции России по реформе ООН, учитывающей подходы различных стран к решению этой острой и весьма деликатной проблемы (4).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Позиции арабских государств по проблеме реформирования в основном сводятся к следующим требованиям: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увеличить число членов СБ ООН, в том числе путем включения 1–2 арабских государств в качестве его постоянных членов;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повысить эффективность деятельности ряда важнейших органов Объединенных Наций (Комиссии по правам человека, Комиссии по миротворчеству);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достичь через реформу прозрачности в работе Организации, ее аппарата и тем самым повысить их эффективность;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упорядочить деятельность Международного суда в Гааге, которая, с их точки зрения, заслуживает критики;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изменить подходы к практике применения международных санкций, которая в значительной части арабского мира оценивается негативно и т.д.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 ходе дискуссии особую остроту приобрел вопрос об увязке хода реформ с формированием бюджета ООН. Это связано с тем, что нынешняя позиция основных доноров ООН, на которых приходится 85% всех платежей в бюджет, чревата жесточайшим финансовым кризисом и, по сути, параличом всей деятельности организации. Это может произойти в том случае, если предложения, выдвинутые США и другими донорами ООН, будут игнорироваться. Но ход дискуссии свидетельствует в пользу преобладания позитивной динамики в позициях ее участников, хотя в основе такой подвижки лежит не только добрая воля, но и элемент принуждения.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Если проанализировать отношение государств Ближнего Востока и Северной Африки к проблеме реформ, то при всех различиях в их позициях по тем или иным аспектам реформ, превалирует точка зрения на ООН как на не имеющий адекватной альтернативы универсальный и в целом действенный инструмент мирового сообщества, сдерживающий разрастание региональных и иных конфликтов, содействующий экономическому развитию и социальному прогрессу, способствующий культурному и гуманитарному общению в регионе и за его пределами (5, с.173–192). Поэтому страны региона в своем большинстве стремятся не допустить паралича Организации. Таким образом, существует широкая основа для взаимодействия РФ и арабских стран в области реформирования ООН.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Однако проблемы, стоящие перед российской дипломатией в данной области, сложны и многообразны, что требует активной консультационной работы с партнерами из региона и другими членами мирового сообщества.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Касаясь расхождений в оценках реформ и позиций различных стран, не стоит умалять масштаба усилий, которые предстоит приложить для их преодоления. На это указывает появление ряда государств, отстаивающих групповые интересы в вопросе о сути и методах реализации назревших изменений. Причем отдельные страны, и таких немало, имеют свои собственные оценки и позиции по данной проблеме и не всегда готовы идти на компромиссы без тщательной проработки с другими членами ООН всего комплекса вопросов, оценок и поиска взаимоприемлемых решений. В полной мере это относится и к арабским государствам.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О сложности задач по реформе ООН свидетельствует, в частности, то, что промышленно развитые страны, включая США, вряд ли откажутся от своих позиций, хотя, вероятно, будут искать взаимоприемлемые и разумные решения.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Вместе с тем эффективное реформирование Организации на основе компромиссных подходов имеет под собой реальную почву при выполнении нескольких условий.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Во-первых, если реформирование самой ООН перевести в плоскость достижения всеобъемлющих договоренностей, которые бы учитывали, по меньшей мере, два принципиальных момента во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внутриооновской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деятельности: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необходимость повышения эффективности работы ООН, достижения прозрачности всех видов ее деятельности и решительного пресечения масштабной коррупции;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важность сохранения Объединенных Наций, недопущения паралича в ее работе.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Анализ многочисленных событий последних лет, связанных прямо или косвенно с реформированием и судьбой ООН, показывает, что при самом критическом подходе в оценке позиции и деятельности тех или иных групп государств, оба эти условия в основном или во многом соблюдаются, в том числе и теми членами Организации, которые входят в группу арабских государств.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 позиции арабских стран относительно реформ и увязки их с проблемой наполнения бюджета организации имеются как слабые стороны, так и позитивные, конструктивные моменты. К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последним относится понимание необходимости реформ, борьбы с неэффективностью работы ряда ключевых структур ООН, включая содействие скорейшему восстановлению стран (Комиссия по миростроительству) (6), покончивших с вооруженными конфликтами, а также более решительную поддержку ооновского института по обеспечению прав человека (Совет по правам человека) (7).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При этом арабские страны стоят перед дилеммой – либо найти верные подходы, как индивидуальные, так и на коллективной основе – в рамках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группы 77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и в более широкой общности развивающихся государств, к активной реформаторской деятельности, реально содействующей росту эффективности ООН, либо лишиться донорской помощи ООН и ее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рулей и ветрил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в довольно неспокойной среде международных отношений начала ХХ</w:t>
      </w:r>
      <w:r w:rsidRPr="00FB1590">
        <w:rPr>
          <w:sz w:val="28"/>
          <w:szCs w:val="28"/>
        </w:rPr>
        <w:t>I</w:t>
      </w:r>
      <w:r w:rsidRPr="00FB1590">
        <w:rPr>
          <w:sz w:val="28"/>
          <w:szCs w:val="28"/>
          <w:lang w:val="ru-RU"/>
        </w:rPr>
        <w:t xml:space="preserve"> века.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Несмотря на осознание реалистичности мрачных прогнозов относительно судьбы ООН и предпринимаемые попытки найти приемлемые решения, видимо, не избежать серьезных и, возможно, даже драматических ситуаций. И здесь взвешенный и конструктивный подход российской дипломатии может оказаться для партнеров РФ в регионе РБВСА полезным и необходимым.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В частности, до сих пор арабские страны так и не пришли к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 xml:space="preserve">единому мнению, какую же страну из их числа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продвигать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в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качестве постоянного члена Совбеза ООН.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Кроме того, вряд ли имеют реальные шансы на успех их требования о существенном ограничении или даже отмене применения международных санкций и согласие по негативной оценке деятельности Международного суда в Гааге.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Тем не менее, несмотря на имеющиеся угрозы существованию ООН, все же предпочтительнее шансы на продолжение ее деятельности в духе Устава ООН и вытекающего из него отношения большинства членов Совбеза, включая Россию, а также большинства членов ООН, в том числе и арабских государств, к реформированию и оценке роли Объединенных Наций. Практически все группы и альянсы внутри мирового сообщества, представленные в ООН, подтверждают ее исключительное значение как важнейшего международного инструмента мира и прогресса. Вселяет надежды и практика, сложившаяся в ходе формирования новых органов Организации – Комиссии по миростроительству и Совета по правам человека. Большинство стран региона Ближнего Востока и Северной Африки, похоже, учли требования времени.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Что касается практических рекомендаций по решению проблемы реформирования ООН, то они могут быть следующими.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Комплексное или всеобъемлющее реформирование такого сложного международного инструмента, как ООН, видимо, займет длительную историческую дистанцию. Целесообразно, чтобы оно проходило не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одномоментно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, 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пошагово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, в несколько хорошо спланированных экспертами этапов: решение столь деликатной проблемы предполагает достижение не только компромиссов, но и консенсуса по ряду аспектов проводимых реформ, достижение которых потребует определенного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временного простора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для необходимой коррекции пореформенных мероприятий. Принятие такой стратегии различными группами государств позволит преодолеть одно из центральных противоречий между основными донорами ООН и развивающимися государствами, включая арабские, связанных с проблемой увязки реформ с наполнением бюджета Организации.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Ощутимо содействовать прогрессу в этом сложном и деликатном процессе будут точно рассчитанные и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обреченные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на успех частичные, отдельные реформаторские меры, принятые на начальном – самом сложном этапе реформ на основе либо консенсуса, либо пошедшей на компромисс самой широкой коалиции государств. Они позволят не только апробировать, более точно и более полно учесть цели и задачи реформ, методы и инструментарий преобразований, но и сформировать самую широкую коалицию сторонников реформ – залог сохранения ООН и повышения ее эффективности.</w:t>
      </w:r>
    </w:p>
    <w:p w:rsidR="006272FB" w:rsidRPr="00FB1590" w:rsidRDefault="006272FB" w:rsidP="00FB1590">
      <w:pPr>
        <w:pStyle w:val="a3"/>
        <w:suppressAutoHyphens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Успешному реформированию Организации Объединенных Наций будет содействовать реализация принципа более полного учета представительства в Совбезе различных групп государств и регионов мира, в том числе в качестве постоянных его членов. При этом имеющиеся варианты решения вопроса о предоставлении новым членам Совбеза права вето на основе дифференцированного подхода позволяет прийти к оптимальным компромиссным решениям. Их достижение повысит престиж и авторитет Совбеза и ООН как универсального и действенного международного инструмента мировой политики, наиболее полно отражающего мнение мирового сообщества, включая группы государств, представляющих различные конфессии и цивилизации.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Вклад России в ликвидацию региональных конфликтов благодаря активной деятельности российской дипломатии сохраняет свое исключительное значение. Учитывая то обстоятельство, что Россия наряду с ЕС, США и ООН является коспонсором переговорного мирного процесса, а также ряд других существенных обстоятельств (в частности, роль ООН как важнейшего инструмента ближневосточного урегулирования), целесообразно продолжить тесную координацию усилий РФ с членами СБ ООН, в том числе входящими в СБ арабскими государствами, по ликвидации негативного наследия конфликта и прежде всего военной акции Израиля в Ливане, и возвращения процесса в русло практической реализации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дорожной карты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. Важными элементами деятельности РФ на данном направлении могут стать следующие шаги: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выработка перспективного курса в отношении участия России в миротворческих операциях, принимая во внимание широкий круг факторов;</w:t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–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 xml:space="preserve">активное использование различных форм и элементов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народной дипломатии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. Участие России совместно со специализированными органами ООН с привлечением российских, израильских и арабо-палестинских общественных движений, СМИ, просветительских, образовательных организаций, представителей бизнес-сообщества, муниципальных и иных местных административных органов и т.д. позволяет перевести существенную часть процесса урегулирования с исключительно трудно регулируемой и встречающей многочисленные завалы и тупики межгосударственной орбиты на иной и весьма эффективный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народный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уровень.</w:t>
      </w:r>
      <w:r w:rsidR="00CD3D45" w:rsidRPr="00CD3D45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>Эффективными формами подобной деятельности, как свидетельствует мировой опыт, в том числе опыт российской дипломатии, являются конференции (к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 xml:space="preserve">примеру, по активно обсуждаемой в настоящее время теме о целесообразности проведения международной представительной конференции по Ближнему Востоку), семинары,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круглые столы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, обмен делегациями, проведение образовательных краткосрочных курсов, совместных тематических телемостов, пресс-конференций и т.д. (8, 16, с.372–389; 17).</w:t>
      </w:r>
    </w:p>
    <w:p w:rsidR="006272FB" w:rsidRPr="00C154E2" w:rsidRDefault="00C154E2" w:rsidP="00FB1590">
      <w:pPr>
        <w:suppressAutoHyphens/>
        <w:spacing w:line="360" w:lineRule="auto"/>
        <w:ind w:firstLine="709"/>
        <w:jc w:val="both"/>
        <w:rPr>
          <w:color w:val="FFFFFF"/>
          <w:sz w:val="28"/>
          <w:szCs w:val="28"/>
          <w:lang w:val="ru-RU"/>
        </w:rPr>
      </w:pPr>
      <w:r w:rsidRPr="00C154E2">
        <w:rPr>
          <w:color w:val="FFFFFF"/>
          <w:sz w:val="28"/>
          <w:szCs w:val="28"/>
          <w:lang w:val="ru-RU"/>
        </w:rPr>
        <w:t>арабский конфликт восток ядерный санкция</w:t>
      </w:r>
    </w:p>
    <w:p w:rsidR="00CD3D45" w:rsidRDefault="00CD3D45">
      <w:pPr>
        <w:spacing w:after="200" w:line="276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p w:rsidR="006272FB" w:rsidRPr="00FB1590" w:rsidRDefault="006272FB" w:rsidP="00FB1590">
      <w:pPr>
        <w:suppressAutoHyphens/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Библиография</w:t>
      </w:r>
    </w:p>
    <w:p w:rsidR="00773922" w:rsidRPr="00FB1590" w:rsidRDefault="00773922" w:rsidP="00CD3D45">
      <w:pPr>
        <w:suppressAutoHyphens/>
        <w:spacing w:line="360" w:lineRule="auto"/>
        <w:rPr>
          <w:sz w:val="28"/>
          <w:szCs w:val="28"/>
          <w:lang w:val="ru-RU"/>
        </w:rPr>
      </w:pP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1.</w:t>
      </w:r>
      <w:r w:rsidR="00FB1590" w:rsidRPr="00FB1590">
        <w:rPr>
          <w:sz w:val="28"/>
          <w:szCs w:val="28"/>
          <w:lang w:val="ru-RU"/>
        </w:rPr>
        <w:t xml:space="preserve"> </w:t>
      </w:r>
      <w:r w:rsidRPr="00FB1590">
        <w:rPr>
          <w:sz w:val="28"/>
          <w:szCs w:val="28"/>
          <w:lang w:val="ru-RU"/>
        </w:rPr>
        <w:t xml:space="preserve">Беленькая М. Ближний Восток: большая политика 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>Большой восьмерки</w:t>
      </w:r>
      <w:r w:rsidR="00FB1590" w:rsidRPr="00FB1590">
        <w:rPr>
          <w:sz w:val="28"/>
          <w:szCs w:val="28"/>
          <w:lang w:val="ru-RU"/>
        </w:rPr>
        <w:t>"</w:t>
      </w:r>
      <w:r w:rsidRPr="00FB1590">
        <w:rPr>
          <w:sz w:val="28"/>
          <w:szCs w:val="28"/>
          <w:lang w:val="ru-RU"/>
        </w:rPr>
        <w:t xml:space="preserve"> // Азия и Африка сегодня. М., 2006, № 6.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</w:rPr>
      </w:pPr>
      <w:r w:rsidRPr="00FB1590">
        <w:rPr>
          <w:sz w:val="28"/>
          <w:szCs w:val="28"/>
          <w:lang w:val="ru-RU"/>
        </w:rPr>
        <w:t xml:space="preserve">2. Ткаченко А. Ближний Восток: судьба реформ // Азия и Африка сегодня. </w:t>
      </w:r>
      <w:r w:rsidRPr="00FB1590">
        <w:rPr>
          <w:sz w:val="28"/>
          <w:szCs w:val="28"/>
        </w:rPr>
        <w:t>М., 2006, № 6.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</w:rPr>
        <w:t>3. Report on the Initatives Undertaken in the Framework of the Democracy Assistance Dialogue. 2005. Presented to the second meeting of the Forum for the Future. Bahrain</w:t>
      </w:r>
      <w:r w:rsidRPr="00FB1590">
        <w:rPr>
          <w:sz w:val="28"/>
          <w:szCs w:val="28"/>
          <w:lang w:val="ru-RU"/>
        </w:rPr>
        <w:t xml:space="preserve">, 11–12 </w:t>
      </w:r>
      <w:r w:rsidRPr="00FB1590">
        <w:rPr>
          <w:sz w:val="28"/>
          <w:szCs w:val="28"/>
        </w:rPr>
        <w:t>November</w:t>
      </w:r>
      <w:r w:rsidRPr="00FB1590">
        <w:rPr>
          <w:sz w:val="28"/>
          <w:szCs w:val="28"/>
          <w:lang w:val="ru-RU"/>
        </w:rPr>
        <w:t xml:space="preserve"> 2005.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4. Заемский В. Необходимость перемен в ООН // Международная жизнь. М., 2005, № 9.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5. Ткаченко А. Арабский Восток и новый мировой порядок // Мировой порядок или беспорядок. М., ПМЛ ИАфРАН, 2005.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6. 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russian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peace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peacebuilding</w:t>
      </w:r>
      <w:r w:rsidRPr="00FB1590">
        <w:rPr>
          <w:sz w:val="28"/>
          <w:szCs w:val="28"/>
          <w:lang w:val="ru-RU"/>
        </w:rPr>
        <w:t>/</w:t>
      </w:r>
    </w:p>
    <w:p w:rsidR="006272FB" w:rsidRPr="00FB1590" w:rsidRDefault="006272FB" w:rsidP="00CD3D45">
      <w:pPr>
        <w:pStyle w:val="a3"/>
        <w:suppressAutoHyphens/>
        <w:spacing w:after="0"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7. 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russian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news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focus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asp</w:t>
      </w:r>
      <w:r w:rsidRPr="00FB1590">
        <w:rPr>
          <w:sz w:val="28"/>
          <w:szCs w:val="28"/>
          <w:lang w:val="ru-RU"/>
        </w:rPr>
        <w:t>?</w:t>
      </w:r>
      <w:r w:rsidRPr="00FB1590">
        <w:rPr>
          <w:sz w:val="28"/>
          <w:szCs w:val="28"/>
        </w:rPr>
        <w:t>focusID</w:t>
      </w:r>
      <w:r w:rsidRPr="00FB1590">
        <w:rPr>
          <w:sz w:val="28"/>
          <w:szCs w:val="28"/>
          <w:lang w:val="ru-RU"/>
        </w:rPr>
        <w:t>=21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8. Салтанов А. Африканский месяц май // Международная жизнь. М., 2004, № 5; Вершинин С. Ближний Восток нуждается в переменах // НГ-Дипкурьер. М., 30.01.2006.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9.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10.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fao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11.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./</w:t>
      </w:r>
      <w:r w:rsidRPr="00FB1590">
        <w:rPr>
          <w:sz w:val="28"/>
          <w:szCs w:val="28"/>
        </w:rPr>
        <w:t>russian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reform</w:t>
      </w:r>
      <w:r w:rsidRPr="00FB1590">
        <w:rPr>
          <w:sz w:val="28"/>
          <w:szCs w:val="28"/>
          <w:lang w:val="ru-RU"/>
        </w:rPr>
        <w:t>/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12.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escwa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lb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13.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org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russian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sc</w:t>
      </w:r>
      <w:r w:rsidRPr="00FB1590">
        <w:rPr>
          <w:sz w:val="28"/>
          <w:szCs w:val="28"/>
          <w:lang w:val="ru-RU"/>
        </w:rPr>
        <w:t>/</w:t>
      </w:r>
      <w:r w:rsidRPr="00FB1590">
        <w:rPr>
          <w:sz w:val="28"/>
          <w:szCs w:val="28"/>
        </w:rPr>
        <w:t>ctc</w:t>
      </w:r>
      <w:r w:rsidRPr="00FB1590">
        <w:rPr>
          <w:sz w:val="28"/>
          <w:szCs w:val="28"/>
          <w:lang w:val="ru-RU"/>
        </w:rPr>
        <w:t>/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14. 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mid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ru</w:t>
      </w:r>
      <w:r w:rsidRPr="00FB1590">
        <w:rPr>
          <w:sz w:val="28"/>
          <w:szCs w:val="28"/>
          <w:lang w:val="ru-RU"/>
        </w:rPr>
        <w:t>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 xml:space="preserve">15. </w:t>
      </w:r>
      <w:r w:rsidRPr="00FB1590">
        <w:rPr>
          <w:sz w:val="28"/>
          <w:szCs w:val="28"/>
        </w:rPr>
        <w:t>www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arab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net</w:t>
      </w:r>
      <w:r w:rsidRPr="00FB1590">
        <w:rPr>
          <w:sz w:val="28"/>
          <w:szCs w:val="28"/>
          <w:lang w:val="ru-RU"/>
        </w:rPr>
        <w:t>.</w:t>
      </w:r>
    </w:p>
    <w:p w:rsidR="006272FB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  <w:lang w:val="ru-RU"/>
        </w:rPr>
        <w:t>16. Васильев А. Россия на Ближнем Востоке. От мессианства к прагматизму. М., 1993.</w:t>
      </w:r>
    </w:p>
    <w:p w:rsidR="00FB1590" w:rsidRPr="00FB1590" w:rsidRDefault="006272FB" w:rsidP="00CD3D45">
      <w:pPr>
        <w:suppressAutoHyphens/>
        <w:spacing w:line="360" w:lineRule="auto"/>
        <w:rPr>
          <w:sz w:val="28"/>
          <w:szCs w:val="28"/>
          <w:lang w:val="ru-RU"/>
        </w:rPr>
      </w:pPr>
      <w:r w:rsidRPr="00FB1590">
        <w:rPr>
          <w:sz w:val="28"/>
          <w:szCs w:val="28"/>
        </w:rPr>
        <w:t>17. New Challenges in the Middle East. Peace Process and the Israeli-Palestinian Dialogue. InternationalMediaSeminar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UnitedNations</w:t>
      </w:r>
      <w:r w:rsidRPr="00FB1590">
        <w:rPr>
          <w:sz w:val="28"/>
          <w:szCs w:val="28"/>
          <w:lang w:val="ru-RU"/>
        </w:rPr>
        <w:t>.</w:t>
      </w:r>
      <w:r w:rsidRPr="00FB1590">
        <w:rPr>
          <w:sz w:val="28"/>
          <w:szCs w:val="28"/>
        </w:rPr>
        <w:t>Moscow</w:t>
      </w:r>
      <w:r w:rsidRPr="00FB1590">
        <w:rPr>
          <w:sz w:val="28"/>
          <w:szCs w:val="28"/>
          <w:lang w:val="ru-RU"/>
        </w:rPr>
        <w:t xml:space="preserve">, 8–9 </w:t>
      </w:r>
      <w:r w:rsidRPr="00FB1590">
        <w:rPr>
          <w:sz w:val="28"/>
          <w:szCs w:val="28"/>
        </w:rPr>
        <w:t>June</w:t>
      </w:r>
      <w:r w:rsidRPr="00FB1590">
        <w:rPr>
          <w:sz w:val="28"/>
          <w:szCs w:val="28"/>
          <w:lang w:val="ru-RU"/>
        </w:rPr>
        <w:t xml:space="preserve"> 2006.</w:t>
      </w:r>
    </w:p>
    <w:p w:rsidR="00DD4E99" w:rsidRPr="00CD3D45" w:rsidRDefault="00DD4E99" w:rsidP="00CD3D45">
      <w:pPr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DD4E99" w:rsidRPr="00CD3D45" w:rsidSect="00FB1590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7DE" w:rsidRDefault="008F67DE" w:rsidP="006272FB">
      <w:r>
        <w:separator/>
      </w:r>
    </w:p>
  </w:endnote>
  <w:endnote w:type="continuationSeparator" w:id="0">
    <w:p w:rsidR="008F67DE" w:rsidRDefault="008F67DE" w:rsidP="00627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7DE" w:rsidRDefault="008F67DE" w:rsidP="006272FB">
      <w:r>
        <w:separator/>
      </w:r>
    </w:p>
  </w:footnote>
  <w:footnote w:type="continuationSeparator" w:id="0">
    <w:p w:rsidR="008F67DE" w:rsidRDefault="008F67DE" w:rsidP="006272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590" w:rsidRPr="00CD3D45" w:rsidRDefault="00FB1590" w:rsidP="00FB1590">
    <w:pPr>
      <w:pStyle w:val="a8"/>
      <w:jc w:val="center"/>
      <w:rPr>
        <w:sz w:val="28"/>
        <w:lang w:val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279"/>
    <w:rsid w:val="00050A7B"/>
    <w:rsid w:val="003737B9"/>
    <w:rsid w:val="003E38A5"/>
    <w:rsid w:val="005054E9"/>
    <w:rsid w:val="00506B54"/>
    <w:rsid w:val="006272FB"/>
    <w:rsid w:val="00704936"/>
    <w:rsid w:val="0075408E"/>
    <w:rsid w:val="00773922"/>
    <w:rsid w:val="007C1444"/>
    <w:rsid w:val="008F67DE"/>
    <w:rsid w:val="00A226D9"/>
    <w:rsid w:val="00B12DA8"/>
    <w:rsid w:val="00B31ABB"/>
    <w:rsid w:val="00C154E2"/>
    <w:rsid w:val="00CD3D45"/>
    <w:rsid w:val="00DD4E99"/>
    <w:rsid w:val="00F70B94"/>
    <w:rsid w:val="00FB1590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92FDD84-4771-45A2-884D-7449DB8E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2FB"/>
    <w:rPr>
      <w:rFonts w:ascii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272FB"/>
    <w:pPr>
      <w:spacing w:after="120"/>
    </w:pPr>
  </w:style>
  <w:style w:type="character" w:customStyle="1" w:styleId="a4">
    <w:name w:val="Основний текст Знак"/>
    <w:link w:val="a3"/>
    <w:uiPriority w:val="99"/>
    <w:locked/>
    <w:rsid w:val="006272FB"/>
    <w:rPr>
      <w:rFonts w:ascii="Times New Roman" w:hAnsi="Times New Roman" w:cs="Times New Roman"/>
      <w:sz w:val="24"/>
      <w:szCs w:val="24"/>
      <w:lang w:val="en-US" w:eastAsia="ru-RU"/>
    </w:rPr>
  </w:style>
  <w:style w:type="paragraph" w:styleId="a5">
    <w:name w:val="footnote text"/>
    <w:basedOn w:val="a"/>
    <w:link w:val="a6"/>
    <w:uiPriority w:val="99"/>
    <w:semiHidden/>
    <w:rsid w:val="006272FB"/>
    <w:rPr>
      <w:sz w:val="20"/>
      <w:szCs w:val="20"/>
      <w:lang w:val="ru-RU"/>
    </w:rPr>
  </w:style>
  <w:style w:type="character" w:customStyle="1" w:styleId="a6">
    <w:name w:val="Текст виноски Знак"/>
    <w:link w:val="a5"/>
    <w:uiPriority w:val="99"/>
    <w:semiHidden/>
    <w:locked/>
    <w:rsid w:val="006272FB"/>
    <w:rPr>
      <w:rFonts w:ascii="Times New Roman" w:hAnsi="Times New Roman" w:cs="Times New Roman"/>
      <w:sz w:val="20"/>
      <w:szCs w:val="20"/>
      <w:lang w:val="x-none" w:eastAsia="ru-RU"/>
    </w:rPr>
  </w:style>
  <w:style w:type="character" w:styleId="a7">
    <w:name w:val="footnote reference"/>
    <w:uiPriority w:val="99"/>
    <w:semiHidden/>
    <w:rsid w:val="006272FB"/>
    <w:rPr>
      <w:rFonts w:cs="Times New Roman"/>
      <w:vertAlign w:val="superscript"/>
    </w:rPr>
  </w:style>
  <w:style w:type="paragraph" w:styleId="a8">
    <w:name w:val="header"/>
    <w:basedOn w:val="a"/>
    <w:link w:val="a9"/>
    <w:uiPriority w:val="99"/>
    <w:unhideWhenUsed/>
    <w:rsid w:val="00773922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773922"/>
    <w:rPr>
      <w:rFonts w:ascii="Times New Roman" w:hAnsi="Times New Roman" w:cs="Times New Roman"/>
      <w:sz w:val="24"/>
      <w:szCs w:val="24"/>
      <w:lang w:val="en-US" w:eastAsia="ru-RU"/>
    </w:rPr>
  </w:style>
  <w:style w:type="paragraph" w:styleId="aa">
    <w:name w:val="footer"/>
    <w:basedOn w:val="a"/>
    <w:link w:val="ab"/>
    <w:uiPriority w:val="99"/>
    <w:unhideWhenUsed/>
    <w:rsid w:val="00773922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locked/>
    <w:rsid w:val="00773922"/>
    <w:rPr>
      <w:rFonts w:ascii="Times New Roman" w:hAnsi="Times New Roman" w:cs="Times New Roman"/>
      <w:sz w:val="24"/>
      <w:szCs w:val="24"/>
      <w:lang w:val="en-US" w:eastAsia="ru-RU"/>
    </w:rPr>
  </w:style>
  <w:style w:type="character" w:styleId="ac">
    <w:name w:val="Hyperlink"/>
    <w:uiPriority w:val="99"/>
    <w:unhideWhenUsed/>
    <w:rsid w:val="00FB159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3574</Words>
  <Characters>20374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Мотя</dc:creator>
  <cp:keywords/>
  <dc:description/>
  <cp:lastModifiedBy>Irina</cp:lastModifiedBy>
  <cp:revision>2</cp:revision>
  <dcterms:created xsi:type="dcterms:W3CDTF">2014-09-12T15:49:00Z</dcterms:created>
  <dcterms:modified xsi:type="dcterms:W3CDTF">2014-09-12T15:49:00Z</dcterms:modified>
</cp:coreProperties>
</file>